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D1" w:rsidRDefault="007B37D1" w:rsidP="007B37D1">
      <w:pPr>
        <w:spacing w:line="594" w:lineRule="exact"/>
        <w:rPr>
          <w:rFonts w:eastAsia="方正黑体_GBK" w:hint="eastAsia"/>
          <w:szCs w:val="32"/>
        </w:rPr>
      </w:pPr>
      <w:r>
        <w:rPr>
          <w:rFonts w:eastAsia="方正黑体_GBK"/>
          <w:szCs w:val="32"/>
        </w:rPr>
        <w:t>附件</w:t>
      </w:r>
      <w:r>
        <w:rPr>
          <w:rFonts w:eastAsia="方正黑体_GBK"/>
          <w:szCs w:val="32"/>
        </w:rPr>
        <w:t>1</w:t>
      </w:r>
    </w:p>
    <w:p w:rsidR="007B37D1" w:rsidRDefault="007B37D1" w:rsidP="007B37D1">
      <w:pPr>
        <w:spacing w:line="580" w:lineRule="exact"/>
        <w:rPr>
          <w:rFonts w:eastAsia="方正黑体_GBK" w:hint="eastAsia"/>
          <w:szCs w:val="32"/>
        </w:rPr>
      </w:pPr>
    </w:p>
    <w:p w:rsidR="007B37D1" w:rsidRDefault="007B37D1" w:rsidP="007B37D1">
      <w:pPr>
        <w:spacing w:line="580" w:lineRule="exact"/>
        <w:jc w:val="center"/>
        <w:rPr>
          <w:rFonts w:eastAsia="方正小标宋_GBK"/>
          <w:sz w:val="44"/>
          <w:szCs w:val="44"/>
        </w:rPr>
      </w:pPr>
      <w:r>
        <w:rPr>
          <w:rFonts w:eastAsia="方正小标宋_GBK"/>
          <w:sz w:val="44"/>
          <w:szCs w:val="44"/>
        </w:rPr>
        <w:t>名</w:t>
      </w:r>
      <w:r>
        <w:rPr>
          <w:rFonts w:eastAsia="方正小标宋_GBK"/>
          <w:sz w:val="44"/>
          <w:szCs w:val="44"/>
        </w:rPr>
        <w:t xml:space="preserve"> </w:t>
      </w:r>
      <w:r>
        <w:rPr>
          <w:rFonts w:eastAsia="方正小标宋_GBK"/>
          <w:sz w:val="44"/>
          <w:szCs w:val="44"/>
        </w:rPr>
        <w:t>词</w:t>
      </w:r>
      <w:r>
        <w:rPr>
          <w:rFonts w:eastAsia="方正小标宋_GBK"/>
          <w:sz w:val="44"/>
          <w:szCs w:val="44"/>
        </w:rPr>
        <w:t xml:space="preserve"> </w:t>
      </w:r>
      <w:r>
        <w:rPr>
          <w:rFonts w:eastAsia="方正小标宋_GBK"/>
          <w:sz w:val="44"/>
          <w:szCs w:val="44"/>
        </w:rPr>
        <w:t>解</w:t>
      </w:r>
      <w:r>
        <w:rPr>
          <w:rFonts w:eastAsia="方正小标宋_GBK"/>
          <w:sz w:val="44"/>
          <w:szCs w:val="44"/>
        </w:rPr>
        <w:t xml:space="preserve"> </w:t>
      </w:r>
      <w:r>
        <w:rPr>
          <w:rFonts w:eastAsia="方正小标宋_GBK"/>
          <w:sz w:val="44"/>
          <w:szCs w:val="44"/>
        </w:rPr>
        <w:t>释</w:t>
      </w:r>
    </w:p>
    <w:p w:rsidR="007B37D1" w:rsidRDefault="007B37D1" w:rsidP="007B37D1">
      <w:pPr>
        <w:adjustRightInd/>
        <w:spacing w:line="580" w:lineRule="exact"/>
        <w:jc w:val="both"/>
        <w:textAlignment w:val="auto"/>
      </w:pPr>
    </w:p>
    <w:p w:rsidR="007B37D1" w:rsidRDefault="007B37D1" w:rsidP="007B37D1">
      <w:pPr>
        <w:spacing w:line="580" w:lineRule="exact"/>
        <w:jc w:val="both"/>
        <w:rPr>
          <w:rFonts w:eastAsia="方正仿宋_GBK"/>
          <w:szCs w:val="32"/>
        </w:rPr>
      </w:pPr>
      <w:r>
        <w:rPr>
          <w:rFonts w:eastAsia="方正黑体_GBK"/>
          <w:szCs w:val="32"/>
        </w:rPr>
        <w:t xml:space="preserve">    </w:t>
      </w:r>
      <w:r>
        <w:rPr>
          <w:rFonts w:eastAsia="方正黑体_GBK"/>
          <w:szCs w:val="32"/>
        </w:rPr>
        <w:t>预算</w:t>
      </w:r>
      <w:r>
        <w:rPr>
          <w:rFonts w:eastAsia="方正黑体_GBK"/>
          <w:szCs w:val="32"/>
        </w:rPr>
        <w:t xml:space="preserve">  </w:t>
      </w:r>
      <w:r>
        <w:rPr>
          <w:rFonts w:eastAsia="方正仿宋_GBK"/>
          <w:szCs w:val="32"/>
        </w:rPr>
        <w:t>由预算收入和预算支出组成，包括一般公共预算、政府性基金预算、国有资本经营预算、社会保险基金预算。以上</w:t>
      </w:r>
      <w:r>
        <w:rPr>
          <w:rFonts w:eastAsia="方正仿宋_GBK"/>
          <w:szCs w:val="32"/>
        </w:rPr>
        <w:t>“</w:t>
      </w:r>
      <w:r>
        <w:rPr>
          <w:rFonts w:eastAsia="方正仿宋_GBK"/>
          <w:szCs w:val="32"/>
        </w:rPr>
        <w:t>四本预算</w:t>
      </w:r>
      <w:r>
        <w:rPr>
          <w:rFonts w:eastAsia="方正仿宋_GBK"/>
          <w:szCs w:val="32"/>
        </w:rPr>
        <w:t>”</w:t>
      </w:r>
      <w:r>
        <w:rPr>
          <w:rFonts w:eastAsia="方正仿宋_GBK"/>
          <w:szCs w:val="32"/>
        </w:rPr>
        <w:t>应当保持完整、独立，其中政府性基金预算、国有资本经营预算、社会保险基金预算（社会保险基金预算纳入全市统筹，由市财政统一编报）应当与一般公共预算相衔接。</w:t>
      </w:r>
    </w:p>
    <w:p w:rsidR="007B37D1" w:rsidRDefault="007B37D1" w:rsidP="007B37D1">
      <w:pPr>
        <w:spacing w:line="580" w:lineRule="exact"/>
        <w:ind w:firstLineChars="200" w:firstLine="640"/>
        <w:jc w:val="both"/>
        <w:rPr>
          <w:rFonts w:eastAsia="方正仿宋_GBK"/>
          <w:szCs w:val="32"/>
        </w:rPr>
      </w:pPr>
      <w:r>
        <w:rPr>
          <w:rFonts w:eastAsia="方正黑体_GBK"/>
          <w:szCs w:val="32"/>
        </w:rPr>
        <w:t>一般公共预算</w:t>
      </w:r>
      <w:r>
        <w:rPr>
          <w:rFonts w:eastAsia="方正仿宋_GBK"/>
          <w:szCs w:val="32"/>
        </w:rPr>
        <w:t xml:space="preserve">  </w:t>
      </w:r>
      <w:r>
        <w:rPr>
          <w:rFonts w:eastAsia="方正仿宋_GBK"/>
          <w:szCs w:val="32"/>
        </w:rPr>
        <w:t>指对以税收为主体的财政收入，安排用于保障和改善民生、推动经济社会发展、维护国家安全、维持国家机构正常运转等方面的收支预算。地方各级一般公共预算包括本级各部门的预算和税收返还、转移支付预算。</w:t>
      </w:r>
    </w:p>
    <w:p w:rsidR="007B37D1" w:rsidRDefault="007B37D1" w:rsidP="007B37D1">
      <w:pPr>
        <w:spacing w:line="580" w:lineRule="exact"/>
        <w:ind w:firstLineChars="200" w:firstLine="640"/>
        <w:jc w:val="both"/>
        <w:rPr>
          <w:rFonts w:eastAsia="方正仿宋_GBK"/>
          <w:szCs w:val="32"/>
        </w:rPr>
      </w:pPr>
      <w:r>
        <w:rPr>
          <w:rFonts w:eastAsia="方正黑体_GBK"/>
          <w:szCs w:val="32"/>
        </w:rPr>
        <w:t>政府性基金预算</w:t>
      </w:r>
      <w:r>
        <w:rPr>
          <w:rFonts w:eastAsia="方正仿宋_GBK"/>
          <w:szCs w:val="32"/>
        </w:rPr>
        <w:t xml:space="preserve">  </w:t>
      </w:r>
      <w:r>
        <w:rPr>
          <w:rFonts w:eastAsia="方正仿宋_GBK"/>
          <w:szCs w:val="32"/>
        </w:rPr>
        <w:t>指对依照法律、行政法规的规定在一定期限内向特定对象征收、收取或者以其他方式筹集的资金，专项用于特定公共事业发展的收支预算。</w:t>
      </w:r>
    </w:p>
    <w:p w:rsidR="007B37D1" w:rsidRDefault="007B37D1" w:rsidP="007B37D1">
      <w:pPr>
        <w:spacing w:line="580" w:lineRule="exact"/>
        <w:ind w:firstLineChars="200" w:firstLine="592"/>
        <w:jc w:val="both"/>
        <w:rPr>
          <w:rFonts w:eastAsia="方正仿宋_GBK"/>
          <w:spacing w:val="-12"/>
          <w:szCs w:val="32"/>
        </w:rPr>
      </w:pPr>
      <w:r>
        <w:rPr>
          <w:rFonts w:eastAsia="方正黑体_GBK"/>
          <w:spacing w:val="-12"/>
          <w:szCs w:val="32"/>
        </w:rPr>
        <w:t>国有资本经营预算</w:t>
      </w:r>
      <w:r>
        <w:rPr>
          <w:rFonts w:eastAsia="方正仿宋_GBK"/>
          <w:spacing w:val="-12"/>
          <w:szCs w:val="32"/>
        </w:rPr>
        <w:t xml:space="preserve">  </w:t>
      </w:r>
      <w:r>
        <w:rPr>
          <w:rFonts w:eastAsia="方正仿宋_GBK"/>
          <w:spacing w:val="-12"/>
          <w:szCs w:val="32"/>
        </w:rPr>
        <w:t>指对国有资本收益</w:t>
      </w:r>
      <w:proofErr w:type="gramStart"/>
      <w:r>
        <w:rPr>
          <w:rFonts w:eastAsia="方正仿宋_GBK"/>
          <w:spacing w:val="-12"/>
          <w:szCs w:val="32"/>
        </w:rPr>
        <w:t>作出</w:t>
      </w:r>
      <w:proofErr w:type="gramEnd"/>
      <w:r>
        <w:rPr>
          <w:rFonts w:eastAsia="方正仿宋_GBK"/>
          <w:spacing w:val="-12"/>
          <w:szCs w:val="32"/>
        </w:rPr>
        <w:t>支出安排的收支预算。</w:t>
      </w:r>
    </w:p>
    <w:p w:rsidR="007B37D1" w:rsidRDefault="007B37D1" w:rsidP="007B37D1">
      <w:pPr>
        <w:spacing w:line="580" w:lineRule="exact"/>
        <w:ind w:firstLineChars="200" w:firstLine="640"/>
        <w:jc w:val="both"/>
        <w:rPr>
          <w:rFonts w:eastAsia="方正黑体_GBK"/>
          <w:szCs w:val="32"/>
        </w:rPr>
      </w:pPr>
      <w:r>
        <w:rPr>
          <w:rFonts w:eastAsia="方正黑体_GBK"/>
          <w:szCs w:val="32"/>
        </w:rPr>
        <w:t>上级补助收入</w:t>
      </w:r>
      <w:r>
        <w:rPr>
          <w:rFonts w:eastAsia="方正仿宋_GBK"/>
          <w:bCs/>
          <w:szCs w:val="32"/>
        </w:rPr>
        <w:t xml:space="preserve">  </w:t>
      </w:r>
      <w:r>
        <w:rPr>
          <w:rFonts w:eastAsia="方正仿宋_GBK"/>
          <w:bCs/>
          <w:szCs w:val="32"/>
        </w:rPr>
        <w:t>指从上级财政取得的一般性转移支付和专项转移支付。</w:t>
      </w:r>
    </w:p>
    <w:p w:rsidR="007B37D1" w:rsidRDefault="007B37D1" w:rsidP="007B37D1">
      <w:pPr>
        <w:spacing w:line="580" w:lineRule="exact"/>
        <w:ind w:firstLineChars="200" w:firstLine="640"/>
        <w:jc w:val="both"/>
        <w:rPr>
          <w:rFonts w:eastAsia="方正仿宋_GBK"/>
          <w:szCs w:val="32"/>
        </w:rPr>
      </w:pPr>
      <w:r>
        <w:rPr>
          <w:rFonts w:eastAsia="方正黑体_GBK"/>
          <w:szCs w:val="32"/>
        </w:rPr>
        <w:t>地方债务转贷收入</w:t>
      </w:r>
      <w:r>
        <w:rPr>
          <w:rFonts w:eastAsia="方正仿宋_GBK"/>
          <w:szCs w:val="32"/>
        </w:rPr>
        <w:t xml:space="preserve">  </w:t>
      </w:r>
      <w:r>
        <w:rPr>
          <w:rFonts w:eastAsia="方正仿宋_GBK"/>
          <w:szCs w:val="32"/>
        </w:rPr>
        <w:t>指本级政府财政收到上级政府财政转贷的债务收入。按资金性质分为一般债务转贷收入（一般公共预算）和专项债务转贷收入（政府性基金预算）。按用途分为新增债券、</w:t>
      </w:r>
      <w:r>
        <w:rPr>
          <w:rFonts w:eastAsia="方正仿宋_GBK"/>
          <w:szCs w:val="32"/>
        </w:rPr>
        <w:lastRenderedPageBreak/>
        <w:t>置换债券和再融资债券。</w:t>
      </w:r>
    </w:p>
    <w:p w:rsidR="007B37D1" w:rsidRDefault="007B37D1" w:rsidP="007B37D1">
      <w:pPr>
        <w:spacing w:line="580" w:lineRule="exact"/>
        <w:ind w:firstLineChars="200" w:firstLine="640"/>
        <w:rPr>
          <w:rFonts w:eastAsia="方正仿宋_GBK"/>
          <w:spacing w:val="-6"/>
          <w:kern w:val="2"/>
          <w:szCs w:val="32"/>
        </w:rPr>
      </w:pPr>
      <w:r>
        <w:rPr>
          <w:rFonts w:eastAsia="方正黑体_GBK"/>
          <w:szCs w:val="32"/>
        </w:rPr>
        <w:t>预算稳定调节基金</w:t>
      </w:r>
      <w:r>
        <w:rPr>
          <w:rFonts w:eastAsia="方正仿宋_GBK"/>
          <w:szCs w:val="32"/>
        </w:rPr>
        <w:t xml:space="preserve">  </w:t>
      </w:r>
      <w:r>
        <w:rPr>
          <w:rFonts w:eastAsia="方正仿宋_GBK"/>
          <w:szCs w:val="32"/>
        </w:rPr>
        <w:t>指中央或地方财政通过超支收入和支出结余等安排的具有储备性质的基金，</w:t>
      </w:r>
      <w:proofErr w:type="gramStart"/>
      <w:r>
        <w:rPr>
          <w:rFonts w:eastAsia="方正仿宋_GBK"/>
          <w:szCs w:val="32"/>
        </w:rPr>
        <w:t>视预算</w:t>
      </w:r>
      <w:proofErr w:type="gramEnd"/>
      <w:r>
        <w:rPr>
          <w:rFonts w:eastAsia="方正仿宋_GBK"/>
          <w:szCs w:val="32"/>
        </w:rPr>
        <w:t>平衡情况，在安排下年度预算时调入并使用，或用于弥补短收年份预算执行的收支缺</w:t>
      </w:r>
      <w:r>
        <w:rPr>
          <w:rFonts w:eastAsia="方正仿宋_GBK"/>
          <w:spacing w:val="-6"/>
          <w:szCs w:val="32"/>
        </w:rPr>
        <w:t>口。预算稳定调节基金的安排使用接受同级人大及其常委会的监督。</w:t>
      </w:r>
    </w:p>
    <w:p w:rsidR="007B37D1" w:rsidRDefault="007B37D1" w:rsidP="007B37D1">
      <w:pPr>
        <w:spacing w:line="580" w:lineRule="exact"/>
        <w:ind w:firstLineChars="200" w:firstLine="640"/>
        <w:rPr>
          <w:rFonts w:eastAsia="方正仿宋_GBK"/>
          <w:szCs w:val="32"/>
        </w:rPr>
      </w:pPr>
      <w:r>
        <w:rPr>
          <w:rFonts w:eastAsia="方正黑体_GBK"/>
          <w:szCs w:val="32"/>
        </w:rPr>
        <w:t>上解支出</w:t>
      </w:r>
      <w:r>
        <w:rPr>
          <w:rFonts w:eastAsia="方正仿宋_GBK"/>
          <w:szCs w:val="32"/>
        </w:rPr>
        <w:t xml:space="preserve">  </w:t>
      </w:r>
      <w:r>
        <w:rPr>
          <w:rFonts w:eastAsia="方正仿宋_GBK"/>
          <w:szCs w:val="32"/>
        </w:rPr>
        <w:t>指按照财政体制规定由本级政府财政上交给上级政府财政的款项。</w:t>
      </w:r>
    </w:p>
    <w:p w:rsidR="007B37D1" w:rsidRDefault="007B37D1" w:rsidP="007B37D1">
      <w:pPr>
        <w:spacing w:line="580" w:lineRule="exact"/>
        <w:ind w:firstLineChars="200" w:firstLine="640"/>
        <w:rPr>
          <w:rFonts w:eastAsia="方正仿宋_GBK"/>
          <w:szCs w:val="32"/>
        </w:rPr>
      </w:pPr>
      <w:r>
        <w:rPr>
          <w:rFonts w:eastAsia="方正黑体_GBK"/>
          <w:szCs w:val="32"/>
        </w:rPr>
        <w:t>调出资金</w:t>
      </w:r>
      <w:r>
        <w:rPr>
          <w:rFonts w:eastAsia="方正仿宋_GBK"/>
          <w:szCs w:val="32"/>
        </w:rPr>
        <w:t xml:space="preserve">  </w:t>
      </w:r>
      <w:r>
        <w:rPr>
          <w:rFonts w:eastAsia="方正仿宋_GBK"/>
          <w:szCs w:val="32"/>
        </w:rPr>
        <w:t>指政府财政为平衡预算收支、从某类资金向其他类型预算调出的资金。</w:t>
      </w:r>
    </w:p>
    <w:p w:rsidR="007B37D1" w:rsidRDefault="007B37D1" w:rsidP="007B37D1">
      <w:pPr>
        <w:spacing w:line="580" w:lineRule="exact"/>
        <w:ind w:firstLineChars="200" w:firstLine="640"/>
        <w:rPr>
          <w:rFonts w:eastAsia="方正仿宋_GBK"/>
          <w:szCs w:val="32"/>
        </w:rPr>
      </w:pPr>
      <w:r>
        <w:rPr>
          <w:rFonts w:eastAsia="方正黑体_GBK"/>
          <w:szCs w:val="32"/>
        </w:rPr>
        <w:t>调入资金</w:t>
      </w:r>
      <w:r>
        <w:rPr>
          <w:rFonts w:eastAsia="方正仿宋_GBK"/>
          <w:szCs w:val="32"/>
        </w:rPr>
        <w:t xml:space="preserve">  </w:t>
      </w:r>
      <w:r>
        <w:rPr>
          <w:rFonts w:eastAsia="方正仿宋_GBK"/>
          <w:szCs w:val="32"/>
        </w:rPr>
        <w:t>指政府财政为平衡某类预算收支、从其他类型预算资金及其他渠道调入的资金。</w:t>
      </w:r>
    </w:p>
    <w:p w:rsidR="007B37D1" w:rsidRDefault="007B37D1" w:rsidP="007B37D1">
      <w:pPr>
        <w:spacing w:line="580" w:lineRule="exact"/>
        <w:ind w:firstLineChars="200" w:firstLine="640"/>
        <w:jc w:val="both"/>
        <w:rPr>
          <w:rFonts w:eastAsia="方正仿宋_GBK"/>
          <w:bCs/>
          <w:szCs w:val="32"/>
        </w:rPr>
      </w:pPr>
      <w:r>
        <w:rPr>
          <w:rFonts w:eastAsia="方正黑体_GBK"/>
          <w:szCs w:val="32"/>
        </w:rPr>
        <w:t>可用财力</w:t>
      </w:r>
      <w:r>
        <w:rPr>
          <w:rFonts w:eastAsia="方正仿宋_GBK"/>
          <w:bCs/>
          <w:szCs w:val="32"/>
        </w:rPr>
        <w:t xml:space="preserve">  </w:t>
      </w:r>
      <w:r>
        <w:rPr>
          <w:rFonts w:eastAsia="方正仿宋_GBK"/>
          <w:bCs/>
          <w:szCs w:val="32"/>
        </w:rPr>
        <w:t>指按照现行财政体制规定，在预算年度内可统筹安排使用的预算内资金，其来源包括当年一般公共预算收入、税收返还收入、下级上解收入、一般性转移支付补助、上年结转结余，并从中扣减上解上级及补助下级资金。</w:t>
      </w:r>
    </w:p>
    <w:p w:rsidR="007B37D1" w:rsidRDefault="007B37D1" w:rsidP="007B37D1">
      <w:pPr>
        <w:spacing w:line="580" w:lineRule="exact"/>
        <w:ind w:firstLineChars="200" w:firstLine="640"/>
        <w:jc w:val="both"/>
        <w:rPr>
          <w:rFonts w:eastAsia="方正仿宋_GBK"/>
          <w:bCs/>
          <w:szCs w:val="32"/>
        </w:rPr>
      </w:pPr>
      <w:r>
        <w:rPr>
          <w:rFonts w:eastAsia="方正黑体_GBK"/>
          <w:szCs w:val="32"/>
        </w:rPr>
        <w:t>区与街镇财政管理体制</w:t>
      </w:r>
      <w:r>
        <w:rPr>
          <w:rFonts w:eastAsia="方正黑体_GBK"/>
          <w:szCs w:val="32"/>
        </w:rPr>
        <w:t xml:space="preserve"> </w:t>
      </w:r>
      <w:r>
        <w:rPr>
          <w:rFonts w:eastAsia="方正仿宋_GBK"/>
          <w:bCs/>
          <w:szCs w:val="32"/>
        </w:rPr>
        <w:t xml:space="preserve"> </w:t>
      </w:r>
      <w:r>
        <w:rPr>
          <w:rFonts w:eastAsia="方正仿宋_GBK"/>
          <w:bCs/>
          <w:szCs w:val="32"/>
        </w:rPr>
        <w:t>指根据区与街镇两级政权的职责范围划分各级预算收支范围和管理权限，并规定收支划分的方法。</w:t>
      </w:r>
    </w:p>
    <w:p w:rsidR="007B37D1" w:rsidRDefault="007B37D1" w:rsidP="007B37D1">
      <w:pPr>
        <w:spacing w:line="580" w:lineRule="exact"/>
        <w:ind w:firstLineChars="200" w:firstLine="640"/>
        <w:jc w:val="both"/>
        <w:rPr>
          <w:rFonts w:hint="eastAsia"/>
        </w:rPr>
      </w:pPr>
      <w:r>
        <w:rPr>
          <w:rFonts w:eastAsia="方正黑体_GBK"/>
          <w:szCs w:val="32"/>
        </w:rPr>
        <w:t>绩效管理</w:t>
      </w:r>
      <w:r>
        <w:rPr>
          <w:rFonts w:eastAsia="方正仿宋_GBK"/>
          <w:bCs/>
          <w:szCs w:val="32"/>
        </w:rPr>
        <w:t xml:space="preserve">  </w:t>
      </w:r>
      <w:r>
        <w:rPr>
          <w:rFonts w:eastAsia="方正仿宋_GBK"/>
          <w:bCs/>
          <w:szCs w:val="32"/>
        </w:rPr>
        <w:t>指在预算管理中融入绩效观念，将预算绩效目标设定、过程跟踪、结果评价及应用纳入预算编制、执行、监督全过程，以提高预算资金的经济效益、社会效益、生态效益和可持续发展为目的的管理活动。</w:t>
      </w:r>
    </w:p>
    <w:p w:rsidR="00C440AE" w:rsidRPr="007B37D1" w:rsidRDefault="00C440AE">
      <w:bookmarkStart w:id="0" w:name="_GoBack"/>
      <w:bookmarkEnd w:id="0"/>
    </w:p>
    <w:sectPr w:rsidR="00C440AE" w:rsidRPr="007B37D1">
      <w:headerReference w:type="even" r:id="rId7"/>
      <w:footerReference w:type="even" r:id="rId8"/>
      <w:footerReference w:type="default" r:id="rId9"/>
      <w:headerReference w:type="first" r:id="rId10"/>
      <w:footerReference w:type="first" r:id="rId11"/>
      <w:pgSz w:w="11906" w:h="16838"/>
      <w:pgMar w:top="1985" w:right="1446" w:bottom="1644" w:left="1446" w:header="851" w:footer="851"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8A" w:rsidRDefault="0052048A" w:rsidP="007B37D1">
      <w:r>
        <w:separator/>
      </w:r>
    </w:p>
  </w:endnote>
  <w:endnote w:type="continuationSeparator" w:id="0">
    <w:p w:rsidR="0052048A" w:rsidRDefault="0052048A" w:rsidP="007B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C8" w:rsidRDefault="0052048A">
    <w:pPr>
      <w:pStyle w:val="a4"/>
      <w:framePr w:wrap="around" w:vAnchor="text" w:hAnchor="margin" w:xAlign="outside" w:y="1"/>
      <w:rPr>
        <w:rStyle w:val="a5"/>
        <w:rFonts w:ascii="宋体" w:eastAsia="宋体" w:hAnsi="宋体" w:hint="eastAsia"/>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14</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EF09C8" w:rsidRDefault="0052048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C8" w:rsidRDefault="0052048A">
    <w:pPr>
      <w:pStyle w:val="a4"/>
      <w:framePr w:wrap="around" w:vAnchor="text" w:hAnchor="margin" w:xAlign="outside" w:y="1"/>
      <w:rPr>
        <w:rStyle w:val="a5"/>
        <w:rFonts w:ascii="宋体" w:eastAsia="宋体" w:hAnsi="宋体" w:hint="eastAsia"/>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sidR="007B37D1">
      <w:rPr>
        <w:rStyle w:val="a5"/>
        <w:rFonts w:ascii="宋体" w:eastAsia="宋体" w:hAnsi="宋体"/>
        <w:noProof/>
        <w:sz w:val="28"/>
        <w:szCs w:val="28"/>
      </w:rPr>
      <w:t>2</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EF09C8" w:rsidRDefault="0052048A">
    <w:pPr>
      <w:pStyle w:val="a4"/>
      <w:ind w:right="640" w:firstLine="360"/>
      <w:jc w:val="right"/>
      <w:rPr>
        <w:rFonts w:ascii="宋体" w:eastAsia="宋体" w:hAnsi="宋体" w:hint="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C8" w:rsidRDefault="0052048A">
    <w:pPr>
      <w:pStyle w:val="a4"/>
      <w:jc w:val="right"/>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7B37D1">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p w:rsidR="00EF09C8" w:rsidRDefault="005204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8A" w:rsidRDefault="0052048A" w:rsidP="007B37D1">
      <w:r>
        <w:separator/>
      </w:r>
    </w:p>
  </w:footnote>
  <w:footnote w:type="continuationSeparator" w:id="0">
    <w:p w:rsidR="0052048A" w:rsidRDefault="0052048A" w:rsidP="007B3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C8" w:rsidRDefault="0052048A">
    <w:pPr>
      <w:pStyle w:val="a3"/>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C8" w:rsidRDefault="0052048A">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FF"/>
    <w:rsid w:val="0052048A"/>
    <w:rsid w:val="005E00EB"/>
    <w:rsid w:val="007B37D1"/>
    <w:rsid w:val="008B16FF"/>
    <w:rsid w:val="00B7376E"/>
    <w:rsid w:val="00C44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B37D1"/>
    <w:pPr>
      <w:widowControl w:val="0"/>
      <w:adjustRightInd w:val="0"/>
      <w:textAlignment w:val="baseline"/>
    </w:pPr>
    <w:rPr>
      <w:rFonts w:ascii="Times New Roman" w:eastAsia="仿宋_GB2312" w:hAnsi="Times New Roman" w:cs="Times New Roman"/>
      <w:kern w:val="0"/>
      <w:sz w:val="32"/>
      <w:szCs w:val="20"/>
    </w:rPr>
  </w:style>
  <w:style w:type="paragraph" w:styleId="3">
    <w:name w:val="heading 3"/>
    <w:basedOn w:val="a"/>
    <w:next w:val="a"/>
    <w:link w:val="3Char"/>
    <w:uiPriority w:val="9"/>
    <w:semiHidden/>
    <w:unhideWhenUsed/>
    <w:qFormat/>
    <w:rsid w:val="007B37D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7D1"/>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B37D1"/>
    <w:rPr>
      <w:sz w:val="18"/>
      <w:szCs w:val="18"/>
    </w:rPr>
  </w:style>
  <w:style w:type="paragraph" w:styleId="a4">
    <w:name w:val="footer"/>
    <w:basedOn w:val="a"/>
    <w:link w:val="Char0"/>
    <w:uiPriority w:val="99"/>
    <w:unhideWhenUsed/>
    <w:rsid w:val="007B37D1"/>
    <w:pPr>
      <w:tabs>
        <w:tab w:val="center" w:pos="4153"/>
        <w:tab w:val="right" w:pos="8306"/>
      </w:tabs>
      <w:adjustRightInd/>
      <w:snapToGrid w:val="0"/>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B37D1"/>
    <w:rPr>
      <w:sz w:val="18"/>
      <w:szCs w:val="18"/>
    </w:rPr>
  </w:style>
  <w:style w:type="character" w:customStyle="1" w:styleId="Char1">
    <w:name w:val="页眉 Char1"/>
    <w:uiPriority w:val="99"/>
    <w:rsid w:val="007B37D1"/>
    <w:rPr>
      <w:rFonts w:ascii="Times New Roman" w:eastAsia="仿宋_GB2312" w:hAnsi="Times New Roman"/>
      <w:sz w:val="18"/>
      <w:szCs w:val="18"/>
    </w:rPr>
  </w:style>
  <w:style w:type="character" w:customStyle="1" w:styleId="Char10">
    <w:name w:val="页脚 Char1"/>
    <w:uiPriority w:val="99"/>
    <w:rsid w:val="007B37D1"/>
    <w:rPr>
      <w:rFonts w:ascii="Times New Roman" w:eastAsia="仿宋_GB2312" w:hAnsi="Times New Roman"/>
      <w:sz w:val="18"/>
      <w:szCs w:val="18"/>
    </w:rPr>
  </w:style>
  <w:style w:type="character" w:styleId="a5">
    <w:name w:val="page number"/>
    <w:basedOn w:val="a0"/>
    <w:unhideWhenUsed/>
    <w:rsid w:val="007B37D1"/>
  </w:style>
  <w:style w:type="paragraph" w:customStyle="1" w:styleId="CharCharCharCharCharCharCharCharChar1">
    <w:name w:val="Char Char Char Char Char Char Char Char Char1"/>
    <w:basedOn w:val="a"/>
    <w:qFormat/>
    <w:rsid w:val="007B37D1"/>
    <w:pPr>
      <w:adjustRightInd/>
      <w:jc w:val="both"/>
      <w:textAlignment w:val="auto"/>
    </w:pPr>
    <w:rPr>
      <w:kern w:val="2"/>
      <w:sz w:val="24"/>
      <w:szCs w:val="24"/>
    </w:rPr>
  </w:style>
  <w:style w:type="character" w:customStyle="1" w:styleId="3Char">
    <w:name w:val="标题 3 Char"/>
    <w:basedOn w:val="a0"/>
    <w:link w:val="3"/>
    <w:uiPriority w:val="9"/>
    <w:semiHidden/>
    <w:rsid w:val="007B37D1"/>
    <w:rPr>
      <w:rFonts w:ascii="Times New Roman" w:eastAsia="仿宋_GB2312" w:hAnsi="Times New Roman"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B37D1"/>
    <w:pPr>
      <w:widowControl w:val="0"/>
      <w:adjustRightInd w:val="0"/>
      <w:textAlignment w:val="baseline"/>
    </w:pPr>
    <w:rPr>
      <w:rFonts w:ascii="Times New Roman" w:eastAsia="仿宋_GB2312" w:hAnsi="Times New Roman" w:cs="Times New Roman"/>
      <w:kern w:val="0"/>
      <w:sz w:val="32"/>
      <w:szCs w:val="20"/>
    </w:rPr>
  </w:style>
  <w:style w:type="paragraph" w:styleId="3">
    <w:name w:val="heading 3"/>
    <w:basedOn w:val="a"/>
    <w:next w:val="a"/>
    <w:link w:val="3Char"/>
    <w:uiPriority w:val="9"/>
    <w:semiHidden/>
    <w:unhideWhenUsed/>
    <w:qFormat/>
    <w:rsid w:val="007B37D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7D1"/>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B37D1"/>
    <w:rPr>
      <w:sz w:val="18"/>
      <w:szCs w:val="18"/>
    </w:rPr>
  </w:style>
  <w:style w:type="paragraph" w:styleId="a4">
    <w:name w:val="footer"/>
    <w:basedOn w:val="a"/>
    <w:link w:val="Char0"/>
    <w:uiPriority w:val="99"/>
    <w:unhideWhenUsed/>
    <w:rsid w:val="007B37D1"/>
    <w:pPr>
      <w:tabs>
        <w:tab w:val="center" w:pos="4153"/>
        <w:tab w:val="right" w:pos="8306"/>
      </w:tabs>
      <w:adjustRightInd/>
      <w:snapToGrid w:val="0"/>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B37D1"/>
    <w:rPr>
      <w:sz w:val="18"/>
      <w:szCs w:val="18"/>
    </w:rPr>
  </w:style>
  <w:style w:type="character" w:customStyle="1" w:styleId="Char1">
    <w:name w:val="页眉 Char1"/>
    <w:uiPriority w:val="99"/>
    <w:rsid w:val="007B37D1"/>
    <w:rPr>
      <w:rFonts w:ascii="Times New Roman" w:eastAsia="仿宋_GB2312" w:hAnsi="Times New Roman"/>
      <w:sz w:val="18"/>
      <w:szCs w:val="18"/>
    </w:rPr>
  </w:style>
  <w:style w:type="character" w:customStyle="1" w:styleId="Char10">
    <w:name w:val="页脚 Char1"/>
    <w:uiPriority w:val="99"/>
    <w:rsid w:val="007B37D1"/>
    <w:rPr>
      <w:rFonts w:ascii="Times New Roman" w:eastAsia="仿宋_GB2312" w:hAnsi="Times New Roman"/>
      <w:sz w:val="18"/>
      <w:szCs w:val="18"/>
    </w:rPr>
  </w:style>
  <w:style w:type="character" w:styleId="a5">
    <w:name w:val="page number"/>
    <w:basedOn w:val="a0"/>
    <w:unhideWhenUsed/>
    <w:rsid w:val="007B37D1"/>
  </w:style>
  <w:style w:type="paragraph" w:customStyle="1" w:styleId="CharCharCharCharCharCharCharCharChar1">
    <w:name w:val="Char Char Char Char Char Char Char Char Char1"/>
    <w:basedOn w:val="a"/>
    <w:qFormat/>
    <w:rsid w:val="007B37D1"/>
    <w:pPr>
      <w:adjustRightInd/>
      <w:jc w:val="both"/>
      <w:textAlignment w:val="auto"/>
    </w:pPr>
    <w:rPr>
      <w:kern w:val="2"/>
      <w:sz w:val="24"/>
      <w:szCs w:val="24"/>
    </w:rPr>
  </w:style>
  <w:style w:type="character" w:customStyle="1" w:styleId="3Char">
    <w:name w:val="标题 3 Char"/>
    <w:basedOn w:val="a0"/>
    <w:link w:val="3"/>
    <w:uiPriority w:val="9"/>
    <w:semiHidden/>
    <w:rsid w:val="007B37D1"/>
    <w:rPr>
      <w:rFonts w:ascii="Times New Roman" w:eastAsia="仿宋_GB2312" w:hAnsi="Times New Roman"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830</Characters>
  <Application>Microsoft Office Word</Application>
  <DocSecurity>0</DocSecurity>
  <Lines>6</Lines>
  <Paragraphs>1</Paragraphs>
  <ScaleCrop>false</ScaleCrop>
  <Company>Microsoft</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袁英</dc:creator>
  <cp:keywords/>
  <dc:description/>
  <cp:lastModifiedBy>袁英</cp:lastModifiedBy>
  <cp:revision>2</cp:revision>
  <dcterms:created xsi:type="dcterms:W3CDTF">2021-10-15T01:30:00Z</dcterms:created>
  <dcterms:modified xsi:type="dcterms:W3CDTF">2021-10-15T01:30:00Z</dcterms:modified>
</cp:coreProperties>
</file>