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ascii="Times New Roman" w:eastAsia="方正小标宋_GBK" w:cs="Times New Roman" w:hAnsi="Times New Roman"/>
          <w:b/>
          <w:bCs/>
          <w:sz w:val="32"/>
          <w:szCs w:val="32"/>
          <w:lang w:val="en-US" w:eastAsia="zh-CN"/>
          <w:highlight w:val="auto"/>
        </w:rPr>
      </w:pPr>
      <w:r>
        <w:rPr>
          <w:rFonts w:ascii="Times New Roman" w:eastAsia="方正小标宋_GBK" w:cs="Times New Roman" w:hAnsi="Times New Roman"/>
          <w:b/>
          <w:bCs/>
          <w:sz w:val="44"/>
          <w:szCs w:val="44"/>
          <w:lang w:val="en-US" w:eastAsia="zh-CN"/>
          <w:highlight w:val="auto"/>
        </w:rPr>
        <w:t>区大数据发展局</w:t>
      </w:r>
      <w:r>
        <w:rPr>
          <w:rFonts w:ascii="Times New Roman" w:eastAsia="方正小标宋_GBK" w:cs="Times New Roman" w:hAnsi="Times New Roman"/>
          <w:b/>
          <w:bCs/>
          <w:sz w:val="44"/>
          <w:szCs w:val="44"/>
          <w:highlight w:val="auto"/>
        </w:rPr>
        <w:t>学分制管理办法</w:t>
      </w:r>
      <w:r>
        <w:rPr>
          <w:rFonts w:ascii="Times New Roman" w:eastAsia="方正小标宋_GBK" w:cs="Times New Roman" w:hAnsi="Times New Roman"/>
          <w:b/>
          <w:bCs/>
          <w:sz w:val="44"/>
          <w:szCs w:val="44"/>
          <w:lang w:eastAsia="zh-CN"/>
          <w:highlight w:val="auto"/>
        </w:rPr>
        <w:t>（</w:t>
      </w:r>
      <w:r>
        <w:rPr>
          <w:rFonts w:ascii="Times New Roman" w:eastAsia="方正小标宋_GBK" w:cs="Times New Roman" w:hAnsi="Times New Roman"/>
          <w:b/>
          <w:bCs/>
          <w:sz w:val="44"/>
          <w:szCs w:val="44"/>
          <w:lang w:val="en-US" w:eastAsia="zh-CN"/>
          <w:highlight w:val="auto"/>
        </w:rPr>
        <w:t>试行</w:t>
      </w:r>
      <w:r>
        <w:rPr>
          <w:rFonts w:ascii="Times New Roman" w:eastAsia="方正小标宋_GBK" w:cs="Times New Roman" w:hAnsi="Times New Roman"/>
          <w:b/>
          <w:bCs/>
          <w:sz w:val="44"/>
          <w:szCs w:val="44"/>
          <w:lang w:eastAsia="zh-CN"/>
          <w:highlight w:val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ascii="Times New Roman" w:eastAsia="方正楷体_GBK" w:cs="Times New Roman" w:hAnsi="Times New Roman"/>
          <w:sz w:val="32"/>
          <w:szCs w:val="32"/>
          <w:lang w:val="en-US" w:eastAsia="zh-CN"/>
          <w:highlight w:val="auto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Style w:val="22"/>
          <w:rFonts w:ascii="Times New Roman" w:eastAsia="方正黑体_GBK" w:cs="Times New Roman" w:hAnsi="Times New Roman"/>
          <w:b w:val="0"/>
          <w:bCs w:val="0"/>
          <w:sz w:val="32"/>
          <w:szCs w:val="32"/>
          <w:highlight w:val="auto"/>
        </w:rPr>
      </w:pPr>
      <w:r>
        <w:rPr>
          <w:rStyle w:val="22"/>
          <w:rFonts w:ascii="Times New Roman" w:eastAsia="方正黑体_GBK" w:cs="Times New Roman" w:hAnsi="Times New Roman"/>
          <w:b w:val="0"/>
          <w:bCs w:val="0"/>
          <w:sz w:val="32"/>
          <w:szCs w:val="32"/>
          <w:highlight w:val="auto"/>
        </w:rPr>
        <w:t>第一章  总则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highlight w:val="auto"/>
        </w:rPr>
        <w:t>第一条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 xml:space="preserve">  为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进一步加强学习型机关建设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，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切实提高大数据干部队伍能力水平，推动全局各类学习活动开展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制度化、规范化，现结合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我局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实际，</w:t>
      </w:r>
      <w:r>
        <w:rPr>
          <w:rStyle w:val="22"/>
          <w:rFonts w:ascii="Times New Roman" w:eastAsia="方正仿宋_GBK" w:cs="Times New Roman" w:hAnsi="Times New Roman"/>
          <w:b w:val="0"/>
          <w:sz w:val="32"/>
          <w:szCs w:val="32"/>
          <w:highlight w:val="auto"/>
        </w:rPr>
        <w:t>特制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定本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管理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办法。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highlight w:val="auto"/>
        </w:rPr>
        <w:t>第二条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 xml:space="preserve">  学分制的管理对象为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局机关科室、大数据资源服务中心全体干部职工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Style w:val="22"/>
          <w:rFonts w:ascii="Times New Roman" w:eastAsia="方正黑体_GBK" w:cs="Times New Roman" w:hAnsi="Times New Roman"/>
          <w:b w:val="0"/>
          <w:bCs w:val="0"/>
          <w:sz w:val="32"/>
          <w:szCs w:val="32"/>
          <w:highlight w:val="auto"/>
        </w:rPr>
      </w:pPr>
      <w:r>
        <w:rPr>
          <w:rStyle w:val="22"/>
          <w:rFonts w:ascii="Times New Roman" w:eastAsia="方正黑体_GBK" w:cs="Times New Roman" w:hAnsi="Times New Roman"/>
          <w:b w:val="0"/>
          <w:bCs w:val="0"/>
          <w:sz w:val="32"/>
          <w:szCs w:val="32"/>
          <w:highlight w:val="auto"/>
        </w:rPr>
        <w:t>第二章  主要内容及标准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highlight w:val="auto"/>
        </w:rPr>
        <w:t>第三条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 xml:space="preserve">  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本办法将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从“听”、“读”、“写”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三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个方面对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干部职工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学习情况进行管理。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Fonts w:ascii="Times New Roman" w:eastAsia="方正仿宋_GBK" w:cs="Times New Roman" w:hAnsi="Times New Roman"/>
          <w:sz w:val="32"/>
          <w:szCs w:val="32"/>
          <w:highlight w:val="auto"/>
        </w:rPr>
      </w:pP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1.听。主要了解参学者在参加理论中心组学习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eastAsia="zh-CN"/>
          <w:highlight w:val="auto"/>
        </w:rPr>
        <w:t>、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党支部“三会一课”、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大数据讲堂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以及各级各部门组织的业务培训时的出勤、遵守学习纪律等情况</w:t>
      </w:r>
      <w:r>
        <w:rPr>
          <w:rFonts w:ascii="Times New Roman" w:eastAsia="方正仿宋_GBK" w:cs="Times New Roman" w:hAnsi="Times New Roman"/>
          <w:sz w:val="32"/>
          <w:szCs w:val="32"/>
          <w:highlight w:val="auto"/>
        </w:rPr>
        <w:t>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</w:pP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2.读。主要了解参学者利用业余时间自学政治理论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eastAsia="zh-CN"/>
          <w:highlight w:val="auto"/>
        </w:rPr>
        <w:t>、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历史文化等积极健康书籍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eastAsia="zh-CN"/>
          <w:highlight w:val="auto"/>
        </w:rPr>
        <w:t>，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以及在“学习强国”平台上学习并获得积分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的情况。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</w:pP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3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.写。主要了解参学者撰写信息、调研报告、论文等情况。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highlight w:val="auto"/>
        </w:rPr>
        <w:t>第四条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 xml:space="preserve">  分值设置。满分为100分，其中“听”满分为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40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分，“读”满分为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20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分，“写”满分为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40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第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lang w:val="en-US" w:eastAsia="zh-CN"/>
          <w:highlight w:val="auto"/>
        </w:rPr>
        <w:t>五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条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 xml:space="preserve">  学分标准。按照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“听”、“读”、“写”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三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个方面学习内容和国家级、市级、区级、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局级四个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层次设置不同的分值。同一记分项目，按最高分值记分，不累计计分。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1.“听”学分。指参学者主要以听课的方式参加学习培训等所获得的学分。此部分共计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40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分。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其中，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参加国家级学习培训，5分/次；参加市级学习培训，4分/次；参加区级学习培训，含对应区级部门组织的业务培训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eastAsia="zh-CN"/>
          <w:highlight w:val="auto"/>
        </w:rPr>
        <w:t>、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讲堂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等，3分/次；参加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局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级学习培训，含理论中心组学习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eastAsia="zh-CN"/>
          <w:highlight w:val="auto"/>
        </w:rPr>
        <w:t>、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支部“三会一课”、大数据讲堂、青年理论学习小组学习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等，2分/次。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一次学习1小时以上开始计学分，连续学习培训2天（含2天）以内计一次学分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eastAsia="zh-CN"/>
          <w:highlight w:val="auto"/>
        </w:rPr>
        <w:t>。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参加网上学习的，根据组织单位的级别，按照总课程一次积分，不单独按照天数积分。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:lang w:val="en-US"/>
          <w:highlight w:val="auto"/>
        </w:rPr>
      </w:pP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2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.“读”学分。指参学者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自觉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对党的十九大精神、《习近平谈治国理政》、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党史学习教育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eastAsia="zh-CN"/>
          <w:highlight w:val="auto"/>
        </w:rPr>
        <w:t>、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历史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文化、大数据智能化发展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等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内容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积极健康的书籍进行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学习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eastAsia="zh-CN"/>
          <w:highlight w:val="auto"/>
        </w:rPr>
        <w:t>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以及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在“学习强国”平台上开展学习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。此部分共计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20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分。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针对书籍学习情况进行学分申报时，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参学者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需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按照申报表（附件4），对所学内容进行填写，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2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分/本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eastAsia="zh-CN"/>
          <w:highlight w:val="auto"/>
        </w:rPr>
        <w:t>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此部分满分为4分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。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“学习强国”学分申报以平台积分为依据，每月底将统计每人本月积分增量，积分增量超过640分时才能申报学分，以640分为基础，每多30分，得学分1分，满分为16分。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Fonts w:ascii="Times New Roman" w:eastAsia="方正仿宋_GBK" w:cs="Times New Roman" w:hAnsi="Times New Roman"/>
          <w:color w:val="FF660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3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.“写”学分。指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参学者通过撰写信息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简报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、调研报告、论文等获得的学分。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此部分共计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40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分。</w:t>
      </w:r>
      <w:r>
        <w:rPr>
          <w:rStyle w:val="22"/>
          <w:rFonts w:ascii="Times New Roman" w:eastAsia="方正仿宋_GBK" w:cs="Times New Roman" w:hAnsi="Times New Roman"/>
          <w:b w:val="0"/>
          <w:color w:val="000000"/>
          <w:sz w:val="32"/>
          <w:szCs w:val="32"/>
          <w:highlight w:val="auto"/>
        </w:rPr>
        <w:t>信息简报类，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被《人民日报》《光明日报》等国家级正规报刊杂志采纳的，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20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分/篇（则）；被《重庆日报》《重庆晨报》等市级正规报刊、杂志、简报采纳的，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10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分/篇（则）；被《江北信息》《政务动态》等区级正规报刊、杂志、简报采纳的，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5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分/篇（则）；被《江北报》采纳的，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2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分/篇（则）。调研论文类，被《人民日报》《光明日报》等国家级正规报刊杂志采纳的，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30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分/篇；被《重庆日报》等市级正规报刊杂志采纳的，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15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分/篇；被《江北调研》采纳或完成区委宣传部组织的理论调研文章，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10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分/篇；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各类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获奖文章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eastAsia="zh-CN"/>
          <w:highlight w:val="auto"/>
        </w:rPr>
        <w:t>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双倍计算学分</w:t>
      </w:r>
      <w:r>
        <w:rPr>
          <w:rFonts w:ascii="Times New Roman" w:eastAsia="方正仿宋_GBK" w:cs="Times New Roman" w:hAnsi="Times New Roman"/>
          <w:sz w:val="32"/>
          <w:szCs w:val="32"/>
          <w:highlight w:val="auto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第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lang w:val="en-US" w:eastAsia="zh-CN"/>
          <w:highlight w:val="auto"/>
        </w:rPr>
        <w:t>六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条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 xml:space="preserve">  不计算学分的情况。凡有下列情形之一的，不计算学分：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1.参加工作会议的；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 xml:space="preserve">2.参加需要颁发结业证书的或者有培训测试的各类培训，未能获得结业证书，考试或考核成绩低于60分（100分制）的；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3.参加未按规定程序批准同意举办的学习、培训的；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4.听课时间没有达到课程时间一半的；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5.参加网络学习，没有完成相应时长，或者经考核不合格的；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6.其他与本办法中所指的内容不相符合的情况。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Style w:val="22"/>
          <w:rFonts w:ascii="Times New Roman" w:eastAsia="方正仿宋_GBK" w:cs="Times New Roman" w:hAnsi="Times New Roman"/>
          <w:b w:val="0"/>
          <w:sz w:val="32"/>
          <w:szCs w:val="32"/>
          <w:highlight w:val="auto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Style w:val="22"/>
          <w:rFonts w:ascii="Times New Roman" w:eastAsia="方正仿宋_GBK" w:cs="Times New Roman" w:hAnsi="Times New Roman"/>
          <w:b w:val="0"/>
          <w:sz w:val="32"/>
          <w:szCs w:val="32"/>
          <w:highlight w:val="auto"/>
        </w:rPr>
      </w:pPr>
      <w:r>
        <w:rPr>
          <w:rStyle w:val="22"/>
          <w:rFonts w:ascii="Times New Roman" w:eastAsia="方正黑体_GBK" w:cs="Times New Roman" w:hAnsi="Times New Roman"/>
          <w:b w:val="0"/>
          <w:sz w:val="32"/>
          <w:szCs w:val="32"/>
          <w:highlight w:val="auto"/>
        </w:rPr>
        <w:t>第三章  管理机构及程序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第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lang w:val="en-US" w:eastAsia="zh-CN"/>
          <w:highlight w:val="auto"/>
        </w:rPr>
        <w:t>七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条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 xml:space="preserve"> 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 xml:space="preserve"> 全局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学分管理工作在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局党组领导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下，由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综合科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第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lang w:val="en-US" w:eastAsia="zh-CN"/>
          <w:highlight w:val="auto"/>
        </w:rPr>
        <w:t>八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 xml:space="preserve">条 </w:t>
      </w:r>
      <w:r>
        <w:rPr>
          <w:rStyle w:val="22"/>
          <w:rFonts w:ascii="Times New Roman" w:eastAsia="方正楷体_GBK" w:cs="Times New Roman" w:hAnsi="Times New Roman"/>
          <w:b w:val="0"/>
          <w:bCs w:val="0"/>
          <w:color w:val="000000"/>
          <w:highlight w:val="auto"/>
        </w:rPr>
        <w:t xml:space="preserve"> 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管理程序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1.活动申报。承办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大数据讲堂等培训活动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的科室，填报《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培训活动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申报表》（见附件2）至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综合科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处，写明学习培训的时间、地点、内容、授课形式和参加人员范围。经分管领导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eastAsia="zh-CN"/>
          <w:highlight w:val="auto"/>
        </w:rPr>
        <w:t>、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主要领导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审核后，完成活动申报步骤。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2.学分登记。参加学习培训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之后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，各科室或学员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需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如实填写《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区大数据发展局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学分申报表》（见附件3）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eastAsia="zh-CN"/>
          <w:highlight w:val="auto"/>
        </w:rPr>
        <w:t>，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并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经科室负责人和分管领导审核签字后，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同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活动资料、参加人员名单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等材料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报至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lang w:val="en-US" w:eastAsia="zh-CN"/>
          <w:highlight w:val="auto"/>
        </w:rPr>
        <w:t>综合科</w:t>
      </w: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处，完成学分登记。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bCs/>
          <w:kern w:val="0"/>
          <w:sz w:val="32"/>
          <w:szCs w:val="32"/>
          <w:highlight w:val="auto"/>
        </w:rPr>
        <w:t>3.</w:t>
      </w:r>
      <w:r>
        <w:rPr>
          <w:rFonts w:ascii="Times New Roman" w:eastAsia="方正仿宋_GBK" w:cs="Times New Roman" w:hAnsi="Times New Roman"/>
          <w:bCs/>
          <w:sz w:val="32"/>
          <w:szCs w:val="32"/>
          <w:highlight w:val="auto"/>
        </w:rPr>
        <w:t>公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示。每季度，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综合科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将参学者审核后的学分进行公示。公示时间为5个工作日。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/>
          <w:bCs/>
          <w:sz w:val="32"/>
          <w:szCs w:val="32"/>
          <w:highlight w:val="auto"/>
        </w:rPr>
        <w:t>4.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归档。建立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区大数据发展局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干部培训登记库，如实记录学员参与学习情况和学分情况。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Style w:val="22"/>
          <w:rFonts w:ascii="Times New Roman" w:eastAsia="方正黑体_GBK" w:cs="Times New Roman" w:hAnsi="Times New Roman"/>
          <w:b w:val="0"/>
          <w:sz w:val="32"/>
          <w:szCs w:val="32"/>
          <w:highlight w:val="auto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Style w:val="22"/>
          <w:rFonts w:ascii="Times New Roman" w:eastAsia="方正仿宋_GBK" w:cs="Times New Roman" w:hAnsi="Times New Roman"/>
          <w:b w:val="0"/>
          <w:sz w:val="32"/>
          <w:szCs w:val="32"/>
          <w:highlight w:val="auto"/>
        </w:rPr>
      </w:pPr>
      <w:r>
        <w:rPr>
          <w:rStyle w:val="22"/>
          <w:rFonts w:ascii="Times New Roman" w:eastAsia="方正黑体_GBK" w:cs="Times New Roman" w:hAnsi="Times New Roman"/>
          <w:b w:val="0"/>
          <w:sz w:val="32"/>
          <w:szCs w:val="32"/>
          <w:highlight w:val="auto"/>
        </w:rPr>
        <w:t>第</w:t>
      </w:r>
      <w:r>
        <w:rPr>
          <w:rStyle w:val="22"/>
          <w:rFonts w:ascii="Times New Roman" w:eastAsia="方正黑体_GBK" w:cs="Times New Roman" w:hAnsi="Times New Roman"/>
          <w:b w:val="0"/>
          <w:sz w:val="32"/>
          <w:szCs w:val="32"/>
          <w:lang w:val="en-US" w:eastAsia="zh-CN"/>
          <w:highlight w:val="auto"/>
        </w:rPr>
        <w:t>四</w:t>
      </w:r>
      <w:r>
        <w:rPr>
          <w:rStyle w:val="22"/>
          <w:rFonts w:ascii="Times New Roman" w:eastAsia="方正黑体_GBK" w:cs="Times New Roman" w:hAnsi="Times New Roman"/>
          <w:b w:val="0"/>
          <w:sz w:val="32"/>
          <w:szCs w:val="32"/>
          <w:highlight w:val="auto"/>
        </w:rPr>
        <w:t>章  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:lang w:eastAsia="zh-CN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第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lang w:val="en-US" w:eastAsia="zh-CN"/>
          <w:highlight w:val="auto"/>
        </w:rPr>
        <w:t>九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条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 xml:space="preserve">  </w:t>
      </w:r>
      <w:r>
        <w:rPr>
          <w:rFonts w:ascii="Times New Roman" w:eastAsia="方正仿宋_GBK" w:cs="Times New Roman" w:hAnsi="Times New Roman"/>
          <w:bCs/>
          <w:color w:val="000000"/>
          <w:sz w:val="32"/>
          <w:szCs w:val="32"/>
          <w:highlight w:val="auto"/>
        </w:rPr>
        <w:t>学分标准。为了体现领导、干部带头学的要求，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根据不同的参学者确定以下基本学分标准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eastAsia="zh-CN"/>
          <w:highlight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</w:pPr>
      <w:r>
        <w:rPr>
          <w:rFonts w:ascii="Times New Roman" w:eastAsia="方正仿宋_GBK" w:cs="Times New Roman" w:hAnsi="Times New Roman"/>
          <w:color w:val="000000"/>
          <w:spacing w:val="-20"/>
          <w:sz w:val="32"/>
          <w:szCs w:val="32"/>
          <w:highlight w:val="auto"/>
        </w:rPr>
        <w:t xml:space="preserve">     1.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班子成员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eastAsia="zh-CN"/>
          <w:highlight w:val="auto"/>
        </w:rPr>
        <w:t>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70分/年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/人；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/>
        <w:jc w:val="both"/>
        <w:textAlignment w:val="auto"/>
        <w:rPr>
          <w:rFonts w:ascii="Times New Roman" w:eastAsia="方正仿宋_GBK" w:cs="Times New Roman" w:hAnsi="Times New Roman"/>
          <w:color w:val="000000"/>
          <w:spacing w:val="-20"/>
          <w:sz w:val="32"/>
          <w:szCs w:val="32"/>
          <w:lang w:val="en-US" w:eastAsia="zh-CN"/>
          <w:highlight w:val="auto"/>
        </w:rPr>
      </w:pP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 xml:space="preserve">    2.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各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科室负责人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60分/年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/人；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</w:pP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3.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其他人员，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50分/年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/人。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第十条</w:t>
      </w:r>
      <w:r>
        <w:rPr>
          <w:rFonts w:ascii="Times New Roman" w:eastAsia="方正仿宋_GBK" w:cs="Times New Roman" w:hAnsi="Times New Roman"/>
          <w:bCs/>
          <w:color w:val="000000"/>
          <w:kern w:val="0"/>
          <w:sz w:val="32"/>
          <w:szCs w:val="32"/>
          <w:highlight w:val="auto"/>
        </w:rPr>
        <w:t xml:space="preserve">  挂职、借调人员学分规定。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抽调到外单位挂职的、借用的人员，自主参加学分管理。不参加学分管理的，不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能参与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评先评优认定。借调或挂职时间在3个月以下的，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也需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参加学分管理。应修学分按照在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lang w:val="en-US" w:eastAsia="zh-CN"/>
          <w:highlight w:val="auto"/>
        </w:rPr>
        <w:t>局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>学习工作时间（月）在每年所占比例乘以应修学分进行折算。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第十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lang w:val="en-US" w:eastAsia="zh-CN"/>
          <w:highlight w:val="auto"/>
        </w:rPr>
        <w:t>一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条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 xml:space="preserve">  因病无法正常工作的干部学分规定。请假在家休息6个月以下的（含6个月），应修学分为学习时间占每年学分的比例乘以应修学分进行折算；在家休息6个月以上的，可不参加学分管理。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textAlignment w:val="auto"/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第十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lang w:val="en-US" w:eastAsia="zh-CN"/>
          <w:highlight w:val="auto"/>
        </w:rPr>
        <w:t>二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kern w:val="0"/>
          <w:sz w:val="32"/>
          <w:szCs w:val="32"/>
          <w:highlight w:val="auto"/>
        </w:rPr>
        <w:t>条</w:t>
      </w:r>
      <w:r>
        <w:rPr>
          <w:rFonts w:ascii="Times New Roman" w:eastAsia="方正仿宋_GBK" w:cs="Times New Roman" w:hAnsi="Times New Roman"/>
          <w:color w:val="000000"/>
          <w:kern w:val="0"/>
          <w:sz w:val="32"/>
          <w:szCs w:val="32"/>
          <w:highlight w:val="auto"/>
        </w:rPr>
        <w:t xml:space="preserve">  新参加工作干部的学分规定。按照实际参加工作时间开始计算学习时间。应修学分则为学习时间占全年学分的比例乘以应修学分进行折算。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center"/>
        <w:textAlignment w:val="auto"/>
        <w:rPr>
          <w:rStyle w:val="22"/>
          <w:rFonts w:ascii="Times New Roman" w:eastAsia="方正黑体_GBK" w:cs="Times New Roman" w:hAnsi="Times New Roman"/>
          <w:b w:val="0"/>
          <w:sz w:val="32"/>
          <w:szCs w:val="32"/>
          <w:highlight w:val="auto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Style w:val="22"/>
          <w:rFonts w:ascii="Times New Roman" w:eastAsia="方正黑体_GBK" w:cs="Times New Roman" w:hAnsi="Times New Roman"/>
          <w:b w:val="0"/>
          <w:sz w:val="32"/>
          <w:szCs w:val="32"/>
          <w:highlight w:val="auto"/>
        </w:rPr>
      </w:pPr>
      <w:r>
        <w:rPr>
          <w:rStyle w:val="22"/>
          <w:rFonts w:ascii="Times New Roman" w:eastAsia="方正黑体_GBK" w:cs="Times New Roman" w:hAnsi="Times New Roman"/>
          <w:b w:val="0"/>
          <w:sz w:val="32"/>
          <w:szCs w:val="32"/>
          <w:highlight w:val="auto"/>
        </w:rPr>
        <w:t>第</w:t>
      </w:r>
      <w:r>
        <w:rPr>
          <w:rStyle w:val="22"/>
          <w:rFonts w:ascii="Times New Roman" w:eastAsia="方正黑体_GBK" w:cs="Times New Roman" w:hAnsi="Times New Roman"/>
          <w:b w:val="0"/>
          <w:sz w:val="32"/>
          <w:szCs w:val="32"/>
          <w:lang w:val="en-US" w:eastAsia="zh-CN"/>
          <w:highlight w:val="auto"/>
        </w:rPr>
        <w:t>五</w:t>
      </w:r>
      <w:r>
        <w:rPr>
          <w:rStyle w:val="22"/>
          <w:rFonts w:ascii="Times New Roman" w:eastAsia="方正黑体_GBK" w:cs="Times New Roman" w:hAnsi="Times New Roman"/>
          <w:b w:val="0"/>
          <w:sz w:val="32"/>
          <w:szCs w:val="32"/>
          <w:highlight w:val="auto"/>
        </w:rPr>
        <w:t>章  管理结果的运用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highlight w:val="auto"/>
        </w:rPr>
        <w:t>第十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三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highlight w:val="auto"/>
        </w:rPr>
        <w:t>条</w:t>
      </w:r>
      <w:r>
        <w:rPr>
          <w:rFonts w:ascii="Times New Roman" w:eastAsia="方正仿宋_GBK" w:cs="Times New Roman" w:hAnsi="Times New Roman"/>
          <w:bCs/>
          <w:color w:val="000000"/>
          <w:sz w:val="32"/>
          <w:szCs w:val="32"/>
          <w:highlight w:val="auto"/>
        </w:rPr>
        <w:t xml:space="preserve">  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局党组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将对最终结果进行奖惩激励。学分最终结果将作为党员评议、干部评先评优、选拔任用的重要参考依据。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Chars="200" w:firstLine="625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</w:pP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highlight w:val="auto"/>
        </w:rPr>
        <w:t>第十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lang w:val="en-US" w:eastAsia="zh-CN"/>
          <w:highlight w:val="auto"/>
        </w:rPr>
        <w:t>四</w:t>
      </w:r>
      <w:r>
        <w:rPr>
          <w:rStyle w:val="22"/>
          <w:rFonts w:ascii="Times New Roman" w:eastAsia="方正楷体_GBK" w:cs="Times New Roman" w:hAnsi="Times New Roman"/>
          <w:b w:val="0"/>
          <w:color w:val="000000"/>
          <w:sz w:val="32"/>
          <w:szCs w:val="32"/>
          <w:highlight w:val="auto"/>
        </w:rPr>
        <w:t>条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 xml:space="preserve">  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奖励依据。学分情况将作为工会优秀学员的主要依据；按照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《重庆市基层工会经费收支管理实施细则》（渝工发【2018】1号文件）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lang w:val="en-US" w:eastAsia="zh-CN"/>
          <w:highlight w:val="auto"/>
        </w:rPr>
        <w:t>要求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:highlight w:val="auto"/>
        </w:rPr>
        <w:t>，对优秀学员的奖励以精神鼓励为主、物质激励为辅，优秀学员的奖励范围不得超过参与人数的15%，最高奖励不得超过800元。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rFonts w:ascii="Times New Roman" w:eastAsia="方正黑体_GBK" w:cs="Times New Roman" w:hAnsi="Times New Roman"/>
          <w:sz w:val="32"/>
          <w:szCs w:val="32"/>
          <w:highlight w:val="auto"/>
        </w:rPr>
      </w:pPr>
      <w:r>
        <w:rPr>
          <w:rFonts w:ascii="Times New Roman" w:eastAsia="方正黑体_GBK" w:cs="Times New Roman" w:hAnsi="Times New Roman" w:hint="eastAsia"/>
          <w:sz w:val="32"/>
          <w:szCs w:val="32"/>
          <w:highlight w:val="auto"/>
        </w:rPr>
        <w:t>附件1</w:t>
      </w:r>
    </w:p>
    <w:tbl>
      <w:tblPr>
        <w:jc w:val="center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7"/>
        <w:gridCol w:w="1321"/>
        <w:gridCol w:w="1521"/>
        <w:gridCol w:w="1521"/>
        <w:gridCol w:w="1521"/>
        <w:gridCol w:w="1524"/>
      </w:tblGrid>
      <w:tr>
        <w:trPr>
          <w:trHeight w:val="660"/>
        </w:trPr>
        <w:tc>
          <w:tcPr>
            <w:tcW w:w="8995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方正小标宋_GBK" w:cs="方正小标宋_GBK" w:hAnsi="Times New Roman"/>
                <w:color w:val="000000"/>
                <w:sz w:val="48"/>
                <w:szCs w:val="48"/>
                <w:highlight w:val="auto"/>
              </w:rPr>
            </w:pPr>
            <w:r>
              <w:rPr>
                <w:rFonts w:ascii="Times New Roman" w:eastAsia="方正小标宋_GBK" w:cs="方正小标宋_GBK" w:hAnsi="Times New Roman" w:hint="eastAsia"/>
                <w:sz w:val="44"/>
                <w:szCs w:val="44"/>
                <w:lang w:val="en-US" w:eastAsia="zh-CN"/>
                <w:highlight w:val="auto"/>
              </w:rPr>
              <w:t>区大数据发展局</w:t>
            </w:r>
            <w:r>
              <w:rPr>
                <w:rFonts w:ascii="Times New Roman" w:eastAsia="方正小标宋_GBK" w:cs="方正小标宋_GBK" w:hAnsi="Times New Roman" w:hint="eastAsia"/>
                <w:color w:val="000000"/>
                <w:kern w:val="0"/>
                <w:sz w:val="44"/>
                <w:szCs w:val="44"/>
                <w:highlight w:val="auto"/>
              </w:rPr>
              <w:t>学分计分标准</w:t>
            </w:r>
          </w:p>
        </w:tc>
      </w:tr>
      <w:tr>
        <w:trPr>
          <w:trHeight w:val="330"/>
        </w:trPr>
        <w:tc>
          <w:tcPr>
            <w:tcW w:w="8995" w:type="dxa"/>
            <w:gridSpan w:val="6"/>
            <w:vAlign w:val="center"/>
          </w:tcPr>
          <w:p>
            <w:pPr>
              <w:widowControl/>
              <w:jc w:val="right"/>
              <w:textAlignment w:val="center"/>
              <w:rPr>
                <w:rFonts w:ascii="方正楷体_GBK" w:eastAsia="方正楷体_GBK" w:cs="方正仿宋_GBK"/>
                <w:color w:val="000000"/>
                <w:sz w:val="32"/>
                <w:szCs w:val="32"/>
                <w:highlight w:val="auto"/>
              </w:rPr>
            </w:pPr>
            <w:r>
              <w:rPr>
                <w:rFonts w:ascii="方正楷体_GBK" w:eastAsia="方正楷体_GBK" w:cs="方正仿宋_GBK" w:hint="eastAsia"/>
                <w:color w:val="000000"/>
                <w:kern w:val="0"/>
                <w:sz w:val="32"/>
                <w:szCs w:val="32"/>
                <w:highlight w:val="auto"/>
              </w:rPr>
              <w:t>单位：</w:t>
            </w:r>
            <w:r>
              <w:rPr>
                <w:rFonts w:ascii="方正楷体_GBK" w:eastAsia="方正楷体_GBK" w:cs="方正仿宋_GBK" w:hint="eastAsia"/>
                <w:color w:val="000000"/>
                <w:kern w:val="0"/>
                <w:sz w:val="32"/>
                <w:szCs w:val="32"/>
                <w:lang w:val="en-US" w:eastAsia="zh-CN"/>
                <w:highlight w:val="auto"/>
              </w:rPr>
              <w:t>学</w:t>
            </w:r>
            <w:r>
              <w:rPr>
                <w:rFonts w:ascii="方正楷体_GBK" w:eastAsia="方正楷体_GBK" w:cs="方正仿宋_GBK" w:hint="eastAsia"/>
                <w:color w:val="000000"/>
                <w:kern w:val="0"/>
                <w:sz w:val="32"/>
                <w:szCs w:val="32"/>
                <w:highlight w:val="auto"/>
              </w:rPr>
              <w:t>分、 次、篇</w:t>
            </w:r>
          </w:p>
        </w:tc>
      </w:tr>
      <w:tr>
        <w:trPr>
          <w:trHeight w:val="660"/>
        </w:trPr>
        <w:tc>
          <w:tcPr>
            <w:tcW w:w="2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方正黑体_GBK" w:cs="方正黑体_GBK" w:hAnsi="Times New Roman"/>
                <w:color w:val="000000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hAnsi="Times New Roman"/>
                <w:sz w:val="32"/>
                <w:highlight w:val="auto"/>
              </w:rPr>
              <mc:AlternateContent>
                <mc:Choice Requires="wps">
                  <w:drawing>
                    <wp:anchor distT="0" distB="0" distL="114298" distR="114298" simplePos="0" relativeHeight="11" behindDoc="0" locked="0" layoutInCell="1" hidden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829435" cy="855979"/>
                      <wp:effectExtent l="0" t="0" r="0" b="0"/>
                      <wp:wrapNone/>
                      <wp:docPr id="1" name="直线 2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29435" cy="855979"/>
                              </a:xfrm>
                              <a:prstGeom prst="line"/>
                              <a:noFill/>
                              <a:ln w="6350" cmpd="sng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2 2" o:spid="_x0000_s2" from="-0.3pt,0.8pt" to="143.75pt,68.200005pt" filled="f" stroked="t" strokeweight="0.5pt" style="position:absolute;z-index:11;mso-position-horizontal:absolute;mso-position-vertical:absolute;mso-wrap-distance-left:8.999863pt;mso-wrap-distance-right:8.999863pt;">
                      <v:stroke color="#000000"/>
                    </v:line>
                  </w:pict>
                </mc:Fallback>
              </mc:AlternateContent>
            </w: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 xml:space="preserve">      分 值</w:t>
            </w:r>
          </w:p>
          <w:p>
            <w:pPr>
              <w:widowControl/>
              <w:ind w:firstLineChars="100" w:firstLine="313"/>
              <w:textAlignment w:val="center"/>
              <w:rPr>
                <w:rFonts w:ascii="Times New Roman" w:eastAsia="方正黑体_GBK" w:cs="方正黑体_GBK" w:hAnsi="Times New Roman"/>
                <w:color w:val="000000"/>
                <w:sz w:val="32"/>
                <w:szCs w:val="32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 xml:space="preserve">考核项目                   </w:t>
            </w: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方正黑体_GBK" w:cs="方正黑体_GBK" w:hAnsi="Times New Roman" w:hint="eastAsia"/>
                <w:color w:val="000000"/>
                <w:sz w:val="32"/>
                <w:szCs w:val="32"/>
                <w:lang w:eastAsia="zh-CN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lang w:val="en-US" w:eastAsia="zh-CN"/>
                <w:highlight w:val="auto"/>
              </w:rPr>
              <w:t>级别</w:t>
            </w:r>
          </w:p>
        </w:tc>
      </w:tr>
      <w:tr>
        <w:trPr>
          <w:trHeight w:val="660"/>
        </w:trPr>
        <w:tc>
          <w:tcPr>
            <w:tcW w:w="2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方正黑体_GBK" w:cs="方正黑体_GBK" w:hAnsi="Times New Roman"/>
                <w:color w:val="000000"/>
                <w:sz w:val="32"/>
                <w:szCs w:val="32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lang w:val="en-US" w:eastAsia="zh-CN"/>
                <w:highlight w:val="auto"/>
              </w:rPr>
              <w:t>局</w:t>
            </w: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>级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方正黑体_GBK" w:cs="方正黑体_GBK" w:hAnsi="Times New Roman"/>
                <w:color w:val="000000"/>
                <w:sz w:val="32"/>
                <w:szCs w:val="32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>区级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方正黑体_GBK" w:cs="方正黑体_GBK" w:hAnsi="Times New Roman"/>
                <w:color w:val="000000"/>
                <w:sz w:val="32"/>
                <w:szCs w:val="32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>市级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方正黑体_GBK" w:cs="方正黑体_GBK" w:hAnsi="Times New Roman"/>
                <w:color w:val="000000"/>
                <w:sz w:val="32"/>
                <w:szCs w:val="32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>国家级</w:t>
            </w:r>
          </w:p>
        </w:tc>
      </w:tr>
      <w:tr>
        <w:trPr>
          <w:trHeight w:val="735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4"/>
                <w:szCs w:val="24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 xml:space="preserve">听 </w:t>
            </w: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 xml:space="preserve">                  </w:t>
            </w: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>（满分</w:t>
            </w: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lang w:val="en-US" w:eastAsia="zh-CN"/>
                <w:highlight w:val="auto"/>
              </w:rPr>
              <w:t>40</w:t>
            </w: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>分）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highlight w:val="auto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highlight w:val="auto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highlight w:val="auto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highlight w:val="auto"/>
              </w:rPr>
              <w:t>5</w:t>
            </w:r>
          </w:p>
        </w:tc>
      </w:tr>
      <w:tr>
        <w:trPr>
          <w:trHeight w:val="1016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黑体_GBK" w:cs="方正黑体_GBK" w:hAnsi="Times New Roman"/>
                <w:color w:val="000000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>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4"/>
                <w:szCs w:val="24"/>
                <w:highlight w:val="auto"/>
              </w:rPr>
            </w:pP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>（满分</w:t>
            </w: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lang w:val="en-US" w:eastAsia="zh-CN"/>
                <w:highlight w:val="auto"/>
              </w:rPr>
              <w:t>20</w:t>
            </w: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>分）</w:t>
            </w:r>
          </w:p>
        </w:tc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eastAsia="宋体" w:cs="宋体" w:hAnsi="Times New Roman" w:hint="eastAsia"/>
                <w:color w:val="00000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sz w:val="24"/>
                <w:szCs w:val="24"/>
                <w:lang w:val="en-US" w:eastAsia="zh-CN"/>
                <w:highlight w:val="auto"/>
              </w:rPr>
              <w:t>阅读书籍2学分/本；学习强国月积分增量每30分，得1学分。</w:t>
            </w:r>
          </w:p>
        </w:tc>
      </w:tr>
      <w:tr>
        <w:trPr>
          <w:trHeight w:val="103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黑体_GBK" w:cs="方正黑体_GBK" w:hAnsi="Times New Roman"/>
                <w:color w:val="000000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黑体_GBK" w:cs="方正黑体_GBK" w:hAnsi="Times New Roman" w:hint="eastAsia"/>
                <w:color w:val="000000"/>
                <w:kern w:val="0"/>
                <w:sz w:val="32"/>
                <w:szCs w:val="32"/>
                <w:highlight w:val="auto"/>
              </w:rPr>
              <w:t>写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cs="宋体" w:hAnsi="Times New Roman"/>
                <w:color w:val="000000"/>
                <w:sz w:val="24"/>
                <w:szCs w:val="24"/>
                <w:highlight w:val="auto"/>
              </w:rPr>
            </w:pP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>（满分</w:t>
            </w: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lang w:val="en-US" w:eastAsia="zh-CN"/>
                <w:highlight w:val="auto"/>
              </w:rPr>
              <w:t>40</w:t>
            </w:r>
            <w:r>
              <w:rPr>
                <w:rFonts w:ascii="Times New Roman" w:eastAsia="方正楷体_GBK" w:cs="方正楷体_GBK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>分）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4"/>
                <w:szCs w:val="24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>信息简报类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lang w:val="en-US" w:eastAsia="zh-CN"/>
                <w:highlight w:val="auto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eastAsia="宋体" w:cs="宋体" w:hAnsi="Times New Roman" w:hint="eastAsia"/>
                <w:color w:val="000000"/>
                <w:sz w:val="28"/>
                <w:szCs w:val="28"/>
                <w:lang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4"/>
                <w:szCs w:val="24"/>
                <w:lang w:val="en-US" w:eastAsia="zh-CN"/>
                <w:highlight w:val="auto"/>
              </w:rPr>
              <w:t>（江北报）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 w:hint="eastAsia"/>
                <w:color w:val="000000"/>
                <w:sz w:val="28"/>
                <w:szCs w:val="28"/>
                <w:lang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lang w:val="en-US" w:eastAsia="zh-CN"/>
                <w:highlight w:val="auto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lang w:val="en-US" w:eastAsia="zh-CN"/>
                <w:highlight w:val="auto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lang w:val="en-US" w:eastAsia="zh-CN"/>
                <w:highlight w:val="auto"/>
              </w:rPr>
              <w:t>20</w:t>
            </w:r>
          </w:p>
        </w:tc>
      </w:tr>
      <w:tr>
        <w:trPr>
          <w:trHeight w:val="1020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4"/>
                <w:szCs w:val="24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4"/>
                <w:szCs w:val="24"/>
                <w:highlight w:val="auto"/>
              </w:rPr>
              <w:t>调研论文类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highlight w:val="auto"/>
              </w:rPr>
            </w:pPr>
            <w:r>
              <w:rPr>
                <w:rFonts w:ascii="Times New Roman" w:hAnsi="Times New Roman"/>
                <w:sz w:val="32"/>
                <w:highlight w:val="auto"/>
              </w:rPr>
              <mc:AlternateContent>
                <mc:Choice Requires="wps">
                  <w:drawing>
                    <wp:anchor distT="0" distB="0" distL="114298" distR="114298" simplePos="0" relativeHeight="12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956310" cy="662305"/>
                      <wp:effectExtent l="0" t="0" r="0" b="0"/>
                      <wp:wrapNone/>
                      <wp:docPr id="3" name="直线 2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956310" cy="662305"/>
                              </a:xfrm>
                              <a:prstGeom prst="line"/>
                              <a:noFill/>
                              <a:ln w="6350" cmpd="sng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2 4" o:spid="_x0000_s4" from="-0.45000002pt,0.0pt" to="74.850006pt,52.15pt" filled="f" stroked="t" strokeweight="0.5pt" style="position:absolute;z-index:12;mso-position-horizontal:absolute;mso-position-vertical:absolute;mso-wrap-distance-left:8.999863pt;mso-wrap-distance-right:8.999863pt;">
                      <v:stroke color="#000000"/>
                    </v:line>
                  </w:pict>
                </mc:Fallback>
              </mc:AlternateConten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lang w:val="en-US" w:eastAsia="zh-CN"/>
                <w:highlight w:val="auto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lang w:val="en-US" w:eastAsia="zh-CN"/>
                <w:highlight w:val="auto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cs="宋体" w:hAnsi="Times New Roman"/>
                <w:color w:val="000000"/>
                <w:sz w:val="28"/>
                <w:szCs w:val="28"/>
                <w:lang w:val="en-US" w:eastAsia="zh-CN"/>
                <w:highlight w:val="auto"/>
              </w:rPr>
            </w:pPr>
            <w:r>
              <w:rPr>
                <w:rFonts w:ascii="Times New Roman" w:eastAsia="宋体" w:cs="宋体" w:hAnsi="Times New Roman" w:hint="eastAsia"/>
                <w:color w:val="000000"/>
                <w:kern w:val="0"/>
                <w:sz w:val="28"/>
                <w:szCs w:val="28"/>
                <w:lang w:val="en-US" w:eastAsia="zh-CN"/>
                <w:highlight w:val="auto"/>
              </w:rPr>
              <w:t>30</w:t>
            </w:r>
          </w:p>
        </w:tc>
      </w:tr>
    </w:tbl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</w:p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</w:p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</w:p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</w:p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</w:p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</w:p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</w:p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</w:p>
    <w:p>
      <w:pPr>
        <w:rPr>
          <w:rFonts w:ascii="Times New Roman" w:eastAsia="方正黑体_GBK" w:hAnsi="Times New Roman"/>
          <w:sz w:val="32"/>
          <w:szCs w:val="32"/>
          <w:highlight w:val="auto"/>
        </w:rPr>
      </w:pPr>
    </w:p>
    <w:p>
      <w:pPr>
        <w:rPr>
          <w:rFonts w:ascii="Times New Roman" w:eastAsia="方正黑体_GBK" w:hAnsi="Times New Roman"/>
          <w:sz w:val="32"/>
          <w:szCs w:val="32"/>
          <w:highlight w:val="auto"/>
        </w:rPr>
      </w:pPr>
      <w:r>
        <w:rPr>
          <w:rFonts w:ascii="Times New Roman" w:eastAsia="方正黑体_GBK" w:hAnsi="Times New Roman" w:hint="eastAsia"/>
          <w:sz w:val="32"/>
          <w:szCs w:val="32"/>
          <w:highlight w:val="auto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eastAsia="方正小标宋_GBK" w:cs="方正小标宋简体" w:hAnsi="Times New Roman"/>
          <w:sz w:val="44"/>
          <w:szCs w:val="44"/>
          <w:highlight w:val="auto"/>
        </w:rPr>
      </w:pPr>
      <w:r>
        <w:rPr>
          <w:rFonts w:ascii="Times New Roman" w:eastAsia="方正小标宋_GBK" w:cs="方正小标宋_GBK" w:hAnsi="Times New Roman" w:hint="eastAsia"/>
          <w:sz w:val="44"/>
          <w:szCs w:val="44"/>
          <w:lang w:val="en-US" w:eastAsia="zh-CN"/>
          <w:highlight w:val="auto"/>
        </w:rPr>
        <w:t>区大数据发展局</w:t>
      </w:r>
      <w:r>
        <w:rPr>
          <w:rFonts w:ascii="Times New Roman" w:eastAsia="方正小标宋_GBK" w:cs="方正小标宋简体" w:hAnsi="Times New Roman" w:hint="eastAsia"/>
          <w:sz w:val="44"/>
          <w:szCs w:val="44"/>
          <w:highlight w:val="auto"/>
        </w:rPr>
        <w:t>培训学习活动申报表</w:t>
      </w:r>
    </w:p>
    <w:p>
      <w:pPr>
        <w:spacing w:line="240" w:lineRule="exact"/>
        <w:jc w:val="center"/>
        <w:rPr>
          <w:rFonts w:ascii="Times New Roman" w:eastAsia="方正小标宋简体" w:hAnsi="Times New Roman"/>
          <w:sz w:val="44"/>
          <w:szCs w:val="44"/>
          <w:highlight w:val="auto"/>
        </w:rPr>
      </w:pPr>
    </w:p>
    <w:p>
      <w:pPr>
        <w:rPr>
          <w:rFonts w:ascii="Times New Roman" w:eastAsia="方正仿宋_GBK" w:hAnsi="Times New Roman"/>
          <w:sz w:val="32"/>
          <w:szCs w:val="32"/>
          <w:lang w:val="en-US" w:eastAsia="zh-CN"/>
          <w:highlight w:val="auto"/>
        </w:rPr>
      </w:pPr>
      <w:r>
        <w:rPr>
          <w:rFonts w:ascii="Times New Roman" w:eastAsia="方正仿宋_GBK" w:hAnsi="Times New Roman" w:hint="eastAsia"/>
          <w:sz w:val="32"/>
          <w:szCs w:val="32"/>
          <w:highlight w:val="auto"/>
        </w:rPr>
        <w:t>申</w:t>
      </w:r>
      <w:r>
        <w:rPr>
          <w:rFonts w:ascii="Times New Roman" w:eastAsia="方正仿宋_GBK" w:hAnsi="Times New Roman" w:hint="eastAsia"/>
          <w:sz w:val="32"/>
          <w:szCs w:val="32"/>
          <w:lang w:val="en-US" w:eastAsia="zh-CN"/>
          <w:highlight w:val="auto"/>
        </w:rPr>
        <w:t>办人：              责任科室：</w:t>
      </w:r>
    </w:p>
    <w:tbl>
      <w:tblPr>
        <w:jc w:val="center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4009"/>
      </w:tblGrid>
      <w:tr>
        <w:tc>
          <w:tcPr>
            <w:tcW w:w="4923" w:type="dxa"/>
          </w:tcPr>
          <w:p>
            <w:pPr>
              <w:jc w:val="center"/>
              <w:rPr>
                <w:rFonts w:ascii="Times New Roman" w:eastAsia="方正黑体_GBK" w:cs="Times New Roman" w:hAnsi="Times New Roman"/>
                <w:kern w:val="0"/>
                <w:sz w:val="30"/>
                <w:szCs w:val="30"/>
                <w:highlight w:val="auto"/>
              </w:rPr>
            </w:pPr>
            <w:r>
              <w:rPr>
                <w:rFonts w:ascii="Times New Roman" w:eastAsia="方正黑体_GBK" w:cs="Times New Roman" w:hAnsi="Times New Roman" w:hint="eastAsia"/>
                <w:kern w:val="0"/>
                <w:sz w:val="30"/>
                <w:szCs w:val="30"/>
                <w:highlight w:val="auto"/>
              </w:rPr>
              <w:t>活动性质</w:t>
            </w:r>
          </w:p>
          <w:p>
            <w:pPr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28"/>
                <w:szCs w:val="28"/>
                <w:highlight w:val="auto"/>
              </w:rPr>
              <w:t>（是否为讲座、论坛、报告会、座谈会）</w:t>
            </w:r>
          </w:p>
        </w:tc>
        <w:tc>
          <w:tcPr>
            <w:tcW w:w="4009" w:type="dxa"/>
          </w:tcPr>
          <w:p>
            <w:pPr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615"/>
        </w:trPr>
        <w:tc>
          <w:tcPr>
            <w:tcW w:w="4923" w:type="dxa"/>
          </w:tcPr>
          <w:p>
            <w:pPr>
              <w:jc w:val="center"/>
              <w:rPr>
                <w:rFonts w:ascii="Times New Roman" w:eastAsia="方正黑体_GBK" w:cs="Times New Roman" w:hAnsi="Times New Roman"/>
                <w:kern w:val="0"/>
                <w:sz w:val="30"/>
                <w:szCs w:val="30"/>
                <w:highlight w:val="auto"/>
              </w:rPr>
            </w:pPr>
            <w:r>
              <w:rPr>
                <w:rFonts w:ascii="Times New Roman" w:eastAsia="方正黑体_GBK" w:cs="Times New Roman" w:hAnsi="Times New Roman" w:hint="eastAsia"/>
                <w:kern w:val="0"/>
                <w:sz w:val="30"/>
                <w:szCs w:val="30"/>
                <w:highlight w:val="auto"/>
              </w:rPr>
              <w:t>主持人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28"/>
                <w:szCs w:val="28"/>
                <w:highlight w:val="auto"/>
              </w:rPr>
              <w:t>（填写性别、国籍、职务等内容）</w:t>
            </w:r>
          </w:p>
        </w:tc>
        <w:tc>
          <w:tcPr>
            <w:tcW w:w="4009" w:type="dxa"/>
          </w:tcPr>
          <w:p>
            <w:pPr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1506"/>
        </w:trPr>
        <w:tc>
          <w:tcPr>
            <w:tcW w:w="4923" w:type="dxa"/>
          </w:tcPr>
          <w:p>
            <w:pPr>
              <w:jc w:val="center"/>
              <w:rPr>
                <w:rFonts w:ascii="Times New Roman" w:eastAsia="方正黑体_GBK" w:cs="Times New Roman" w:hAnsi="Times New Roman"/>
                <w:kern w:val="0"/>
                <w:sz w:val="30"/>
                <w:szCs w:val="30"/>
                <w:highlight w:val="auto"/>
              </w:rPr>
            </w:pPr>
            <w:r>
              <w:rPr>
                <w:rFonts w:ascii="Times New Roman" w:eastAsia="方正黑体_GBK" w:cs="Times New Roman" w:hAnsi="Times New Roman" w:hint="eastAsia"/>
                <w:kern w:val="0"/>
                <w:sz w:val="30"/>
                <w:szCs w:val="30"/>
                <w:highlight w:val="auto"/>
              </w:rPr>
              <w:t>主讲人</w:t>
            </w:r>
          </w:p>
          <w:p>
            <w:pPr>
              <w:jc w:val="center"/>
              <w:rPr>
                <w:rFonts w:ascii="Times New Roman" w:eastAsia="方正黑体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28"/>
                <w:szCs w:val="28"/>
                <w:highlight w:val="auto"/>
              </w:rPr>
              <w:t>（填写性别、国籍、职务等内容，如主讲嘉宾有多人，请一一写明）</w:t>
            </w:r>
          </w:p>
        </w:tc>
        <w:tc>
          <w:tcPr>
            <w:tcW w:w="4009" w:type="dxa"/>
          </w:tcPr>
          <w:p>
            <w:pPr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1373"/>
        </w:trPr>
        <w:tc>
          <w:tcPr>
            <w:tcW w:w="4923" w:type="dxa"/>
          </w:tcPr>
          <w:p>
            <w:pPr>
              <w:jc w:val="center"/>
              <w:rPr>
                <w:rFonts w:ascii="Times New Roman" w:eastAsia="方正黑体_GBK" w:cs="Times New Roman" w:hAnsi="Times New Roman"/>
                <w:kern w:val="0"/>
                <w:sz w:val="30"/>
                <w:szCs w:val="30"/>
                <w:highlight w:val="auto"/>
              </w:rPr>
            </w:pPr>
            <w:r>
              <w:rPr>
                <w:rFonts w:ascii="Times New Roman" w:eastAsia="方正黑体_GBK" w:cs="Times New Roman" w:hAnsi="Times New Roman" w:hint="eastAsia"/>
                <w:kern w:val="0"/>
                <w:sz w:val="30"/>
                <w:szCs w:val="30"/>
                <w:highlight w:val="auto"/>
              </w:rPr>
              <w:t>主讲内容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28"/>
                <w:szCs w:val="28"/>
                <w:highlight w:val="auto"/>
              </w:rPr>
              <w:t>（含主讲题目、提纲）</w:t>
            </w:r>
          </w:p>
        </w:tc>
        <w:tc>
          <w:tcPr>
            <w:tcW w:w="4009" w:type="dxa"/>
          </w:tcPr>
          <w:p>
            <w:pPr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1403"/>
        </w:trPr>
        <w:tc>
          <w:tcPr>
            <w:tcW w:w="4923" w:type="dxa"/>
          </w:tcPr>
          <w:p>
            <w:pPr>
              <w:jc w:val="center"/>
              <w:rPr>
                <w:rFonts w:ascii="Times New Roman" w:eastAsia="方正黑体_GBK" w:cs="Times New Roman" w:hAnsi="Times New Roman"/>
                <w:kern w:val="0"/>
                <w:sz w:val="30"/>
                <w:szCs w:val="30"/>
                <w:highlight w:val="auto"/>
              </w:rPr>
            </w:pPr>
            <w:r>
              <w:rPr>
                <w:rFonts w:ascii="Times New Roman" w:eastAsia="方正黑体_GBK" w:cs="Times New Roman" w:hAnsi="Times New Roman" w:hint="eastAsia"/>
                <w:kern w:val="0"/>
                <w:sz w:val="30"/>
                <w:szCs w:val="30"/>
                <w:highlight w:val="auto"/>
              </w:rPr>
              <w:t>参加人员范围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28"/>
                <w:szCs w:val="28"/>
                <w:highlight w:val="auto"/>
              </w:rPr>
              <w:t>（含总人数）</w:t>
            </w:r>
          </w:p>
        </w:tc>
        <w:tc>
          <w:tcPr>
            <w:tcW w:w="4009" w:type="dxa"/>
          </w:tcPr>
          <w:p>
            <w:pPr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918"/>
        </w:trPr>
        <w:tc>
          <w:tcPr>
            <w:tcW w:w="4923" w:type="dxa"/>
          </w:tcPr>
          <w:p>
            <w:pPr>
              <w:jc w:val="center"/>
              <w:rPr>
                <w:rFonts w:ascii="Times New Roman" w:eastAsia="方正黑体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黑体_GBK" w:cs="Times New Roman" w:hAnsi="Times New Roman" w:hint="eastAsia"/>
                <w:kern w:val="0"/>
                <w:sz w:val="30"/>
                <w:szCs w:val="30"/>
                <w:highlight w:val="auto"/>
              </w:rPr>
              <w:t>举办地点</w:t>
            </w:r>
          </w:p>
        </w:tc>
        <w:tc>
          <w:tcPr>
            <w:tcW w:w="4009" w:type="dxa"/>
          </w:tcPr>
          <w:p>
            <w:pPr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849"/>
        </w:trPr>
        <w:tc>
          <w:tcPr>
            <w:tcW w:w="4923" w:type="dxa"/>
          </w:tcPr>
          <w:p>
            <w:pPr>
              <w:jc w:val="center"/>
              <w:rPr>
                <w:rFonts w:ascii="Times New Roman" w:eastAsia="方正黑体_GBK" w:cs="Times New Roman" w:hAnsi="Times New Roman"/>
                <w:kern w:val="0"/>
                <w:sz w:val="30"/>
                <w:szCs w:val="30"/>
                <w:highlight w:val="auto"/>
              </w:rPr>
            </w:pPr>
            <w:r>
              <w:rPr>
                <w:rFonts w:ascii="Times New Roman" w:eastAsia="方正黑体_GBK" w:cs="Times New Roman" w:hAnsi="Times New Roman" w:hint="eastAsia"/>
                <w:kern w:val="0"/>
                <w:sz w:val="30"/>
                <w:szCs w:val="30"/>
                <w:highlight w:val="auto"/>
              </w:rPr>
              <w:t>举办时间</w:t>
            </w:r>
          </w:p>
        </w:tc>
        <w:tc>
          <w:tcPr>
            <w:tcW w:w="4009" w:type="dxa"/>
          </w:tcPr>
          <w:p>
            <w:pPr>
              <w:rPr>
                <w:rFonts w:ascii="Times New Roman" w:eastAsia="宋体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</w:tbl>
    <w:p>
      <w:pPr>
        <w:rPr>
          <w:rFonts w:ascii="Times New Roman" w:eastAsia="方正仿宋_GBK" w:hAnsi="Times New Roman"/>
          <w:sz w:val="32"/>
          <w:szCs w:val="32"/>
          <w:lang w:val="en-US"/>
          <w:highlight w:val="auto"/>
        </w:rPr>
      </w:pPr>
      <w:r>
        <w:rPr>
          <w:rFonts w:ascii="Times New Roman" w:eastAsia="方正仿宋_GBK" w:hAnsi="Times New Roman" w:hint="eastAsia"/>
          <w:sz w:val="32"/>
          <w:szCs w:val="32"/>
          <w:lang w:val="en-US" w:eastAsia="zh-CN"/>
          <w:highlight w:val="auto"/>
        </w:rPr>
        <w:t>审核人：               审批人：</w:t>
      </w:r>
    </w:p>
    <w:p>
      <w:pPr>
        <w:rPr>
          <w:rFonts w:ascii="Times New Roman" w:eastAsia="方正仿宋_GBK" w:hAnsi="Times New Roman" w:hint="eastAsia"/>
          <w:sz w:val="32"/>
          <w:szCs w:val="32"/>
          <w:highlight w:val="auto"/>
        </w:rPr>
      </w:pPr>
    </w:p>
    <w:p>
      <w:pPr>
        <w:rPr>
          <w:rFonts w:ascii="Times New Roman" w:eastAsia="方正仿宋_GBK" w:hAnsi="Times New Roman" w:hint="eastAsia"/>
          <w:sz w:val="32"/>
          <w:szCs w:val="32"/>
          <w:highlight w:val="auto"/>
        </w:rPr>
      </w:pPr>
    </w:p>
    <w:p>
      <w:pPr>
        <w:pStyle w:val="15"/>
        <w:rPr>
          <w:rFonts w:hint="eastAsia"/>
        </w:rPr>
      </w:pPr>
    </w:p>
    <w:p>
      <w:pPr>
        <w:rPr>
          <w:rFonts w:ascii="Times New Roman" w:eastAsia="方正黑体_GBK" w:cs="方正仿宋_GBK" w:hAnsi="Times New Roman"/>
          <w:color w:val="000000"/>
          <w:sz w:val="32"/>
          <w:szCs w:val="32"/>
          <w:highlight w:val="auto"/>
        </w:rPr>
      </w:pPr>
      <w:r>
        <w:rPr>
          <w:rFonts w:ascii="Times New Roman" w:eastAsia="方正黑体_GBK" w:cs="方正仿宋_GBK" w:hAnsi="Times New Roman" w:hint="eastAsia"/>
          <w:color w:val="000000"/>
          <w:sz w:val="32"/>
          <w:szCs w:val="32"/>
          <w:highlight w:val="auto"/>
        </w:rPr>
        <w:t>附件3</w:t>
      </w:r>
    </w:p>
    <w:p>
      <w:pPr>
        <w:adjustRightInd w:val="0"/>
        <w:snapToGrid w:val="0"/>
        <w:spacing w:line="594" w:lineRule="exact"/>
        <w:jc w:val="center"/>
        <w:rPr>
          <w:rFonts w:ascii="Times New Roman" w:eastAsia="方正仿宋_GBK" w:cs="Times New Roman" w:hAnsi="Times New Roman"/>
          <w:sz w:val="32"/>
          <w:szCs w:val="32"/>
          <w:highlight w:val="auto"/>
        </w:rPr>
      </w:pPr>
      <w:r>
        <w:rPr>
          <w:rFonts w:ascii="Times New Roman" w:eastAsia="方正小标宋_GBK" w:cs="方正小标宋_GBK" w:hAnsi="Times New Roman" w:hint="eastAsia"/>
          <w:sz w:val="44"/>
          <w:szCs w:val="44"/>
          <w:lang w:val="en-US" w:eastAsia="zh-CN"/>
          <w:highlight w:val="auto"/>
        </w:rPr>
        <w:t>区大数据发展局</w:t>
      </w:r>
      <w:r>
        <w:rPr>
          <w:rFonts w:ascii="Times New Roman" w:eastAsia="方正小标宋_GBK" w:cs="方正小标宋_GBK" w:hAnsi="Times New Roman" w:hint="eastAsia"/>
          <w:sz w:val="44"/>
          <w:szCs w:val="44"/>
          <w:highlight w:val="auto"/>
        </w:rPr>
        <w:t>学分申报表</w:t>
      </w:r>
    </w:p>
    <w:p>
      <w:pPr>
        <w:spacing w:line="400" w:lineRule="exact"/>
        <w:rPr>
          <w:rFonts w:ascii="Times New Roman" w:eastAsia="方正仿宋_GBK" w:cs="Times New Roman" w:hAnsi="Times New Roman"/>
          <w:sz w:val="32"/>
          <w:szCs w:val="32"/>
          <w:highlight w:val="auto"/>
        </w:rPr>
      </w:pPr>
    </w:p>
    <w:p>
      <w:pPr>
        <w:spacing w:line="400" w:lineRule="exact"/>
        <w:ind w:firstLineChars="500" w:firstLine="1563"/>
        <w:rPr>
          <w:rFonts w:ascii="Times New Roman" w:eastAsia="方正仿宋_GBK" w:cs="Times New Roman" w:hAnsi="Times New Roman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highlight w:val="auto"/>
        </w:rPr>
        <w:t xml:space="preserve">                    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  <w:highlight w:val="auto"/>
        </w:rPr>
        <w:t xml:space="preserve"> 申报时间：</w:t>
      </w:r>
      <w:r>
        <w:rPr>
          <w:rFonts w:ascii="Times New Roman" w:eastAsia="方正仿宋_GBK" w:cs="Times New Roman" w:hAnsi="Times New Roman" w:hint="eastAsia"/>
          <w:sz w:val="32"/>
          <w:szCs w:val="32"/>
          <w:highlight w:val="auto"/>
        </w:rPr>
        <w:t xml:space="preserve"> 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  <w:highlight w:val="auto"/>
        </w:rPr>
        <w:t xml:space="preserve">  </w:t>
      </w:r>
      <w:r>
        <w:rPr>
          <w:rFonts w:ascii="Times New Roman" w:eastAsia="方正仿宋_GBK" w:cs="Times New Roman" w:hAnsi="Times New Roman" w:hint="eastAsia"/>
          <w:sz w:val="32"/>
          <w:szCs w:val="32"/>
          <w:highlight w:val="auto"/>
        </w:rPr>
        <w:t>年  月  日</w:t>
      </w:r>
    </w:p>
    <w:tbl>
      <w:tblPr>
        <w:jc w:val="cent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2307"/>
        <w:gridCol w:w="2308"/>
        <w:gridCol w:w="1975"/>
      </w:tblGrid>
      <w:tr>
        <w:trPr>
          <w:trHeight w:val="730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学习内容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660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学习时间</w:t>
            </w: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学习地点</w:t>
            </w: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620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主办单位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640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学习方式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5880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申报人员名单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1190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学    分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</w:tbl>
    <w:p>
      <w:pPr>
        <w:spacing w:line="400" w:lineRule="exact"/>
        <w:rPr>
          <w:rFonts w:ascii="Times New Roman" w:eastAsia="方正仿宋_GBK" w:cs="Times New Roman" w:hAnsi="Times New Roman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highlight w:val="auto"/>
        </w:rPr>
        <w:t>申报人：            审核人：           审批人：</w:t>
      </w:r>
    </w:p>
    <w:p>
      <w:pPr>
        <w:spacing w:line="400" w:lineRule="exact"/>
        <w:rPr>
          <w:rFonts w:ascii="Times New Roman" w:eastAsia="方正仿宋_GBK" w:cs="Times New Roman" w:hAnsi="Times New Roman"/>
          <w:sz w:val="32"/>
          <w:szCs w:val="32"/>
          <w:highlight w:val="auto"/>
        </w:rPr>
      </w:pPr>
    </w:p>
    <w:p>
      <w:pPr>
        <w:rPr>
          <w:rFonts w:ascii="Times New Roman" w:eastAsia="方正黑体_GBK" w:cs="方正仿宋_GBK" w:hAnsi="Times New Roman"/>
          <w:color w:val="000000"/>
          <w:sz w:val="32"/>
          <w:szCs w:val="32"/>
          <w:highlight w:val="auto"/>
        </w:rPr>
      </w:pPr>
    </w:p>
    <w:p>
      <w:pPr>
        <w:rPr>
          <w:rFonts w:ascii="Times New Roman" w:eastAsia="方正黑体_GBK" w:cs="方正仿宋_GBK" w:hAnsi="Times New Roman"/>
          <w:color w:val="000000"/>
          <w:sz w:val="32"/>
          <w:szCs w:val="32"/>
          <w:highlight w:val="auto"/>
        </w:rPr>
      </w:pPr>
      <w:r>
        <w:rPr>
          <w:rFonts w:ascii="Times New Roman" w:eastAsia="方正黑体_GBK" w:cs="方正仿宋_GBK" w:hAnsi="Times New Roman" w:hint="eastAsia"/>
          <w:color w:val="000000"/>
          <w:sz w:val="32"/>
          <w:szCs w:val="32"/>
          <w:highlight w:val="auto"/>
        </w:rPr>
        <w:t>附件4</w:t>
      </w:r>
    </w:p>
    <w:p>
      <w:pPr>
        <w:adjustRightInd w:val="0"/>
        <w:snapToGrid w:val="0"/>
        <w:spacing w:line="594" w:lineRule="exact"/>
        <w:jc w:val="center"/>
        <w:rPr>
          <w:rFonts w:ascii="Times New Roman" w:eastAsia="方正小标宋_GBK" w:cs="方正小标宋_GBK" w:hAnsi="Times New Roman"/>
          <w:sz w:val="44"/>
          <w:szCs w:val="44"/>
          <w:highlight w:val="auto"/>
        </w:rPr>
      </w:pPr>
      <w:r>
        <w:rPr>
          <w:rFonts w:ascii="Times New Roman" w:eastAsia="方正小标宋_GBK" w:cs="方正小标宋_GBK" w:hAnsi="Times New Roman" w:hint="eastAsia"/>
          <w:sz w:val="44"/>
          <w:szCs w:val="44"/>
          <w:lang w:val="en-US" w:eastAsia="zh-CN"/>
          <w:highlight w:val="auto"/>
        </w:rPr>
        <w:t>区大数据发展局</w:t>
      </w:r>
      <w:r>
        <w:rPr>
          <w:rFonts w:ascii="Times New Roman" w:eastAsia="方正小标宋_GBK" w:cs="方正小标宋_GBK" w:hAnsi="Times New Roman" w:hint="eastAsia"/>
          <w:sz w:val="44"/>
          <w:szCs w:val="44"/>
          <w:highlight w:val="auto"/>
        </w:rPr>
        <w:t>自学情况学分申报表</w:t>
      </w:r>
    </w:p>
    <w:p>
      <w:pPr>
        <w:spacing w:line="400" w:lineRule="exact"/>
        <w:jc w:val="center"/>
        <w:rPr>
          <w:rFonts w:ascii="Times New Roman" w:eastAsia="方正小标宋_GBK" w:cs="方正小标宋_GBK" w:hAnsi="Times New Roman"/>
          <w:sz w:val="32"/>
          <w:szCs w:val="32"/>
          <w:highlight w:val="auto"/>
        </w:rPr>
      </w:pPr>
    </w:p>
    <w:p>
      <w:pPr>
        <w:spacing w:line="400" w:lineRule="exact"/>
        <w:ind w:firstLineChars="1500" w:firstLine="4690"/>
        <w:rPr>
          <w:rFonts w:ascii="Times New Roman" w:eastAsia="方正仿宋_GBK" w:cs="方正仿宋_GBK" w:hAnsi="Times New Roman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  <w:highlight w:val="auto"/>
        </w:rPr>
        <w:t>申报时间：</w:t>
      </w:r>
      <w:r>
        <w:rPr>
          <w:rFonts w:ascii="Times New Roman" w:eastAsia="方正仿宋_GBK" w:cs="Times New Roman" w:hAnsi="Times New Roman" w:hint="eastAsia"/>
          <w:sz w:val="32"/>
          <w:szCs w:val="32"/>
          <w:highlight w:val="auto"/>
        </w:rPr>
        <w:t xml:space="preserve"> </w:t>
      </w:r>
      <w:r>
        <w:rPr>
          <w:rFonts w:ascii="Times New Roman" w:eastAsia="方正仿宋_GBK" w:cs="Times New Roman" w:hAnsi="Times New Roman" w:hint="eastAsia"/>
          <w:sz w:val="32"/>
          <w:szCs w:val="32"/>
          <w:lang w:val="en-US" w:eastAsia="zh-CN"/>
          <w:highlight w:val="auto"/>
        </w:rPr>
        <w:t xml:space="preserve">  </w:t>
      </w:r>
      <w:r>
        <w:rPr>
          <w:rFonts w:ascii="Times New Roman" w:eastAsia="方正仿宋_GBK" w:cs="Times New Roman" w:hAnsi="Times New Roman" w:hint="eastAsia"/>
          <w:sz w:val="32"/>
          <w:szCs w:val="32"/>
          <w:highlight w:val="auto"/>
        </w:rPr>
        <w:t>年  月  日</w:t>
      </w:r>
    </w:p>
    <w:tbl>
      <w:tblPr>
        <w:jc w:val="center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2307"/>
        <w:gridCol w:w="2308"/>
        <w:gridCol w:w="1910"/>
      </w:tblGrid>
      <w:tr>
        <w:trPr>
          <w:trHeight w:val="500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学习书目名称</w:t>
            </w: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作者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2538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主要内容</w:t>
            </w:r>
          </w:p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  <w:tc>
          <w:tcPr>
            <w:tcW w:w="65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3120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学习心得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  <w:tr>
        <w:trPr>
          <w:trHeight w:val="4144"/>
        </w:trPr>
        <w:tc>
          <w:tcPr>
            <w:tcW w:w="2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  <w:r>
              <w:rPr>
                <w:rFonts w:ascii="Times New Roman" w:eastAsia="方正仿宋_GBK" w:cs="Times New Roman" w:hAnsi="Times New Roman" w:hint="eastAsia"/>
                <w:kern w:val="0"/>
                <w:sz w:val="32"/>
                <w:szCs w:val="32"/>
                <w:highlight w:val="auto"/>
              </w:rPr>
              <w:t>美言美句摘抄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_GBK" w:cs="Times New Roman" w:hAnsi="Times New Roman"/>
                <w:kern w:val="0"/>
                <w:sz w:val="32"/>
                <w:szCs w:val="32"/>
                <w:highlight w:val="auto"/>
              </w:rPr>
            </w:pPr>
          </w:p>
        </w:tc>
      </w:tr>
    </w:tbl>
    <w:p>
      <w:pPr>
        <w:rPr>
          <w:rFonts w:ascii="Times New Roman" w:eastAsia="方正仿宋_GBK" w:hAnsi="Times New Roman"/>
          <w:sz w:val="32"/>
          <w:szCs w:val="32"/>
          <w:highlight w:val="auto"/>
        </w:rPr>
      </w:pPr>
      <w:r>
        <w:rPr>
          <w:rFonts w:ascii="Times New Roman" w:eastAsia="方正仿宋_GBK" w:cs="Times New Roman" w:hAnsi="Times New Roman" w:hint="eastAsia"/>
          <w:sz w:val="32"/>
          <w:szCs w:val="32"/>
          <w:highlight w:val="auto"/>
        </w:rPr>
        <w:t>申报人：            审核人：           审批人：</w:t>
      </w:r>
    </w:p>
    <w:p>
      <w:pPr>
        <w:pStyle w:val="15"/>
        <w:rPr>
          <w:rFonts w:ascii="Times New Roman" w:eastAsia="方正仿宋简体" w:cs="Times New Roman" w:hAnsi="Times New Roman"/>
        </w:rPr>
      </w:pPr>
    </w:p>
    <w:p>
      <w:pPr>
        <w:rPr>
          <w:rFonts w:ascii="Times New Roman" w:eastAsia="方正仿宋简体" w:cs="Times New Roman" w:hAnsi="Times New Roman"/>
        </w:rPr>
      </w:pPr>
    </w:p>
    <w:p>
      <w:pPr>
        <w:pStyle w:val="15"/>
        <w:rPr>
          <w:rFonts w:ascii="Times New Roman" w:eastAsia="方正仿宋简体" w:cs="Times New Roman" w:hAnsi="Times New Roman"/>
        </w:rPr>
      </w:pPr>
    </w:p>
    <w:p>
      <w:pPr>
        <w:rPr>
          <w:rFonts w:ascii="Times New Roman" w:eastAsia="方正仿宋简体" w:cs="Times New Roman" w:hAnsi="Times New Roman"/>
        </w:rPr>
      </w:pPr>
    </w:p>
    <w:p>
      <w:pPr>
        <w:pStyle w:val="15"/>
        <w:rPr>
          <w:rFonts w:ascii="Times New Roman" w:eastAsia="方正仿宋简体" w:cs="Times New Roman" w:hAnsi="Times New Roman"/>
        </w:rPr>
      </w:pPr>
    </w:p>
    <w:p>
      <w:pPr>
        <w:rPr>
          <w:rFonts w:ascii="Times New Roman" w:eastAsia="方正仿宋简体" w:cs="Times New Roman" w:hAnsi="Times New Roman"/>
        </w:rPr>
      </w:pPr>
    </w:p>
    <w:p>
      <w:pPr>
        <w:pStyle w:val="15"/>
      </w:pPr>
    </w:p>
    <w:p>
      <w:pPr>
        <w:pStyle w:val="15"/>
        <w:rPr>
          <w:rFonts w:ascii="Times New Roman" w:eastAsia="方正仿宋简体" w:cs="Times New Roman" w:hAnsi="Times New Roman"/>
        </w:rPr>
      </w:pPr>
    </w:p>
    <w:p>
      <w:pPr>
        <w:pStyle w:val="15"/>
        <w:rPr>
          <w:rFonts w:ascii="Times New Roman" w:eastAsia="方正仿宋简体" w:cs="Times New Roman" w:hAnsi="Times New Roman"/>
        </w:rPr>
      </w:pPr>
    </w:p>
    <w:p>
      <w:pPr>
        <w:pStyle w:val="15"/>
        <w:rPr>
          <w:rFonts w:ascii="Times New Roman" w:eastAsia="方正仿宋简体" w:cs="Times New Roman" w:hAnsi="Times New Roman"/>
        </w:rPr>
      </w:pPr>
    </w:p>
    <w:p>
      <w:pPr>
        <w:pStyle w:val="15"/>
        <w:rPr>
          <w:rFonts w:ascii="Times New Roman" w:eastAsia="方正仿宋简体" w:cs="Times New Roman" w:hAnsi="Times New Roman"/>
        </w:rPr>
      </w:pPr>
    </w:p>
    <w:p/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rPr>
          <w:rFonts w:ascii="Times New Roman" w:eastAsia="方正仿宋简体" w:cs="Times New Roman" w:hAnsi="Times New Roma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eastAsia="方正仿宋简体" w:cs="Times New Roman" w:hAnsi="Times New Roma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eastAsia="方正仿宋简体" w:cs="Times New Roman" w:hAnsi="Times New Roma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eastAsia="方正仿宋简体" w:cs="Times New Roman" w:hAnsi="Times New Roma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eastAsia="方正仿宋简体" w:cs="Times New Roman" w:hAnsi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8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outlineLvl w:val="9"/>
        <w:rPr>
          <w:rFonts w:ascii="Times New Roman" w:eastAsia="方正仿宋简体" w:cs="Times New Roman" w:hAnsi="Times New Roman"/>
        </w:rPr>
      </w:pPr>
      <w:bookmarkStart w:id="0" w:name="_GoBack"/>
      <w:bookmarkEnd w:id="0"/>
    </w:p>
    <w:p>
      <w:pPr>
        <w:pStyle w:val="15"/>
        <w:rPr>
          <w:rFonts w:ascii="Times New Roman" w:eastAsia="方正仿宋简体" w:cs="Times New Roman" w:hAnsi="Times New Roman"/>
        </w:rPr>
      </w:pPr>
    </w:p>
    <w:p>
      <w:pPr>
        <w:rPr>
          <w:rFonts w:ascii="Times New Roman" w:eastAsia="方正仿宋简体" w:cs="Times New Roman" w:hAnsi="Times New Roman"/>
        </w:rPr>
      </w:pPr>
    </w:p>
    <w:p>
      <w:pPr>
        <w:pStyle w:val="15"/>
        <w:rPr>
          <w:rFonts w:ascii="Times New Roman" w:eastAsia="方正仿宋简体" w:cs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94" w:lineRule="exact"/>
        <w:rPr>
          <w:rFonts w:eastAsia="黑体"/>
          <w:sz w:val="32"/>
          <w:szCs w:val="32"/>
          <w:u w:val="single"/>
        </w:rPr>
      </w:pPr>
      <w:r>
        <w:rPr>
          <w:rFonts w:ascii="Times New Roman" w:eastAsia="仿宋_GB2312" w:cs="Times New Roman" w:hAnsi="Times New Roman" w:hint="eastAsia"/>
          <w:sz w:val="30"/>
          <w:szCs w:val="30"/>
          <w:u w:val="single"/>
          <w:lang w:val="en-US" w:eastAsia="zh-CN"/>
        </w:rPr>
        <w:t xml:space="preserve"> </w:t>
      </w:r>
    </w:p>
    <w:sectPr>
      <w:headerReference w:type="default" r:id="rId2"/>
      <w:footerReference w:type="default" r:id="rId3"/>
      <w:footerReference w:type="first" r:id="rId4"/>
      <w:pgSz w:w="11906" w:h="16838"/>
      <w:pgMar w:top="1814" w:right="1758" w:bottom="1814" w:left="1758" w:header="851" w:footer="992" w:gutter="0"/>
      <w:titlePg/>
      <w:docGrid w:type="linesAndChars" w:linePitch="600" w:charSpace="-149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7A"/>
    <w:family w:val="auto"/>
    <w:pitch w:val="variable"/>
    <w:sig w:usb0="E0002AFF" w:usb1="C0007841" w:usb2="00000009" w:usb3="00000000" w:csb0="400001FF" w:csb1="FFFF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简体">
    <w:altName w:val="永中宋体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altName w:val="DejaVu Sans"/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3"/>
        <w:rFonts w:ascii="宋体" w:hAnsi="宋体" w:hint="eastAsia"/>
        <w:sz w:val="28"/>
        <w:szCs w:val="28"/>
        <w:lang w:eastAsia="zh-CN"/>
      </w:rPr>
    </w:pPr>
    <w:r>
      <w:rPr>
        <w:rStyle w:val="23"/>
        <w:rFonts w:ascii="宋体" w:hAnsi="宋体" w:hint="eastAsia"/>
        <w:sz w:val="28"/>
        <w:szCs w:val="28"/>
        <w:lang w:eastAsia="zh-CN"/>
      </w:rPr>
      <w:t xml:space="preserve">— </w:t>
    </w:r>
    <w:r>
      <w:rPr>
        <w:rStyle w:val="23"/>
        <w:rFonts w:ascii="宋体" w:hAnsi="宋体"/>
        <w:sz w:val="28"/>
        <w:szCs w:val="28"/>
      </w:rPr>
      <w:fldChar w:fldCharType="begin"/>
    </w:r>
    <w:r>
      <w:rPr>
        <w:rStyle w:val="2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3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23"/>
        <w:rFonts w:ascii="宋体" w:hAnsi="宋体" w:hint="eastAsia"/>
        <w:sz w:val="28"/>
        <w:szCs w:val="28"/>
        <w:lang w:eastAsia="zh-CN"/>
      </w:rPr>
      <w:t xml:space="preserve"> —</w:t>
    </w:r>
  </w:p>
  <w:p>
    <w:pPr>
      <w:pStyle w:val="18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3"/>
        <w:rFonts w:ascii="宋体" w:hAnsi="宋体" w:hint="eastAsia"/>
        <w:sz w:val="28"/>
        <w:szCs w:val="28"/>
        <w:lang w:eastAsia="zh-CN"/>
      </w:rPr>
    </w:pPr>
    <w:r>
      <w:rPr>
        <w:rStyle w:val="23"/>
        <w:rFonts w:ascii="宋体" w:hAnsi="宋体" w:hint="eastAsia"/>
        <w:sz w:val="28"/>
        <w:szCs w:val="28"/>
        <w:lang w:eastAsia="zh-CN"/>
      </w:rPr>
      <w:t xml:space="preserve">— </w:t>
    </w:r>
    <w:r>
      <w:rPr>
        <w:rStyle w:val="23"/>
        <w:rFonts w:ascii="宋体" w:hAnsi="宋体"/>
        <w:sz w:val="28"/>
        <w:szCs w:val="28"/>
      </w:rPr>
      <w:fldChar w:fldCharType="begin"/>
    </w:r>
    <w:r>
      <w:rPr>
        <w:rStyle w:val="2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3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23"/>
        <w:rFonts w:ascii="宋体" w:hAnsi="宋体" w:hint="eastAsia"/>
        <w:sz w:val="28"/>
        <w:szCs w:val="28"/>
        <w:lang w:eastAsia="zh-CN"/>
      </w:rPr>
      <w:t xml:space="preserve"> —</w:t>
    </w:r>
  </w:p>
  <w:p>
    <w:pPr>
      <w:pStyle w:val="18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4"/>
  <w:bordersDoNotSurroundHeader/>
  <w:bordersDoNotSurroundFooter/>
  <w:defaultTabStop w:val="420"/>
  <w:drawingGridHorizontalSpacing w:val="16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方正仿宋_GBK" w:cs="Times New Roman" w:hAnsi="Times New Roman"/>
      <w:kern w:val="2"/>
      <w:sz w:val="33"/>
      <w:szCs w:val="33"/>
      <w:lang w:val="en-US" w:eastAsia="zh-CN" w:bidi="ar-SA"/>
    </w:rPr>
  </w:style>
  <w:style w:type="paragraph" w:styleId="1">
    <w:name w:val="heading 1"/>
    <w:basedOn w:val="0"/>
    <w:next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</w:style>
  <w:style w:type="paragraph" w:styleId="15">
    <w:name w:val="Normal Indent"/>
    <w:basedOn w:val="0"/>
    <w:next w:val="0"/>
  </w:style>
  <w:style w:type="paragraph" w:styleId="16">
    <w:name w:val="Body Text"/>
    <w:basedOn w:val="0"/>
    <w:next w:val="17"/>
    <w:pPr>
      <w:spacing w:after="120"/>
    </w:pPr>
  </w:style>
  <w:style w:type="paragraph" w:styleId="17">
    <w:name w:val="Body Text Indent"/>
    <w:basedOn w:val="0"/>
    <w:pPr>
      <w:spacing w:after="120"/>
      <w:ind w:leftChars="200" w:left="200"/>
    </w:p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0"/>
    <w:pPr>
      <w:spacing w:after="120" w:line="480" w:lineRule="auto"/>
    </w:pPr>
    <w:rPr>
      <w:rFonts w:eastAsia="宋体"/>
      <w:sz w:val="21"/>
      <w:szCs w:val="24"/>
    </w:rPr>
  </w:style>
  <w:style w:type="paragraph" w:styleId="21">
    <w:name w:val="Normal (Web)"/>
    <w:basedOn w:val="0"/>
    <w:pPr>
      <w:jc w:val="left"/>
    </w:pPr>
    <w:rPr>
      <w:rFonts w:ascii="Times New Roman" w:eastAsia="宋体" w:cs="Times New Roman" w:hAnsi="Times New Roman"/>
      <w:kern w:val="0"/>
      <w:sz w:val="24"/>
      <w:szCs w:val="20"/>
    </w:rPr>
  </w:style>
  <w:style w:type="character" w:styleId="22">
    <w:name w:val="Strong"/>
    <w:basedOn w:val="10"/>
    <w:rPr>
      <w:b/>
      <w:bCs/>
    </w:rPr>
  </w:style>
  <w:style w:type="character" w:styleId="23">
    <w:name w:val="page number"/>
    <w:basedOn w:val="10"/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24">
    <w:name w:val="公文正文"/>
    <w:basedOn w:val="0"/>
    <w:pPr>
      <w:widowControl/>
      <w:spacing w:line="594" w:lineRule="exact"/>
      <w:ind w:firstLineChars="200" w:firstLine="200"/>
    </w:pPr>
    <w:rPr>
      <w:rFonts w:ascii="Times New Roman" w:eastAsia="方正仿宋_GBK" w:cs="Arial" w:hAnsi="Times New Roman"/>
      <w:sz w:val="32"/>
      <w:szCs w:val="32"/>
    </w:rPr>
  </w:style>
  <w:style w:type="paragraph" w:customStyle="1" w:styleId="25">
    <w:name w:val="一级标题"/>
    <w:basedOn w:val="24"/>
    <w:next w:val="24"/>
    <w:pPr>
      <w:outlineLvl w:val="3"/>
    </w:pPr>
    <w:rPr>
      <w:rFonts w:eastAsia="方正黑体_GBK"/>
    </w:rPr>
  </w:style>
  <w:style w:type="paragraph" w:customStyle="1" w:styleId="26">
    <w:name w:val="二级标题"/>
    <w:basedOn w:val="24"/>
    <w:next w:val="24"/>
    <w:pPr>
      <w:outlineLvl w:val="4"/>
    </w:pPr>
    <w:rPr>
      <w:rFonts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10</Pages>
  <Words>2589</Words>
  <Characters>2652</Characters>
  <Lines>238</Lines>
  <Paragraphs>105</Paragraphs>
  <CharactersWithSpaces>2861</CharactersWithSpaces>
  <Company>mbs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</dc:creator>
  <cp:lastModifiedBy>ft</cp:lastModifiedBy>
  <cp:revision>1</cp:revision>
  <cp:lastPrinted>2021-11-02T07:16:00Z</cp:lastPrinted>
  <dcterms:created xsi:type="dcterms:W3CDTF">2019-02-20T02:03:00Z</dcterms:created>
  <dcterms:modified xsi:type="dcterms:W3CDTF">2023-06-15T02:55:35Z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  <property fmtid="{D5CDD505-2E9C-101B-9397-08002B2CF9AE}" pid="3" name="ICV">
    <vt:lpwstr>C58A64A11A4A44C4808D7EC6C822F470</vt:lpwstr>
  </property>
</Properties>
</file>