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firstLine="641"/>
        <w:jc w:val="center"/>
        <w:textAlignment w:val="auto"/>
        <w:rPr>
          <w:rFonts w:hint="default" w:ascii="Times New Roman" w:hAnsi="Times New Roman" w:eastAsia="方正仿宋_GBK" w:cs="Times New Roman"/>
          <w:b w:val="0"/>
          <w:bCs/>
          <w:color w:val="auto"/>
          <w:sz w:val="24"/>
        </w:rPr>
      </w:pPr>
      <w:bookmarkStart w:id="0" w:name="_Toc129091169"/>
      <w:bookmarkStart w:id="1" w:name="StandardName"/>
      <w:bookmarkStart w:id="2" w:name="_Toc76652946"/>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firstLine="641"/>
        <w:jc w:val="center"/>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firstLine="641"/>
        <w:jc w:val="center"/>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firstLine="641"/>
        <w:jc w:val="center"/>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firstLine="641"/>
        <w:jc w:val="center"/>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firstLine="641"/>
        <w:jc w:val="center"/>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firstLine="641"/>
        <w:jc w:val="center"/>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渝大数据发〔202</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12</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shd w:val="clear"/>
        <w:tabs>
          <w:tab w:val="left" w:pos="2100"/>
        </w:tabs>
        <w:kinsoku/>
        <w:wordWrap/>
        <w:overflowPunct w:val="0"/>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cs="Times New Roman"/>
          <w:b w:val="0"/>
          <w:bCs/>
          <w:color w:val="auto"/>
          <w:sz w:val="32"/>
          <w:szCs w:val="32"/>
        </w:rPr>
      </w:pPr>
    </w:p>
    <w:p>
      <w:pPr>
        <w:keepNext w:val="0"/>
        <w:keepLines w:val="0"/>
        <w:pageBreakBefore w:val="0"/>
        <w:widowControl w:val="0"/>
        <w:shd w:val="clear"/>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重庆市大数据应用发展管理局</w:t>
      </w:r>
    </w:p>
    <w:p>
      <w:pPr>
        <w:keepNext w:val="0"/>
        <w:keepLines w:val="0"/>
        <w:pageBreakBefore w:val="0"/>
        <w:widowControl w:val="0"/>
        <w:shd w:val="clear"/>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auto"/>
        </w:rPr>
      </w:pPr>
      <w:r>
        <w:rPr>
          <w:rFonts w:hint="default" w:ascii="Times New Roman" w:hAnsi="Times New Roman" w:eastAsia="方正小标宋_GBK" w:cs="Times New Roman"/>
          <w:color w:val="auto"/>
          <w:sz w:val="44"/>
          <w:szCs w:val="44"/>
        </w:rPr>
        <w:t>关于开展</w:t>
      </w:r>
      <w:r>
        <w:rPr>
          <w:rFonts w:hint="default" w:ascii="Times New Roman" w:hAnsi="Times New Roman" w:eastAsia="方正小标宋_GBK" w:cs="Times New Roman"/>
          <w:color w:val="auto"/>
          <w:sz w:val="44"/>
          <w:szCs w:val="44"/>
          <w:lang w:val="en-US" w:eastAsia="zh-CN"/>
        </w:rPr>
        <w:t>重庆市</w:t>
      </w:r>
      <w:r>
        <w:rPr>
          <w:rFonts w:hint="default" w:ascii="Times New Roman" w:hAnsi="Times New Roman" w:eastAsia="方正小标宋_GBK" w:cs="Times New Roman"/>
          <w:color w:val="auto"/>
          <w:sz w:val="44"/>
          <w:szCs w:val="44"/>
        </w:rPr>
        <w:t>公共数据目录编制工作的通知</w:t>
      </w:r>
    </w:p>
    <w:p>
      <w:pPr>
        <w:keepNext w:val="0"/>
        <w:keepLines w:val="0"/>
        <w:pageBreakBefore w:val="0"/>
        <w:widowControl w:val="0"/>
        <w:shd w:val="clear"/>
        <w:kinsoku/>
        <w:wordWrap/>
        <w:overflowPunct/>
        <w:topLinePunct w:val="0"/>
        <w:autoSpaceDE/>
        <w:autoSpaceDN/>
        <w:bidi w:val="0"/>
        <w:adjustRightInd w:val="0"/>
        <w:snapToGrid w:val="0"/>
        <w:spacing w:line="62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shd w:val="clear"/>
        <w:kinsoku/>
        <w:wordWrap/>
        <w:overflowPunct/>
        <w:topLinePunct w:val="0"/>
        <w:autoSpaceDE/>
        <w:autoSpaceDN/>
        <w:bidi w:val="0"/>
        <w:adjustRightInd w:val="0"/>
        <w:snapToGrid w:val="0"/>
        <w:spacing w:line="62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各区县（自治县）</w:t>
      </w:r>
      <w:r>
        <w:rPr>
          <w:rFonts w:hint="default" w:ascii="Times New Roman" w:hAnsi="Times New Roman" w:eastAsia="方正仿宋_GBK" w:cs="Times New Roman"/>
          <w:color w:val="auto"/>
          <w:sz w:val="32"/>
          <w:szCs w:val="32"/>
          <w:lang w:val="en-US" w:eastAsia="zh-CN"/>
        </w:rPr>
        <w:t>人民政府</w:t>
      </w:r>
      <w:r>
        <w:rPr>
          <w:rFonts w:hint="default" w:ascii="Times New Roman" w:hAnsi="Times New Roman" w:eastAsia="方正仿宋_GBK" w:cs="Times New Roman"/>
          <w:color w:val="auto"/>
          <w:sz w:val="32"/>
          <w:szCs w:val="32"/>
        </w:rPr>
        <w:t>，两江新区、西部科学城重庆高新区、万盛经开区管委会，市级有关单位：</w:t>
      </w:r>
    </w:p>
    <w:p>
      <w:pPr>
        <w:keepNext w:val="0"/>
        <w:keepLines w:val="0"/>
        <w:pageBreakBefore w:val="0"/>
        <w:widowControl w:val="0"/>
        <w:shd w:val="clear"/>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按照市领导的指示精神，为加快构建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市-区县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一体化智能化数字平台，打造开放兼容、精准管理、服务高效、安全可靠的综合性集成性基础环境，建立</w:t>
      </w:r>
      <w:r>
        <w:rPr>
          <w:rFonts w:hint="default" w:ascii="Times New Roman" w:hAnsi="Times New Roman" w:eastAsia="方正仿宋_GBK" w:cs="Times New Roman"/>
          <w:color w:val="auto"/>
          <w:sz w:val="32"/>
          <w:szCs w:val="32"/>
          <w:lang w:val="en-US" w:eastAsia="zh-CN"/>
        </w:rPr>
        <w:t>健全重庆</w:t>
      </w:r>
      <w:r>
        <w:rPr>
          <w:rFonts w:hint="default" w:ascii="Times New Roman" w:hAnsi="Times New Roman" w:eastAsia="方正仿宋_GBK" w:cs="Times New Roman"/>
          <w:color w:val="auto"/>
          <w:sz w:val="32"/>
          <w:szCs w:val="32"/>
        </w:rPr>
        <w:t>市一体化的公共数据目录体系，</w:t>
      </w:r>
      <w:r>
        <w:rPr>
          <w:rFonts w:hint="default" w:ascii="Times New Roman" w:hAnsi="Times New Roman" w:eastAsia="方正仿宋_GBK" w:cs="Times New Roman"/>
          <w:color w:val="auto"/>
          <w:sz w:val="32"/>
          <w:szCs w:val="32"/>
          <w:lang w:val="en-US" w:eastAsia="zh-CN"/>
        </w:rPr>
        <w:t>完善</w:t>
      </w:r>
      <w:r>
        <w:rPr>
          <w:rFonts w:hint="default" w:ascii="Times New Roman" w:hAnsi="Times New Roman" w:eastAsia="方正仿宋_GBK" w:cs="Times New Roman"/>
          <w:color w:val="auto"/>
          <w:sz w:val="32"/>
          <w:szCs w:val="32"/>
        </w:rPr>
        <w:t>数据资源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一本账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管理机制，经研究，决定面向全市开展公共数据目录编制工作。现将相关工作通知如下：</w:t>
      </w:r>
    </w:p>
    <w:p>
      <w:pPr>
        <w:keepNext w:val="0"/>
        <w:keepLines w:val="0"/>
        <w:pageBreakBefore w:val="0"/>
        <w:widowControl w:val="0"/>
        <w:shd w:val="clear"/>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一、工作目标</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对各区县（自治县）、有关市级单位以及具有公共事务管理职能的组织在依法履职过程中产生、采集和制作的，以一定形式记录、保存的各类非涉密数据资源进行编目，初步形成全市公共数据目录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一本账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二、工作任务</w:t>
      </w: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（一）目录梳理</w:t>
      </w:r>
      <w:r>
        <w:rPr>
          <w:rFonts w:hint="default" w:ascii="Times New Roman" w:hAnsi="Times New Roman" w:eastAsia="方正仿宋_GBK" w:cs="Times New Roman"/>
          <w:color w:val="auto"/>
          <w:sz w:val="32"/>
          <w:szCs w:val="32"/>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各单位结合本单位依法履职、</w:t>
      </w:r>
      <w:r>
        <w:rPr>
          <w:rFonts w:hint="default" w:ascii="Times New Roman" w:hAnsi="Times New Roman" w:eastAsia="方正仿宋_GBK" w:cs="Times New Roman"/>
          <w:color w:val="auto"/>
          <w:sz w:val="32"/>
          <w:szCs w:val="32"/>
          <w:lang w:val="en-US" w:eastAsia="zh-CN"/>
        </w:rPr>
        <w:t>数字化应用</w:t>
      </w:r>
      <w:r>
        <w:rPr>
          <w:rFonts w:hint="default" w:ascii="Times New Roman" w:hAnsi="Times New Roman" w:eastAsia="方正仿宋_GBK" w:cs="Times New Roman"/>
          <w:color w:val="auto"/>
          <w:sz w:val="32"/>
          <w:szCs w:val="32"/>
        </w:rPr>
        <w:t>建设、数据更新等实际情况，基于2022年数据普查成果，按照《重庆市公共数据目录编制</w:t>
      </w:r>
      <w:r>
        <w:rPr>
          <w:rFonts w:hint="default" w:ascii="Times New Roman" w:hAnsi="Times New Roman" w:eastAsia="方正仿宋_GBK" w:cs="Times New Roman"/>
          <w:color w:val="auto"/>
          <w:sz w:val="32"/>
          <w:szCs w:val="32"/>
          <w:lang w:val="en-US" w:eastAsia="zh-CN"/>
        </w:rPr>
        <w:t>指南</w:t>
      </w:r>
      <w:r>
        <w:rPr>
          <w:rFonts w:hint="default" w:ascii="Times New Roman" w:hAnsi="Times New Roman" w:eastAsia="方正仿宋_GBK" w:cs="Times New Roman"/>
          <w:color w:val="auto"/>
          <w:sz w:val="32"/>
          <w:szCs w:val="32"/>
        </w:rPr>
        <w:t>2.0》（附件1），梳理在依法履职过程中产生、采集和制作的，以一定形式记录、保存的各类非涉密数据资源，编制公共数据目录，形成全市公共数据目录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一本账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（二）在线培训</w:t>
      </w:r>
      <w:r>
        <w:rPr>
          <w:rFonts w:hint="default" w:ascii="Times New Roman" w:hAnsi="Times New Roman" w:eastAsia="方正仿宋_GBK" w:cs="Times New Roman"/>
          <w:color w:val="auto"/>
          <w:sz w:val="32"/>
          <w:szCs w:val="32"/>
        </w:rPr>
        <w:t>。市大数据发展局拟于近期开展线上培训，培训安排另行通知。</w:t>
      </w:r>
      <w:r>
        <w:rPr>
          <w:rFonts w:hint="default" w:ascii="Times New Roman" w:hAnsi="Times New Roman" w:eastAsia="方正仿宋_GBK" w:cs="Times New Roman"/>
          <w:color w:val="auto"/>
          <w:kern w:val="2"/>
          <w:sz w:val="32"/>
          <w:szCs w:val="32"/>
          <w:lang w:val="en-US" w:eastAsia="zh-CN" w:bidi="ar-SA"/>
        </w:rPr>
        <w:t>各市级、区县（自治县）的</w:t>
      </w:r>
      <w:r>
        <w:rPr>
          <w:rFonts w:hint="default" w:ascii="Times New Roman" w:hAnsi="Times New Roman" w:eastAsia="方正仿宋_GBK" w:cs="Times New Roman"/>
          <w:color w:val="auto"/>
          <w:sz w:val="32"/>
          <w:szCs w:val="32"/>
          <w:lang w:val="en-US" w:eastAsia="zh-CN"/>
        </w:rPr>
        <w:t>公共数据编制</w:t>
      </w:r>
      <w:r>
        <w:rPr>
          <w:rFonts w:hint="default" w:ascii="Times New Roman" w:hAnsi="Times New Roman" w:eastAsia="方正仿宋_GBK" w:cs="Times New Roman"/>
          <w:color w:val="auto"/>
          <w:kern w:val="2"/>
          <w:sz w:val="32"/>
          <w:szCs w:val="32"/>
          <w:lang w:val="en-US" w:eastAsia="zh-CN" w:bidi="ar-SA"/>
        </w:rPr>
        <w:t>部门各自明确</w:t>
      </w:r>
      <w:r>
        <w:rPr>
          <w:rFonts w:hint="default" w:ascii="Times New Roman" w:hAnsi="Times New Roman" w:eastAsia="方正仿宋_GBK" w:cs="Times New Roman"/>
          <w:color w:val="auto"/>
          <w:sz w:val="32"/>
          <w:szCs w:val="32"/>
          <w:lang w:val="en-US" w:eastAsia="zh-CN"/>
        </w:rPr>
        <w:t>数据编制负责人和业务对接人员。相关人员</w:t>
      </w:r>
      <w:r>
        <w:rPr>
          <w:rFonts w:hint="default" w:ascii="Times New Roman" w:hAnsi="Times New Roman" w:eastAsia="方正仿宋_GBK" w:cs="Times New Roman"/>
          <w:color w:val="auto"/>
          <w:sz w:val="32"/>
          <w:szCs w:val="32"/>
        </w:rPr>
        <w:t>在接受培训后，应视工作需要及时对本单位有关业务处室及下属单位进行指导和培训。</w:t>
      </w: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（三）编制数据目录</w:t>
      </w:r>
      <w:r>
        <w:rPr>
          <w:rFonts w:hint="default" w:ascii="Times New Roman" w:hAnsi="Times New Roman" w:eastAsia="方正仿宋_GBK" w:cs="Times New Roman"/>
          <w:color w:val="auto"/>
          <w:sz w:val="32"/>
          <w:szCs w:val="32"/>
        </w:rPr>
        <w:t>。培训完成后，</w:t>
      </w:r>
      <w:r>
        <w:rPr>
          <w:rFonts w:hint="default" w:ascii="Times New Roman" w:hAnsi="Times New Roman" w:eastAsia="方正仿宋_GBK" w:cs="Times New Roman"/>
          <w:color w:val="auto"/>
          <w:kern w:val="2"/>
          <w:sz w:val="32"/>
          <w:szCs w:val="32"/>
          <w:lang w:val="en-US" w:eastAsia="zh-CN" w:bidi="ar-SA"/>
        </w:rPr>
        <w:t>各市级、区县（自治县）的</w:t>
      </w:r>
      <w:r>
        <w:rPr>
          <w:rFonts w:hint="default" w:ascii="Times New Roman" w:hAnsi="Times New Roman" w:eastAsia="方正仿宋_GBK" w:cs="Times New Roman"/>
          <w:color w:val="auto"/>
          <w:sz w:val="32"/>
          <w:szCs w:val="32"/>
          <w:lang w:val="en-US" w:eastAsia="zh-CN"/>
        </w:rPr>
        <w:t>公共数据编制</w:t>
      </w:r>
      <w:r>
        <w:rPr>
          <w:rFonts w:hint="default" w:ascii="Times New Roman" w:hAnsi="Times New Roman" w:eastAsia="方正仿宋_GBK" w:cs="Times New Roman"/>
          <w:color w:val="auto"/>
          <w:kern w:val="2"/>
          <w:sz w:val="32"/>
          <w:szCs w:val="32"/>
          <w:lang w:val="en-US" w:eastAsia="zh-CN" w:bidi="ar-SA"/>
        </w:rPr>
        <w:t>部门</w:t>
      </w:r>
      <w:r>
        <w:rPr>
          <w:rFonts w:hint="default" w:ascii="Times New Roman" w:hAnsi="Times New Roman" w:eastAsia="方正仿宋_GBK" w:cs="Times New Roman"/>
          <w:color w:val="auto"/>
          <w:sz w:val="32"/>
          <w:szCs w:val="32"/>
        </w:rPr>
        <w:t>各自组织下属单位通过登录重庆市一体化数字资源系统（IRS）公共数据编目子系统进行公共数据目录的在线填报，系统登录方式另行通知。填报过程中，对于2022年数据普查工作已录入公共数据平台的数据目录，应严格对照《</w:t>
      </w:r>
      <w:r>
        <w:rPr>
          <w:rFonts w:hint="default" w:ascii="Times New Roman" w:hAnsi="Times New Roman" w:eastAsia="方正仿宋_GBK" w:cs="Times New Roman"/>
          <w:color w:val="auto"/>
          <w:sz w:val="32"/>
          <w:szCs w:val="32"/>
          <w:lang w:val="en-US" w:eastAsia="zh-CN"/>
        </w:rPr>
        <w:t>重庆市</w:t>
      </w:r>
      <w:r>
        <w:rPr>
          <w:rFonts w:hint="default" w:ascii="Times New Roman" w:hAnsi="Times New Roman" w:eastAsia="方正仿宋_GBK" w:cs="Times New Roman"/>
          <w:color w:val="auto"/>
          <w:sz w:val="32"/>
          <w:szCs w:val="32"/>
        </w:rPr>
        <w:t>公共数据目录编制</w:t>
      </w:r>
      <w:r>
        <w:rPr>
          <w:rFonts w:hint="default" w:ascii="Times New Roman" w:hAnsi="Times New Roman" w:eastAsia="方正仿宋_GBK" w:cs="Times New Roman"/>
          <w:color w:val="auto"/>
          <w:sz w:val="32"/>
          <w:szCs w:val="32"/>
          <w:lang w:val="en-US" w:eastAsia="zh-CN"/>
        </w:rPr>
        <w:t>指南</w:t>
      </w:r>
      <w:r>
        <w:rPr>
          <w:rFonts w:hint="default" w:ascii="Times New Roman" w:hAnsi="Times New Roman" w:eastAsia="方正仿宋_GBK" w:cs="Times New Roman"/>
          <w:color w:val="auto"/>
          <w:sz w:val="32"/>
          <w:szCs w:val="32"/>
        </w:rPr>
        <w:t>2.0》中的《数据目录梳理模板填写说明》进行要素核实更新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未录入公共数据平台的数据目录，必须新增入库，要确保数据目录要素完整、准确，做到目录之外无数据。</w:t>
      </w:r>
      <w:r>
        <w:rPr>
          <w:rFonts w:hint="default" w:ascii="Times New Roman" w:hAnsi="Times New Roman" w:eastAsia="方正仿宋_GBK" w:cs="Times New Roman"/>
          <w:color w:val="auto"/>
          <w:sz w:val="32"/>
          <w:szCs w:val="32"/>
          <w:lang w:val="en-US" w:eastAsia="zh-CN"/>
        </w:rPr>
        <w:t>公共数据目录</w:t>
      </w:r>
      <w:r>
        <w:rPr>
          <w:rFonts w:hint="default" w:ascii="Times New Roman" w:hAnsi="Times New Roman" w:eastAsia="方正仿宋_GBK" w:cs="Times New Roman"/>
          <w:color w:val="auto"/>
          <w:sz w:val="32"/>
          <w:szCs w:val="32"/>
        </w:rPr>
        <w:t>填报期间，市大数据发展局将安排专门人员分组对接各区县（自治县）及有关市级单位。</w:t>
      </w:r>
    </w:p>
    <w:p>
      <w:pPr>
        <w:pStyle w:val="12"/>
        <w:keepNext w:val="0"/>
        <w:keepLines w:val="0"/>
        <w:pageBreakBefore w:val="0"/>
        <w:widowControl w:val="0"/>
        <w:shd w:val="clear"/>
        <w:kinsoku/>
        <w:wordWrap/>
        <w:overflowPunct/>
        <w:topLinePunct w:val="0"/>
        <w:bidi w:val="0"/>
        <w:adjustRightInd w:val="0"/>
        <w:snapToGrid w:val="0"/>
        <w:spacing w:line="600" w:lineRule="exact"/>
        <w:ind w:firstLine="640"/>
        <w:textAlignment w:val="auto"/>
        <w:rPr>
          <w:rFonts w:hint="default" w:ascii="Times New Roman" w:hAnsi="Times New Roman" w:cs="Times New Roman"/>
          <w:color w:val="auto"/>
        </w:rPr>
      </w:pPr>
      <w:r>
        <w:rPr>
          <w:rFonts w:hint="default" w:ascii="Times New Roman" w:hAnsi="Times New Roman" w:eastAsia="方正楷体_GBK" w:cs="Times New Roman"/>
          <w:color w:val="auto"/>
          <w:sz w:val="32"/>
          <w:szCs w:val="32"/>
        </w:rPr>
        <w:t>（四）目录审核</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2"/>
          <w:sz w:val="32"/>
          <w:szCs w:val="32"/>
        </w:rPr>
        <w:t>各单位在完成公共数据目录填报并确认无误后，提交系统进行审核。市大数据发展局负责对市级单位提交的公共数据目录进行审核，并对各区县（自治县）填报的公共数据目录进行质量抽查。区县（自治县）数据主管部门负责对本区县（自治县）有关单位提交的公共数据目录进行审核。</w:t>
      </w: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三、其他事项</w:t>
      </w:r>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600" w:lineRule="exact"/>
        <w:ind w:left="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rPr>
        <w:t>（一）</w:t>
      </w:r>
      <w:r>
        <w:rPr>
          <w:rFonts w:hint="default" w:ascii="Times New Roman" w:hAnsi="Times New Roman" w:eastAsia="方正楷体_GBK" w:cs="Times New Roman"/>
          <w:color w:val="auto"/>
          <w:sz w:val="32"/>
          <w:szCs w:val="32"/>
          <w:lang w:val="en-US" w:eastAsia="zh-CN" w:bidi="ar-SA"/>
        </w:rPr>
        <w:t>建立组织保障机制。</w:t>
      </w:r>
      <w:r>
        <w:rPr>
          <w:rFonts w:hint="default" w:ascii="Times New Roman" w:hAnsi="Times New Roman" w:eastAsia="方正仿宋_GBK" w:cs="Times New Roman"/>
          <w:color w:val="auto"/>
          <w:kern w:val="2"/>
          <w:sz w:val="32"/>
          <w:szCs w:val="32"/>
          <w:lang w:val="en-US" w:eastAsia="zh-CN" w:bidi="ar-SA"/>
        </w:rPr>
        <w:t>建立由数据主管部门、</w:t>
      </w:r>
      <w:r>
        <w:rPr>
          <w:rFonts w:hint="default" w:ascii="Times New Roman" w:hAnsi="Times New Roman" w:cs="Times New Roman"/>
          <w:color w:val="auto"/>
          <w:kern w:val="2"/>
          <w:sz w:val="32"/>
          <w:szCs w:val="32"/>
          <w:lang w:val="en-US" w:eastAsia="zh-CN" w:bidi="ar-SA"/>
        </w:rPr>
        <w:t>公共数据目录</w:t>
      </w:r>
      <w:r>
        <w:rPr>
          <w:rFonts w:hint="default" w:ascii="Times New Roman" w:hAnsi="Times New Roman" w:eastAsia="方正仿宋_GBK" w:cs="Times New Roman"/>
          <w:color w:val="auto"/>
          <w:kern w:val="2"/>
          <w:sz w:val="32"/>
          <w:szCs w:val="32"/>
          <w:lang w:val="en-US" w:eastAsia="zh-CN" w:bidi="ar-SA"/>
        </w:rPr>
        <w:t>编制部门组成的联络沟通机制。</w:t>
      </w:r>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600" w:lineRule="exact"/>
        <w:ind w:lef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rPr>
        <w:t>公共数据目录编制部门：</w:t>
      </w:r>
      <w:r>
        <w:rPr>
          <w:rFonts w:hint="default" w:ascii="Times New Roman" w:hAnsi="Times New Roman" w:eastAsia="方正仿宋_GBK" w:cs="Times New Roman"/>
          <w:color w:val="auto"/>
          <w:kern w:val="2"/>
          <w:sz w:val="32"/>
          <w:szCs w:val="32"/>
          <w:lang w:val="en-US" w:eastAsia="zh-CN" w:bidi="ar-SA"/>
        </w:rPr>
        <w:t>各市级、区县（自治县）的</w:t>
      </w:r>
      <w:r>
        <w:rPr>
          <w:rFonts w:hint="default" w:ascii="Times New Roman" w:hAnsi="Times New Roman" w:cs="Times New Roman"/>
          <w:color w:val="auto"/>
          <w:kern w:val="2"/>
          <w:sz w:val="32"/>
          <w:szCs w:val="32"/>
          <w:lang w:val="en-US" w:eastAsia="zh-CN" w:bidi="ar-SA"/>
        </w:rPr>
        <w:t>公共数据</w:t>
      </w:r>
      <w:r>
        <w:rPr>
          <w:rFonts w:hint="default" w:ascii="Times New Roman" w:hAnsi="Times New Roman" w:eastAsia="方正仿宋_GBK" w:cs="Times New Roman"/>
          <w:color w:val="auto"/>
          <w:kern w:val="2"/>
          <w:sz w:val="32"/>
          <w:szCs w:val="32"/>
          <w:lang w:val="en-US" w:eastAsia="zh-CN" w:bidi="ar-SA"/>
        </w:rPr>
        <w:t>编制部门组织开展本单位</w:t>
      </w:r>
      <w:r>
        <w:rPr>
          <w:rFonts w:hint="default" w:ascii="Times New Roman" w:hAnsi="Times New Roman" w:cs="Times New Roman"/>
          <w:color w:val="auto"/>
          <w:kern w:val="2"/>
          <w:sz w:val="32"/>
          <w:szCs w:val="32"/>
          <w:lang w:val="en-US" w:eastAsia="zh-CN" w:bidi="ar-SA"/>
        </w:rPr>
        <w:t>公共</w:t>
      </w:r>
      <w:r>
        <w:rPr>
          <w:rFonts w:hint="default" w:ascii="Times New Roman" w:hAnsi="Times New Roman" w:eastAsia="方正仿宋_GBK" w:cs="Times New Roman"/>
          <w:color w:val="auto"/>
          <w:kern w:val="2"/>
          <w:sz w:val="32"/>
          <w:szCs w:val="32"/>
          <w:lang w:val="en-US" w:eastAsia="zh-CN" w:bidi="ar-SA"/>
        </w:rPr>
        <w:t>数据目录编制工作，并做好数据目录的管理和维护。</w:t>
      </w:r>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600" w:lineRule="exact"/>
        <w:ind w:left="0" w:firstLine="616" w:firstLineChars="200"/>
        <w:textAlignment w:val="auto"/>
        <w:rPr>
          <w:rFonts w:hint="default" w:ascii="Times New Roman" w:hAnsi="Times New Roman" w:eastAsia="方正仿宋_GBK" w:cs="Times New Roman"/>
          <w:color w:val="auto"/>
          <w:spacing w:val="-6"/>
          <w:kern w:val="2"/>
          <w:sz w:val="32"/>
          <w:szCs w:val="32"/>
          <w:lang w:val="en-US" w:eastAsia="zh-CN" w:bidi="ar-SA"/>
        </w:rPr>
      </w:pPr>
      <w:r>
        <w:rPr>
          <w:rFonts w:hint="default" w:ascii="Times New Roman" w:hAnsi="Times New Roman" w:eastAsia="方正楷体_GBK" w:cs="Times New Roman"/>
          <w:color w:val="auto"/>
          <w:spacing w:val="-6"/>
          <w:kern w:val="2"/>
          <w:sz w:val="32"/>
          <w:szCs w:val="32"/>
          <w:lang w:val="en-US" w:eastAsia="zh-CN"/>
        </w:rPr>
        <w:t>数据主管部门：</w:t>
      </w:r>
      <w:r>
        <w:rPr>
          <w:rFonts w:hint="default" w:ascii="Times New Roman" w:hAnsi="Times New Roman" w:eastAsia="方正仿宋_GBK" w:cs="Times New Roman"/>
          <w:color w:val="auto"/>
          <w:spacing w:val="-6"/>
          <w:kern w:val="2"/>
          <w:sz w:val="32"/>
          <w:szCs w:val="32"/>
          <w:lang w:val="en-US" w:eastAsia="zh-CN" w:bidi="ar-SA"/>
        </w:rPr>
        <w:t>市、各区县（自治县）数据主管部门分级管理。</w:t>
      </w:r>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600" w:lineRule="exact"/>
        <w:ind w:lef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rPr>
        <w:t>市数据主管部门：</w:t>
      </w:r>
      <w:r>
        <w:rPr>
          <w:rFonts w:hint="default" w:ascii="Times New Roman" w:hAnsi="Times New Roman" w:eastAsia="方正仿宋_GBK" w:cs="Times New Roman"/>
          <w:color w:val="auto"/>
          <w:kern w:val="2"/>
          <w:sz w:val="32"/>
          <w:szCs w:val="32"/>
          <w:lang w:val="en-US" w:eastAsia="zh-CN" w:bidi="ar-SA"/>
        </w:rPr>
        <w:t>指导和推进全市公共数据编目工作，对各市级部门的</w:t>
      </w:r>
      <w:r>
        <w:rPr>
          <w:rFonts w:hint="default" w:ascii="Times New Roman" w:hAnsi="Times New Roman" w:cs="Times New Roman"/>
          <w:color w:val="auto"/>
          <w:kern w:val="2"/>
          <w:sz w:val="32"/>
          <w:szCs w:val="32"/>
          <w:lang w:val="en-US" w:eastAsia="zh-CN" w:bidi="ar-SA"/>
        </w:rPr>
        <w:t>公共</w:t>
      </w:r>
      <w:r>
        <w:rPr>
          <w:rFonts w:hint="default" w:ascii="Times New Roman" w:hAnsi="Times New Roman" w:eastAsia="方正仿宋_GBK" w:cs="Times New Roman"/>
          <w:color w:val="auto"/>
          <w:kern w:val="2"/>
          <w:sz w:val="32"/>
          <w:szCs w:val="32"/>
          <w:lang w:val="en-US" w:eastAsia="zh-CN" w:bidi="ar-SA"/>
        </w:rPr>
        <w:t>数据目录进行审核和发布，做好市级各部门和各区县</w:t>
      </w:r>
      <w:r>
        <w:rPr>
          <w:rFonts w:hint="default" w:ascii="Times New Roman" w:hAnsi="Times New Roman" w:cs="Times New Roman"/>
          <w:color w:val="auto"/>
          <w:kern w:val="2"/>
          <w:sz w:val="32"/>
          <w:szCs w:val="32"/>
          <w:lang w:val="en-US" w:eastAsia="zh-CN" w:bidi="ar-SA"/>
        </w:rPr>
        <w:t>公共</w:t>
      </w:r>
      <w:r>
        <w:rPr>
          <w:rFonts w:hint="default" w:ascii="Times New Roman" w:hAnsi="Times New Roman" w:eastAsia="方正仿宋_GBK" w:cs="Times New Roman"/>
          <w:color w:val="auto"/>
          <w:kern w:val="2"/>
          <w:sz w:val="32"/>
          <w:szCs w:val="32"/>
          <w:lang w:val="en-US" w:eastAsia="zh-CN" w:bidi="ar-SA"/>
        </w:rPr>
        <w:t>数据目录的绩效考核等工作。</w:t>
      </w:r>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620" w:lineRule="exact"/>
        <w:ind w:left="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rPr>
        <w:t>区县（自治县）数据主管部门：</w:t>
      </w:r>
      <w:r>
        <w:rPr>
          <w:rFonts w:hint="default" w:ascii="Times New Roman" w:hAnsi="Times New Roman" w:eastAsia="方正仿宋_GBK" w:cs="Times New Roman"/>
          <w:color w:val="auto"/>
          <w:kern w:val="2"/>
          <w:sz w:val="32"/>
          <w:szCs w:val="32"/>
          <w:lang w:val="en-US" w:eastAsia="zh-CN" w:bidi="ar-SA"/>
        </w:rPr>
        <w:t>负责对本区县（自治县）的公共数据目录进行审核和发布，做好本县（市、区）数据目录的绩效考核等工作。</w:t>
      </w:r>
    </w:p>
    <w:p>
      <w:pPr>
        <w:pStyle w:val="12"/>
        <w:keepNext w:val="0"/>
        <w:keepLines w:val="0"/>
        <w:pageBreakBefore w:val="0"/>
        <w:widowControl w:val="0"/>
        <w:shd w:val="clear"/>
        <w:kinsoku/>
        <w:wordWrap/>
        <w:overflowPunct/>
        <w:topLinePunct w:val="0"/>
        <w:bidi w:val="0"/>
        <w:adjustRightInd w:val="0"/>
        <w:snapToGrid w:val="0"/>
        <w:spacing w:line="620" w:lineRule="exact"/>
        <w:ind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rPr>
        <w:t>（</w:t>
      </w:r>
      <w:r>
        <w:rPr>
          <w:rFonts w:hint="default" w:ascii="Times New Roman" w:hAnsi="Times New Roman" w:eastAsia="方正楷体_GBK" w:cs="Times New Roman"/>
          <w:color w:val="auto"/>
          <w:kern w:val="2"/>
          <w:sz w:val="32"/>
          <w:szCs w:val="32"/>
          <w:lang w:val="en-US" w:eastAsia="zh-CN"/>
        </w:rPr>
        <w:t>二</w:t>
      </w:r>
      <w:r>
        <w:rPr>
          <w:rFonts w:hint="default" w:ascii="Times New Roman" w:hAnsi="Times New Roman" w:eastAsia="方正楷体_GBK" w:cs="Times New Roman"/>
          <w:color w:val="auto"/>
          <w:kern w:val="2"/>
          <w:sz w:val="32"/>
          <w:szCs w:val="32"/>
        </w:rPr>
        <w:t>）高度重视公共数据编目工作。</w:t>
      </w:r>
      <w:r>
        <w:rPr>
          <w:rFonts w:hint="default" w:ascii="Times New Roman" w:hAnsi="Times New Roman" w:eastAsia="方正仿宋_GBK" w:cs="Times New Roman"/>
          <w:color w:val="auto"/>
          <w:kern w:val="2"/>
          <w:sz w:val="32"/>
          <w:szCs w:val="32"/>
          <w:lang w:val="en-US" w:eastAsia="zh-CN" w:bidi="ar-SA"/>
        </w:rPr>
        <w:t>各区县（自治县）、有关市级单位要高度重视公共数据目录编制工作，确保各信息要素完整、内容规范准确。市大数据发展局将在</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一把手</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例会上对各区县（自治县）、各市级单位填报的公共数据目录进行晾晒。市级有关单位应对照《应用目录编制指南》，编制与应用关联的目录要素，未按要求编制将影响该应用纳入后续市级政务信息化项目运维清单。</w:t>
      </w:r>
    </w:p>
    <w:p>
      <w:pPr>
        <w:pStyle w:val="12"/>
        <w:keepNext w:val="0"/>
        <w:keepLines w:val="0"/>
        <w:pageBreakBefore w:val="0"/>
        <w:widowControl w:val="0"/>
        <w:shd w:val="clear"/>
        <w:kinsoku/>
        <w:wordWrap/>
        <w:overflowPunct/>
        <w:topLinePunct w:val="0"/>
        <w:bidi w:val="0"/>
        <w:adjustRightInd w:val="0"/>
        <w:snapToGrid w:val="0"/>
        <w:spacing w:line="620" w:lineRule="exact"/>
        <w:ind w:firstLine="64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color w:val="auto"/>
          <w:kern w:val="2"/>
          <w:sz w:val="32"/>
          <w:szCs w:val="32"/>
        </w:rPr>
        <w:t>（</w:t>
      </w:r>
      <w:r>
        <w:rPr>
          <w:rFonts w:hint="default" w:ascii="Times New Roman" w:hAnsi="Times New Roman" w:eastAsia="方正楷体_GBK" w:cs="Times New Roman"/>
          <w:color w:val="auto"/>
          <w:kern w:val="2"/>
          <w:sz w:val="32"/>
          <w:szCs w:val="32"/>
          <w:lang w:val="en-US" w:eastAsia="zh-CN"/>
        </w:rPr>
        <w:t>三</w:t>
      </w:r>
      <w:r>
        <w:rPr>
          <w:rFonts w:hint="default" w:ascii="Times New Roman" w:hAnsi="Times New Roman" w:eastAsia="方正楷体_GBK" w:cs="Times New Roman"/>
          <w:color w:val="auto"/>
          <w:kern w:val="2"/>
          <w:sz w:val="32"/>
          <w:szCs w:val="32"/>
        </w:rPr>
        <w:t>）</w:t>
      </w:r>
      <w:r>
        <w:rPr>
          <w:rFonts w:hint="default" w:ascii="Times New Roman" w:hAnsi="Times New Roman" w:eastAsia="方正楷体_GBK" w:cs="Times New Roman"/>
          <w:color w:val="auto"/>
          <w:kern w:val="2"/>
          <w:sz w:val="32"/>
          <w:szCs w:val="32"/>
          <w:lang w:val="en-US" w:eastAsia="zh-CN"/>
        </w:rPr>
        <w:t>明确负责人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2"/>
          <w:sz w:val="32"/>
          <w:szCs w:val="32"/>
          <w:lang w:val="en-US" w:eastAsia="zh-CN" w:bidi="ar-SA"/>
        </w:rPr>
        <w:t>各市级单位的数据资源编制部门以及各区县（自治县）数据主管部门</w:t>
      </w:r>
      <w:r>
        <w:rPr>
          <w:rFonts w:hint="default" w:ascii="Times New Roman" w:hAnsi="Times New Roman" w:eastAsia="黑体" w:cs="Times New Roman"/>
          <w:color w:val="auto"/>
          <w:sz w:val="32"/>
          <w:szCs w:val="32"/>
        </w:rPr>
        <w:t>于3月9日前报送部门</w:t>
      </w:r>
      <w:r>
        <w:rPr>
          <w:rFonts w:hint="default" w:ascii="Times New Roman" w:hAnsi="Times New Roman" w:eastAsia="黑体" w:cs="Times New Roman"/>
          <w:color w:val="auto"/>
          <w:sz w:val="32"/>
          <w:szCs w:val="32"/>
          <w:lang w:val="en-US" w:eastAsia="zh-CN"/>
        </w:rPr>
        <w:t>数据</w:t>
      </w:r>
      <w:r>
        <w:rPr>
          <w:rFonts w:hint="default" w:ascii="Times New Roman" w:hAnsi="Times New Roman" w:eastAsia="黑体" w:cs="Times New Roman"/>
          <w:color w:val="auto"/>
          <w:sz w:val="32"/>
          <w:szCs w:val="32"/>
        </w:rPr>
        <w:t>管理员名单</w:t>
      </w:r>
      <w:r>
        <w:rPr>
          <w:rFonts w:hint="default" w:ascii="Times New Roman" w:hAnsi="Times New Roman" w:eastAsia="黑体" w:cs="Times New Roman"/>
          <w:color w:val="auto"/>
          <w:sz w:val="32"/>
          <w:szCs w:val="32"/>
          <w:lang w:val="en-US" w:eastAsia="zh-CN"/>
        </w:rPr>
        <w:t>和区县数据管理员名单</w:t>
      </w:r>
      <w:r>
        <w:rPr>
          <w:rFonts w:hint="default" w:ascii="Times New Roman" w:hAnsi="Times New Roman" w:eastAsia="黑体" w:cs="Times New Roman"/>
          <w:color w:val="auto"/>
          <w:sz w:val="32"/>
          <w:szCs w:val="32"/>
        </w:rPr>
        <w:t>（见附件</w:t>
      </w:r>
      <w:r>
        <w:rPr>
          <w:rFonts w:hint="default"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rPr>
        <w:t>），如未反馈造成的工作延误，自行负责</w:t>
      </w:r>
      <w:r>
        <w:rPr>
          <w:rFonts w:hint="default" w:ascii="Times New Roman" w:hAnsi="Times New Roman" w:eastAsia="方正仿宋_GBK" w:cs="Times New Roman"/>
          <w:color w:val="auto"/>
          <w:kern w:val="2"/>
          <w:sz w:val="32"/>
          <w:szCs w:val="32"/>
        </w:rPr>
        <w:t>。</w:t>
      </w:r>
    </w:p>
    <w:p>
      <w:pPr>
        <w:pStyle w:val="12"/>
        <w:keepNext w:val="0"/>
        <w:keepLines w:val="0"/>
        <w:pageBreakBefore w:val="0"/>
        <w:widowControl w:val="0"/>
        <w:shd w:val="clear"/>
        <w:kinsoku/>
        <w:wordWrap/>
        <w:overflowPunct/>
        <w:topLinePunct w:val="0"/>
        <w:bidi w:val="0"/>
        <w:adjustRightInd w:val="0"/>
        <w:snapToGrid w:val="0"/>
        <w:spacing w:line="620" w:lineRule="exact"/>
        <w:ind w:firstLine="64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rPr>
        <w:t>（</w:t>
      </w:r>
      <w:r>
        <w:rPr>
          <w:rFonts w:hint="default" w:ascii="Times New Roman" w:hAnsi="Times New Roman" w:eastAsia="方正楷体_GBK" w:cs="Times New Roman"/>
          <w:color w:val="auto"/>
          <w:kern w:val="2"/>
          <w:sz w:val="32"/>
          <w:szCs w:val="32"/>
          <w:lang w:val="en-US" w:eastAsia="zh-CN"/>
        </w:rPr>
        <w:t>四</w:t>
      </w:r>
      <w:r>
        <w:rPr>
          <w:rFonts w:hint="default" w:ascii="Times New Roman" w:hAnsi="Times New Roman" w:eastAsia="方正楷体_GBK" w:cs="Times New Roman"/>
          <w:color w:val="auto"/>
          <w:kern w:val="2"/>
          <w:sz w:val="32"/>
          <w:szCs w:val="32"/>
        </w:rPr>
        <w:t>）按时完成公共数据目录填报及审核。</w:t>
      </w:r>
      <w:r>
        <w:rPr>
          <w:rFonts w:hint="default" w:ascii="Times New Roman" w:hAnsi="Times New Roman" w:eastAsia="方正仿宋_GBK" w:cs="Times New Roman"/>
          <w:color w:val="auto"/>
          <w:kern w:val="2"/>
          <w:sz w:val="32"/>
          <w:szCs w:val="32"/>
          <w:lang w:val="en-US" w:eastAsia="zh-CN" w:bidi="ar-SA"/>
        </w:rPr>
        <w:t>各区县（自治县）、各市级单位的数据资源编制部门应于3月25日前，在线完成公共数据目录填报工作。市大数据发展局、各区县（自治县）数据主管部门应于3月29日前完成公共数据目录审核工作。市大数据发展局于3月31日前将审核通过的公共数据目录进行发布，初步形成重庆市</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公共数据一本账</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rPr>
        <w:t>）畅通在线沟通联络渠道</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2"/>
          <w:sz w:val="32"/>
          <w:szCs w:val="32"/>
          <w:lang w:val="en-US" w:eastAsia="zh-CN" w:bidi="ar-SA"/>
        </w:rPr>
        <w:t>鉴于重庆市一体化数字资源系统将通过</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渝快政</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平台进行登录，后续的对接联系、指导培训等也将通过</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渝快政</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进行，市大数据发展局将在</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渝快政</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上建立公共数据编目工作群。请各区县（自治县）、有关市级单位进一步加强</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渝快政</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的推广应用，确保公共数据目录编制各项工作顺利推进。</w:t>
      </w: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default" w:ascii="Times New Roman" w:hAnsi="Times New Roman" w:eastAsia="方正仿宋_GBK" w:cs="Times New Roman"/>
          <w:color w:val="auto"/>
          <w:sz w:val="32"/>
          <w:szCs w:val="32"/>
          <w:lang w:val="en-US" w:eastAsia="zh-CN"/>
        </w:rPr>
        <w:t>重庆市</w:t>
      </w:r>
      <w:r>
        <w:rPr>
          <w:rFonts w:hint="default" w:ascii="Times New Roman" w:hAnsi="Times New Roman" w:eastAsia="方正仿宋_GBK" w:cs="Times New Roman"/>
          <w:color w:val="auto"/>
          <w:sz w:val="32"/>
          <w:szCs w:val="32"/>
        </w:rPr>
        <w:t>公共数据目录编制</w:t>
      </w:r>
      <w:r>
        <w:rPr>
          <w:rFonts w:hint="default" w:ascii="Times New Roman" w:hAnsi="Times New Roman" w:eastAsia="方正仿宋_GBK" w:cs="Times New Roman"/>
          <w:color w:val="auto"/>
          <w:sz w:val="32"/>
          <w:szCs w:val="32"/>
          <w:lang w:val="en-US" w:eastAsia="zh-CN"/>
        </w:rPr>
        <w:t>指南</w:t>
      </w:r>
      <w:r>
        <w:rPr>
          <w:rFonts w:hint="default" w:ascii="Times New Roman" w:hAnsi="Times New Roman" w:eastAsia="方正仿宋_GBK" w:cs="Times New Roman"/>
          <w:color w:val="auto"/>
          <w:sz w:val="32"/>
          <w:szCs w:val="32"/>
        </w:rPr>
        <w:t>2.0</w:t>
      </w:r>
    </w:p>
    <w:p>
      <w:pPr>
        <w:keepNext w:val="0"/>
        <w:keepLines w:val="0"/>
        <w:pageBreakBefore w:val="0"/>
        <w:widowControl w:val="0"/>
        <w:shd w:val="clear"/>
        <w:kinsoku/>
        <w:wordWrap/>
        <w:overflowPunct/>
        <w:topLinePunct w:val="0"/>
        <w:bidi w:val="0"/>
        <w:adjustRightInd w:val="0"/>
        <w:snapToGrid w:val="0"/>
        <w:spacing w:line="600" w:lineRule="exact"/>
        <w:ind w:firstLine="1600" w:firstLineChars="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lang w:val="en-US" w:eastAsia="zh-CN"/>
        </w:rPr>
        <w:t>县数据</w:t>
      </w:r>
      <w:r>
        <w:rPr>
          <w:rFonts w:hint="default" w:ascii="Times New Roman" w:hAnsi="Times New Roman" w:eastAsia="方正仿宋_GBK" w:cs="Times New Roman"/>
          <w:color w:val="auto"/>
          <w:sz w:val="32"/>
          <w:szCs w:val="32"/>
        </w:rPr>
        <w:t>管理员/部门</w:t>
      </w:r>
      <w:r>
        <w:rPr>
          <w:rFonts w:hint="default" w:ascii="Times New Roman" w:hAnsi="Times New Roman" w:eastAsia="方正仿宋_GBK" w:cs="Times New Roman"/>
          <w:color w:val="auto"/>
          <w:sz w:val="32"/>
          <w:szCs w:val="32"/>
          <w:lang w:val="en-US" w:eastAsia="zh-CN"/>
        </w:rPr>
        <w:t>数据</w:t>
      </w:r>
      <w:r>
        <w:rPr>
          <w:rFonts w:hint="default" w:ascii="Times New Roman" w:hAnsi="Times New Roman" w:eastAsia="方正仿宋_GBK" w:cs="Times New Roman"/>
          <w:color w:val="auto"/>
          <w:sz w:val="32"/>
          <w:szCs w:val="32"/>
        </w:rPr>
        <w:t>管理员名单</w:t>
      </w: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shd w:val="clea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shd w:val="clear"/>
        <w:kinsoku/>
        <w:wordWrap/>
        <w:overflowPunct/>
        <w:topLinePunct w:val="0"/>
        <w:bidi w:val="0"/>
        <w:adjustRightInd w:val="0"/>
        <w:snapToGrid w:val="0"/>
        <w:spacing w:line="600" w:lineRule="exact"/>
        <w:ind w:leftChars="11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重庆市大数据应用发展管理局</w:t>
      </w:r>
    </w:p>
    <w:p>
      <w:pPr>
        <w:keepNext w:val="0"/>
        <w:keepLines w:val="0"/>
        <w:pageBreakBefore w:val="0"/>
        <w:widowControl w:val="0"/>
        <w:shd w:val="clear"/>
        <w:kinsoku/>
        <w:wordWrap/>
        <w:overflowPunct/>
        <w:topLinePunct w:val="0"/>
        <w:bidi w:val="0"/>
        <w:adjustRightInd w:val="0"/>
        <w:snapToGrid w:val="0"/>
        <w:spacing w:line="600" w:lineRule="exact"/>
        <w:ind w:leftChars="11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2023年3月</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日</w:t>
      </w:r>
    </w:p>
    <w:p>
      <w:pPr>
        <w:pStyle w:val="17"/>
        <w:keepNext w:val="0"/>
        <w:keepLines w:val="0"/>
        <w:pageBreakBefore w:val="0"/>
        <w:widowControl w:val="0"/>
        <w:shd w:val="clea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（联系人：余银万</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黄科荣</w:t>
      </w:r>
      <w:r>
        <w:rPr>
          <w:rFonts w:hint="default" w:ascii="Times New Roman" w:hAnsi="Times New Roman" w:eastAsia="方正仿宋_GBK" w:cs="Times New Roman"/>
          <w:color w:val="auto"/>
          <w:kern w:val="2"/>
          <w:sz w:val="32"/>
          <w:szCs w:val="32"/>
        </w:rPr>
        <w:t>；联系方式：18716277065</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13272710771</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邮箱：</w:t>
      </w:r>
      <w:r>
        <w:rPr>
          <w:rFonts w:hint="default" w:ascii="Times New Roman" w:hAnsi="Times New Roman" w:eastAsia="方正仿宋_GBK" w:cs="Times New Roman"/>
          <w:color w:val="auto"/>
          <w:kern w:val="2"/>
          <w:sz w:val="32"/>
          <w:szCs w:val="32"/>
        </w:rPr>
        <w:t>sdsjfzj_sjc@cq.gov）</w:t>
      </w:r>
    </w:p>
    <w:p>
      <w:pPr>
        <w:pStyle w:val="11"/>
        <w:keepNext w:val="0"/>
        <w:keepLines w:val="0"/>
        <w:pageBreakBefore w:val="0"/>
        <w:widowControl w:val="0"/>
        <w:shd w:val="clear"/>
        <w:kinsoku/>
        <w:wordWrap/>
        <w:overflowPunct/>
        <w:topLinePunct w:val="0"/>
        <w:bidi w:val="0"/>
        <w:adjustRightInd w:val="0"/>
        <w:snapToGrid w:val="0"/>
        <w:spacing w:before="0" w:beforeLines="0" w:after="0" w:afterLines="0" w:line="600" w:lineRule="exact"/>
        <w:jc w:val="both"/>
        <w:textAlignment w:val="auto"/>
        <w:rPr>
          <w:rFonts w:hint="default" w:ascii="Times New Roman" w:hAnsi="Times New Roman" w:eastAsia="方正黑体_GBK" w:cs="Times New Roman"/>
          <w:color w:val="auto"/>
          <w:sz w:val="32"/>
          <w:szCs w:val="32"/>
          <w:lang w:val="en-US" w:eastAsia="zh-CN"/>
        </w:rPr>
      </w:pPr>
    </w:p>
    <w:p>
      <w:pPr>
        <w:pStyle w:val="12"/>
        <w:keepNext w:val="0"/>
        <w:keepLines w:val="0"/>
        <w:pageBreakBefore w:val="0"/>
        <w:widowControl w:val="0"/>
        <w:shd w:val="clear"/>
        <w:kinsoku/>
        <w:wordWrap/>
        <w:overflowPunct/>
        <w:topLinePunct w:val="0"/>
        <w:bidi w:val="0"/>
        <w:adjustRightInd w:val="0"/>
        <w:snapToGrid w:val="0"/>
        <w:spacing w:line="600" w:lineRule="exact"/>
        <w:textAlignment w:val="auto"/>
        <w:rPr>
          <w:rFonts w:hint="default" w:ascii="Times New Roman" w:hAnsi="Times New Roman" w:eastAsia="方正黑体_GBK" w:cs="Times New Roman"/>
          <w:color w:val="auto"/>
          <w:sz w:val="32"/>
          <w:szCs w:val="32"/>
          <w:lang w:val="en-US" w:eastAsia="zh-CN"/>
        </w:rPr>
      </w:pPr>
    </w:p>
    <w:p>
      <w:pPr>
        <w:pStyle w:val="12"/>
        <w:keepNext w:val="0"/>
        <w:keepLines w:val="0"/>
        <w:pageBreakBefore w:val="0"/>
        <w:widowControl w:val="0"/>
        <w:shd w:val="clear"/>
        <w:kinsoku/>
        <w:wordWrap/>
        <w:overflowPunct/>
        <w:topLinePunct w:val="0"/>
        <w:bidi w:val="0"/>
        <w:adjustRightInd w:val="0"/>
        <w:snapToGrid w:val="0"/>
        <w:spacing w:line="600" w:lineRule="exact"/>
        <w:textAlignment w:val="auto"/>
        <w:rPr>
          <w:rFonts w:hint="default" w:ascii="Times New Roman" w:hAnsi="Times New Roman" w:eastAsia="方正黑体_GBK" w:cs="Times New Roman"/>
          <w:color w:val="auto"/>
          <w:sz w:val="32"/>
          <w:szCs w:val="32"/>
          <w:lang w:val="en-US" w:eastAsia="zh-CN"/>
        </w:rPr>
        <w:sectPr>
          <w:footerReference r:id="rId3" w:type="default"/>
          <w:pgSz w:w="11910" w:h="16840"/>
          <w:pgMar w:top="2098" w:right="1474" w:bottom="1984" w:left="1587" w:header="850" w:footer="1587" w:gutter="0"/>
          <w:pgNumType w:fmt="decimal" w:start="1"/>
          <w:cols w:space="0" w:num="1"/>
          <w:rtlGutter w:val="0"/>
        </w:sectPr>
      </w:pPr>
    </w:p>
    <w:p>
      <w:pPr>
        <w:pStyle w:val="11"/>
        <w:keepNext w:val="0"/>
        <w:keepLines w:val="0"/>
        <w:pageBreakBefore w:val="0"/>
        <w:widowControl w:val="0"/>
        <w:shd w:val="clear"/>
        <w:kinsoku/>
        <w:wordWrap/>
        <w:overflowPunct/>
        <w:topLinePunct w:val="0"/>
        <w:bidi w:val="0"/>
        <w:adjustRightInd w:val="0"/>
        <w:snapToGrid w:val="0"/>
        <w:spacing w:before="0" w:beforeLines="0" w:after="0" w:afterLines="0" w:line="570" w:lineRule="exact"/>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附件1</w:t>
      </w:r>
    </w:p>
    <w:p>
      <w:pPr>
        <w:pStyle w:val="12"/>
        <w:keepNext w:val="0"/>
        <w:keepLines w:val="0"/>
        <w:pageBreakBefore w:val="0"/>
        <w:widowControl w:val="0"/>
        <w:kinsoku/>
        <w:wordWrap/>
        <w:overflowPunct/>
        <w:topLinePunct w:val="0"/>
        <w:bidi w:val="0"/>
        <w:adjustRightInd w:val="0"/>
        <w:snapToGrid w:val="0"/>
        <w:spacing w:line="570" w:lineRule="exact"/>
        <w:textAlignment w:val="auto"/>
        <w:rPr>
          <w:rFonts w:hint="default"/>
          <w:lang w:val="en-US" w:eastAsia="zh-CN"/>
        </w:rPr>
      </w:pPr>
    </w:p>
    <w:p>
      <w:pPr>
        <w:pStyle w:val="11"/>
        <w:keepNext w:val="0"/>
        <w:keepLines w:val="0"/>
        <w:pageBreakBefore w:val="0"/>
        <w:widowControl w:val="0"/>
        <w:shd w:val="clear"/>
        <w:kinsoku/>
        <w:wordWrap/>
        <w:overflowPunct/>
        <w:topLinePunct w:val="0"/>
        <w:bidi w:val="0"/>
        <w:adjustRightInd w:val="0"/>
        <w:snapToGrid w:val="0"/>
        <w:spacing w:before="0" w:beforeLines="0" w:after="0" w:afterLines="0" w:line="57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w:t>
      </w:r>
      <w:r>
        <w:rPr>
          <w:rFonts w:hint="default" w:ascii="Times New Roman" w:hAnsi="Times New Roman" w:eastAsia="方正小标宋_GBK" w:cs="Times New Roman"/>
          <w:color w:val="auto"/>
          <w:sz w:val="44"/>
          <w:szCs w:val="44"/>
        </w:rPr>
        <w:t>公共数据目录编制</w:t>
      </w:r>
      <w:bookmarkEnd w:id="0"/>
      <w:bookmarkEnd w:id="1"/>
      <w:bookmarkEnd w:id="2"/>
      <w:r>
        <w:rPr>
          <w:rFonts w:hint="default" w:ascii="Times New Roman" w:hAnsi="Times New Roman" w:eastAsia="方正小标宋_GBK" w:cs="Times New Roman"/>
          <w:color w:val="auto"/>
          <w:sz w:val="44"/>
          <w:szCs w:val="44"/>
          <w:lang w:val="en-US" w:eastAsia="zh-CN"/>
        </w:rPr>
        <w:t>指南2.0</w:t>
      </w:r>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570" w:lineRule="exact"/>
        <w:textAlignment w:val="auto"/>
        <w:rPr>
          <w:rFonts w:hint="default" w:ascii="Times New Roman" w:hAnsi="Times New Roman" w:cs="Times New Roman"/>
          <w:color w:val="auto"/>
        </w:rPr>
      </w:pPr>
    </w:p>
    <w:p>
      <w:pPr>
        <w:pStyle w:val="11"/>
        <w:keepNext w:val="0"/>
        <w:keepLines w:val="0"/>
        <w:pageBreakBefore w:val="0"/>
        <w:widowControl w:val="0"/>
        <w:shd w:val="clear"/>
        <w:kinsoku/>
        <w:wordWrap/>
        <w:overflowPunct/>
        <w:topLinePunct w:val="0"/>
        <w:bidi w:val="0"/>
        <w:adjustRightInd w:val="0"/>
        <w:snapToGrid w:val="0"/>
        <w:spacing w:before="0" w:beforeLines="0" w:after="0" w:afterLines="0" w:line="570" w:lineRule="exact"/>
        <w:ind w:firstLine="640" w:firstLineChars="200"/>
        <w:textAlignment w:val="auto"/>
        <w:rPr>
          <w:rFonts w:hint="default" w:ascii="Times New Roman" w:hAnsi="Times New Roman" w:eastAsia="方正仿宋_GBK" w:cs="Times New Roman"/>
          <w:color w:val="auto"/>
        </w:rPr>
      </w:pPr>
      <w:bookmarkStart w:id="3" w:name="_Toc129091170"/>
      <w:bookmarkStart w:id="4" w:name="_Toc76652947"/>
      <w:r>
        <w:rPr>
          <w:rFonts w:hint="default" w:ascii="Times New Roman" w:hAnsi="Times New Roman" w:cs="Times New Roman"/>
          <w:color w:val="auto"/>
        </w:rPr>
        <w:t>一、范围</w:t>
      </w:r>
      <w:bookmarkEnd w:id="3"/>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570" w:lineRule="exact"/>
        <w:textAlignment w:val="auto"/>
        <w:rPr>
          <w:rFonts w:hint="default" w:ascii="Times New Roman" w:hAnsi="Times New Roman" w:cs="Times New Roman"/>
          <w:color w:val="auto"/>
        </w:rPr>
      </w:pPr>
      <w:r>
        <w:rPr>
          <w:rFonts w:hint="default" w:ascii="Times New Roman" w:hAnsi="Times New Roman" w:cs="Times New Roman"/>
          <w:color w:val="auto"/>
        </w:rPr>
        <w:t>本标准规定了数据目录梳理、数据目录审核和数据目录管理等阶段的要求。本标准适用于公共数据目录的编制，企事业单位可参照本文件执行。为规范开展重庆市公共数据目录编制工作，特制定本指南。</w:t>
      </w:r>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570" w:lineRule="exact"/>
        <w:textAlignment w:val="auto"/>
        <w:rPr>
          <w:rFonts w:hint="default" w:ascii="Times New Roman" w:hAnsi="Times New Roman" w:cs="Times New Roman"/>
          <w:color w:val="auto"/>
        </w:rPr>
      </w:pPr>
      <w:r>
        <w:rPr>
          <w:rFonts w:hint="default" w:ascii="Times New Roman" w:hAnsi="Times New Roman" w:cs="Times New Roman"/>
          <w:color w:val="auto"/>
        </w:rPr>
        <w:t>各市级部门、各区县依法履行职责和提供公共服务过程中产生的公共数据（除涉密数据）都应纳入数据目录编制范围，有数字化应用支撑和无数字化应用支撑的公共数据，原则上都应该编制数据目录。</w:t>
      </w:r>
    </w:p>
    <w:p>
      <w:pPr>
        <w:pStyle w:val="11"/>
        <w:keepNext w:val="0"/>
        <w:keepLines w:val="0"/>
        <w:pageBreakBefore w:val="0"/>
        <w:widowControl w:val="0"/>
        <w:shd w:val="clear"/>
        <w:kinsoku/>
        <w:wordWrap/>
        <w:overflowPunct/>
        <w:topLinePunct w:val="0"/>
        <w:bidi w:val="0"/>
        <w:adjustRightInd w:val="0"/>
        <w:snapToGrid w:val="0"/>
        <w:spacing w:before="0" w:beforeLines="0" w:after="0" w:afterLines="0" w:line="570" w:lineRule="exact"/>
        <w:ind w:firstLine="640" w:firstLineChars="200"/>
        <w:textAlignment w:val="auto"/>
        <w:rPr>
          <w:rFonts w:hint="default" w:ascii="Times New Roman" w:hAnsi="Times New Roman" w:eastAsia="方正仿宋_GBK" w:cs="Times New Roman"/>
          <w:color w:val="auto"/>
        </w:rPr>
      </w:pPr>
      <w:bookmarkStart w:id="5" w:name="_Toc129091171"/>
      <w:r>
        <w:rPr>
          <w:rFonts w:hint="default" w:ascii="Times New Roman" w:hAnsi="Times New Roman" w:cs="Times New Roman"/>
          <w:color w:val="auto"/>
        </w:rPr>
        <w:t>二、术语和定义</w:t>
      </w:r>
      <w:bookmarkEnd w:id="5"/>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570" w:lineRule="exact"/>
        <w:textAlignment w:val="auto"/>
        <w:rPr>
          <w:rFonts w:hint="default" w:ascii="Times New Roman" w:hAnsi="Times New Roman" w:cs="Times New Roman"/>
          <w:color w:val="auto"/>
        </w:rPr>
      </w:pPr>
      <w:r>
        <w:rPr>
          <w:rFonts w:hint="default" w:ascii="Times New Roman" w:hAnsi="Times New Roman" w:cs="Times New Roman"/>
          <w:color w:val="auto"/>
        </w:rPr>
        <w:t>下列术语和定义适用于本标准。</w:t>
      </w:r>
    </w:p>
    <w:p>
      <w:pPr>
        <w:pStyle w:val="13"/>
        <w:keepNext w:val="0"/>
        <w:keepLines w:val="0"/>
        <w:pageBreakBefore w:val="0"/>
        <w:widowControl w:val="0"/>
        <w:shd w:val="clear"/>
        <w:kinsoku/>
        <w:wordWrap/>
        <w:overflowPunct/>
        <w:topLinePunct w:val="0"/>
        <w:bidi w:val="0"/>
        <w:adjustRightInd w:val="0"/>
        <w:snapToGrid w:val="0"/>
        <w:spacing w:before="0" w:beforeLines="0" w:after="0" w:afterLines="0" w:line="570" w:lineRule="exact"/>
        <w:ind w:left="640"/>
        <w:textAlignment w:val="auto"/>
        <w:rPr>
          <w:rFonts w:hint="default" w:ascii="Times New Roman" w:hAnsi="Times New Roman" w:eastAsia="方正楷体_GBK" w:cs="Times New Roman"/>
          <w:color w:val="auto"/>
          <w:sz w:val="32"/>
          <w:szCs w:val="32"/>
        </w:rPr>
      </w:pPr>
      <w:bookmarkStart w:id="6" w:name="_Toc129091172"/>
      <w:r>
        <w:rPr>
          <w:rFonts w:hint="default" w:ascii="Times New Roman" w:hAnsi="Times New Roman" w:eastAsia="方正楷体_GBK" w:cs="Times New Roman"/>
          <w:color w:val="auto"/>
          <w:sz w:val="32"/>
          <w:szCs w:val="32"/>
        </w:rPr>
        <w:t>（一）数据</w:t>
      </w:r>
      <w:bookmarkEnd w:id="6"/>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570" w:lineRule="exact"/>
        <w:textAlignment w:val="auto"/>
        <w:rPr>
          <w:rFonts w:hint="default" w:ascii="Times New Roman" w:hAnsi="Times New Roman" w:cs="Times New Roman"/>
          <w:color w:val="auto"/>
        </w:rPr>
      </w:pPr>
      <w:r>
        <w:rPr>
          <w:rFonts w:hint="default" w:ascii="Times New Roman" w:hAnsi="Times New Roman" w:cs="Times New Roman"/>
          <w:color w:val="auto"/>
        </w:rPr>
        <w:t>是指以电子或者其他方式对信息的记录。</w:t>
      </w:r>
    </w:p>
    <w:p>
      <w:pPr>
        <w:pStyle w:val="13"/>
        <w:keepNext w:val="0"/>
        <w:keepLines w:val="0"/>
        <w:pageBreakBefore w:val="0"/>
        <w:widowControl w:val="0"/>
        <w:shd w:val="clear"/>
        <w:kinsoku/>
        <w:wordWrap/>
        <w:overflowPunct/>
        <w:topLinePunct w:val="0"/>
        <w:bidi w:val="0"/>
        <w:adjustRightInd w:val="0"/>
        <w:snapToGrid w:val="0"/>
        <w:spacing w:before="0" w:beforeLines="0" w:after="0" w:afterLines="0" w:line="570" w:lineRule="exact"/>
        <w:ind w:left="640"/>
        <w:textAlignment w:val="auto"/>
        <w:rPr>
          <w:rFonts w:hint="default" w:ascii="Times New Roman" w:hAnsi="Times New Roman" w:eastAsia="方正楷体_GBK" w:cs="Times New Roman"/>
          <w:color w:val="auto"/>
          <w:sz w:val="32"/>
          <w:szCs w:val="32"/>
        </w:rPr>
      </w:pPr>
      <w:bookmarkStart w:id="7" w:name="_Toc129091173"/>
      <w:r>
        <w:rPr>
          <w:rFonts w:hint="default" w:ascii="Times New Roman" w:hAnsi="Times New Roman" w:eastAsia="方正楷体_GBK" w:cs="Times New Roman"/>
          <w:color w:val="auto"/>
          <w:sz w:val="32"/>
          <w:szCs w:val="32"/>
        </w:rPr>
        <w:t>（二）公共数据</w:t>
      </w:r>
      <w:bookmarkEnd w:id="7"/>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570" w:lineRule="exact"/>
        <w:textAlignment w:val="auto"/>
        <w:rPr>
          <w:rFonts w:hint="default" w:ascii="Times New Roman" w:hAnsi="Times New Roman" w:cs="Times New Roman"/>
          <w:color w:val="auto"/>
        </w:rPr>
      </w:pPr>
      <w:r>
        <w:rPr>
          <w:rFonts w:hint="default" w:ascii="Times New Roman" w:hAnsi="Times New Roman" w:cs="Times New Roman"/>
          <w:color w:val="auto"/>
        </w:rPr>
        <w:t>政务数据和公共服务数据统称公共数据。</w:t>
      </w:r>
    </w:p>
    <w:p>
      <w:pPr>
        <w:pStyle w:val="3"/>
        <w:keepNext w:val="0"/>
        <w:keepLines w:val="0"/>
        <w:pageBreakBefore w:val="0"/>
        <w:widowControl w:val="0"/>
        <w:shd w:val="clear"/>
        <w:kinsoku/>
        <w:wordWrap/>
        <w:overflowPunct/>
        <w:topLinePunct w:val="0"/>
        <w:bidi w:val="0"/>
        <w:adjustRightInd w:val="0"/>
        <w:snapToGrid w:val="0"/>
        <w:spacing w:before="0" w:beforeLines="0" w:after="0" w:afterLines="0" w:line="570" w:lineRule="exact"/>
        <w:textAlignment w:val="auto"/>
        <w:rPr>
          <w:rFonts w:hint="default" w:ascii="Times New Roman" w:hAnsi="Times New Roman" w:cs="Times New Roman"/>
          <w:color w:val="auto"/>
        </w:rPr>
      </w:pPr>
      <w:r>
        <w:rPr>
          <w:rFonts w:hint="default" w:ascii="Times New Roman" w:hAnsi="Times New Roman" w:cs="Times New Roman"/>
          <w:color w:val="auto"/>
        </w:rPr>
        <w:t>政务数据：是指国家机关和法律、法规授权的具有管理公共事务职能的组织（以下称政务部门）为履行法定职责收集、制作的数据。</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textAlignment w:val="auto"/>
        <w:rPr>
          <w:rFonts w:hint="default" w:ascii="Times New Roman" w:hAnsi="Times New Roman" w:cs="Times New Roman"/>
          <w:color w:val="auto"/>
        </w:rPr>
      </w:pPr>
      <w:r>
        <w:rPr>
          <w:rFonts w:hint="default" w:ascii="Times New Roman" w:hAnsi="Times New Roman" w:cs="Times New Roman"/>
          <w:color w:val="auto"/>
        </w:rPr>
        <w:t>公共服务数据：是指医疗、教育、供水、供电、供气、通信、文旅、体育、环境保护、交通运输等公共企业事业单位（以下称公共服务组织）在提供公共服务过程中收集、制作的涉及公共利益的数据。</w:t>
      </w:r>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ind w:left="640"/>
        <w:textAlignment w:val="auto"/>
        <w:rPr>
          <w:rFonts w:hint="default" w:ascii="Times New Roman" w:hAnsi="Times New Roman" w:eastAsia="方正楷体_GBK" w:cs="Times New Roman"/>
          <w:color w:val="auto"/>
          <w:sz w:val="32"/>
          <w:szCs w:val="32"/>
        </w:rPr>
      </w:pPr>
      <w:bookmarkStart w:id="8" w:name="_Toc129091174"/>
      <w:r>
        <w:rPr>
          <w:rFonts w:hint="default" w:ascii="Times New Roman" w:hAnsi="Times New Roman" w:eastAsia="方正楷体_GBK" w:cs="Times New Roman"/>
          <w:color w:val="auto"/>
          <w:sz w:val="32"/>
          <w:szCs w:val="32"/>
        </w:rPr>
        <w:t>（三）元数据</w:t>
      </w:r>
      <w:bookmarkEnd w:id="8"/>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textAlignment w:val="auto"/>
        <w:rPr>
          <w:rFonts w:hint="default" w:ascii="Times New Roman" w:hAnsi="Times New Roman" w:cs="Times New Roman"/>
          <w:color w:val="auto"/>
        </w:rPr>
      </w:pPr>
      <w:r>
        <w:rPr>
          <w:rFonts w:hint="default" w:ascii="Times New Roman" w:hAnsi="Times New Roman" w:cs="Times New Roman"/>
          <w:color w:val="auto"/>
        </w:rPr>
        <w:t>定义和描述其他数据的数据。</w:t>
      </w:r>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ind w:left="640"/>
        <w:textAlignment w:val="auto"/>
        <w:rPr>
          <w:rFonts w:hint="default" w:ascii="Times New Roman" w:hAnsi="Times New Roman" w:eastAsia="方正楷体_GBK" w:cs="Times New Roman"/>
          <w:color w:val="auto"/>
          <w:sz w:val="32"/>
          <w:szCs w:val="32"/>
        </w:rPr>
      </w:pPr>
      <w:bookmarkStart w:id="9" w:name="_Toc129091175"/>
      <w:r>
        <w:rPr>
          <w:rFonts w:hint="default" w:ascii="Times New Roman" w:hAnsi="Times New Roman" w:eastAsia="方正楷体_GBK" w:cs="Times New Roman"/>
          <w:color w:val="auto"/>
          <w:sz w:val="32"/>
          <w:szCs w:val="32"/>
        </w:rPr>
        <w:t>（四）数据目录</w:t>
      </w:r>
      <w:bookmarkEnd w:id="9"/>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textAlignment w:val="auto"/>
        <w:rPr>
          <w:rFonts w:hint="default" w:ascii="Times New Roman" w:hAnsi="Times New Roman" w:cs="Times New Roman"/>
          <w:color w:val="auto"/>
          <w:sz w:val="32"/>
          <w:szCs w:val="32"/>
        </w:rPr>
      </w:pPr>
      <w:r>
        <w:rPr>
          <w:rFonts w:hint="default" w:ascii="Times New Roman" w:hAnsi="Times New Roman" w:eastAsia="方正仿宋_GBK" w:cs="Times New Roman"/>
          <w:color w:val="auto"/>
          <w:kern w:val="2"/>
          <w:sz w:val="32"/>
          <w:szCs w:val="32"/>
        </w:rPr>
        <w:t>通过对公共数据资源依据规范的元数据描述，按照一定的分类方法进行排序和编码的一组信息，用以描述各个公共数据资源的特征，以便于对公共数据资源的检索、定位与获取。</w:t>
      </w:r>
    </w:p>
    <w:bookmarkEnd w:id="4"/>
    <w:p>
      <w:pPr>
        <w:pStyle w:val="11"/>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ind w:firstLine="640" w:firstLineChars="200"/>
        <w:textAlignment w:val="auto"/>
        <w:rPr>
          <w:rFonts w:hint="default" w:ascii="Times New Roman" w:hAnsi="Times New Roman" w:eastAsia="方正仿宋_GBK" w:cs="Times New Roman"/>
          <w:color w:val="auto"/>
        </w:rPr>
      </w:pPr>
      <w:bookmarkStart w:id="10" w:name="_Toc129091176"/>
      <w:r>
        <w:rPr>
          <w:rFonts w:hint="default" w:ascii="Times New Roman" w:hAnsi="Times New Roman" w:cs="Times New Roman"/>
          <w:color w:val="auto"/>
        </w:rPr>
        <w:t>三、编制方法</w:t>
      </w:r>
      <w:bookmarkEnd w:id="10"/>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textAlignment w:val="auto"/>
        <w:rPr>
          <w:rFonts w:hint="default" w:ascii="Times New Roman" w:hAnsi="Times New Roman" w:cs="Times New Roman"/>
          <w:color w:val="auto"/>
        </w:rPr>
      </w:pPr>
      <w:r>
        <w:rPr>
          <w:rFonts w:hint="default" w:ascii="Times New Roman" w:hAnsi="Times New Roman" w:cs="Times New Roman"/>
          <w:color w:val="auto"/>
        </w:rPr>
        <w:t>数据目录编制包括数据目录梳理、数据目录审核、数据目录管理三个方面，如图1所示：</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textAlignment w:val="auto"/>
        <w:rPr>
          <w:rFonts w:hint="default" w:ascii="Times New Roman" w:hAnsi="Times New Roman" w:cs="Times New Roman"/>
          <w:color w:val="auto"/>
        </w:rPr>
      </w:pPr>
      <w:r>
        <w:rPr>
          <w:rFonts w:hint="default" w:ascii="Times New Roman" w:hAnsi="Times New Roman" w:cs="Times New Roman"/>
          <w:color w:val="auto"/>
        </w:rPr>
        <w:t>数据目录梳理：开展本部门数据目录梳理，具体梳理内容参照4.2章节；</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textAlignment w:val="auto"/>
        <w:rPr>
          <w:rFonts w:hint="default" w:ascii="Times New Roman" w:hAnsi="Times New Roman" w:cs="Times New Roman"/>
          <w:color w:val="auto"/>
        </w:rPr>
      </w:pPr>
      <w:r>
        <w:rPr>
          <w:rFonts w:hint="default" w:ascii="Times New Roman" w:hAnsi="Times New Roman" w:cs="Times New Roman"/>
          <w:color w:val="auto"/>
        </w:rPr>
        <w:t>数据目录审核：对梳理的数据目录进行整理、汇编、审核，形成数据目录；</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20" w:lineRule="exact"/>
        <w:textAlignment w:val="auto"/>
        <w:rPr>
          <w:rFonts w:hint="default" w:ascii="Times New Roman" w:hAnsi="Times New Roman" w:cs="Times New Roman"/>
          <w:color w:val="auto"/>
        </w:rPr>
      </w:pPr>
      <w:r>
        <w:rPr>
          <w:rFonts w:hint="default" w:ascii="Times New Roman" w:hAnsi="Times New Roman" w:cs="Times New Roman"/>
          <w:color w:val="auto"/>
        </w:rPr>
        <w:t>数据目录管理：对形成的数据目录进行分类、发布和更新。</w:t>
      </w:r>
    </w:p>
    <w:p>
      <w:pPr>
        <w:pStyle w:val="12"/>
        <w:keepNext w:val="0"/>
        <w:keepLines w:val="0"/>
        <w:pageBreakBefore w:val="0"/>
        <w:widowControl w:val="0"/>
        <w:shd w:val="clear"/>
        <w:kinsoku/>
        <w:wordWrap/>
        <w:overflowPunct/>
        <w:topLinePunct w:val="0"/>
        <w:bidi w:val="0"/>
        <w:adjustRightInd w:val="0"/>
        <w:snapToGrid w:val="0"/>
        <w:spacing w:line="600" w:lineRule="exact"/>
        <w:ind w:firstLine="0" w:firstLineChars="0"/>
        <w:jc w:val="center"/>
        <w:textAlignment w:val="auto"/>
        <w:rPr>
          <w:rFonts w:hint="default" w:ascii="Times New Roman" w:hAnsi="Times New Roman" w:cs="Times New Roman"/>
          <w:color w:val="auto"/>
          <w:sz w:val="24"/>
          <w:szCs w:val="24"/>
        </w:rPr>
      </w:pPr>
    </w:p>
    <w:p>
      <w:pPr>
        <w:pStyle w:val="12"/>
        <w:keepNext w:val="0"/>
        <w:keepLines w:val="0"/>
        <w:pageBreakBefore w:val="0"/>
        <w:widowControl/>
        <w:shd w:val="clear"/>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rPr>
        <w:drawing>
          <wp:inline distT="0" distB="0" distL="114300" distR="114300">
            <wp:extent cx="5611495" cy="2751455"/>
            <wp:effectExtent l="0" t="0" r="8255"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11495" cy="2751455"/>
                    </a:xfrm>
                    <a:prstGeom prst="rect">
                      <a:avLst/>
                    </a:prstGeom>
                    <a:noFill/>
                    <a:ln>
                      <a:noFill/>
                    </a:ln>
                  </pic:spPr>
                </pic:pic>
              </a:graphicData>
            </a:graphic>
          </wp:inline>
        </w:drawing>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firstLine="0" w:firstLineChars="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图</w:t>
      </w:r>
      <w:r>
        <w:rPr>
          <w:rFonts w:hint="default" w:ascii="Times New Roman" w:hAnsi="Times New Roman" w:cs="Times New Roman"/>
          <w:color w:val="auto"/>
          <w:spacing w:val="-51"/>
          <w:sz w:val="28"/>
          <w:szCs w:val="28"/>
        </w:rPr>
        <w:t xml:space="preserve"> </w:t>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数据目录编制流程图</w:t>
      </w:r>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楷体_GBK" w:cs="Times New Roman"/>
          <w:color w:val="auto"/>
          <w:sz w:val="32"/>
          <w:szCs w:val="32"/>
        </w:rPr>
      </w:pPr>
      <w:bookmarkStart w:id="11" w:name="_Toc129091177"/>
      <w:r>
        <w:rPr>
          <w:rFonts w:hint="default" w:ascii="Times New Roman" w:hAnsi="Times New Roman" w:eastAsia="方正楷体_GBK" w:cs="Times New Roman"/>
          <w:color w:val="auto"/>
          <w:sz w:val="32"/>
          <w:szCs w:val="32"/>
        </w:rPr>
        <w:t>（一）有数字化应用支撑的公共数据</w:t>
      </w:r>
      <w:bookmarkEnd w:id="11"/>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各市级部门、各区县应依据本单位应用开发过程中产生的规范性文档，如《建设方案》《软件需求规格说明书》《数据库设计说明书》《用户手册》等，编制数据目录。</w:t>
      </w:r>
      <w:bookmarkStart w:id="12" w:name="各地各部门应依据本单位应用开发过程中产生的规范性文档，如《建设方案》《软件需求规"/>
      <w:bookmarkEnd w:id="12"/>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13" w:name="1.状态为“运行中”的应用系统。"/>
      <w:bookmarkEnd w:id="13"/>
      <w:r>
        <w:rPr>
          <w:rFonts w:hint="default" w:ascii="Times New Roman" w:hAnsi="Times New Roman" w:cs="Times New Roman"/>
          <w:color w:val="auto"/>
        </w:rPr>
        <w:t>1.状态为</w:t>
      </w:r>
      <w:r>
        <w:rPr>
          <w:rFonts w:hint="eastAsia" w:ascii="Times New Roman" w:hAnsi="Times New Roman" w:cs="Times New Roman"/>
          <w:color w:val="auto"/>
          <w:lang w:eastAsia="zh-CN"/>
        </w:rPr>
        <w:t>“</w:t>
      </w:r>
      <w:r>
        <w:rPr>
          <w:rFonts w:hint="default" w:ascii="Times New Roman" w:hAnsi="Times New Roman" w:cs="Times New Roman"/>
          <w:color w:val="auto"/>
        </w:rPr>
        <w:t>运行中</w:t>
      </w:r>
      <w:r>
        <w:rPr>
          <w:rFonts w:hint="eastAsia" w:ascii="Times New Roman" w:hAnsi="Times New Roman" w:cs="Times New Roman"/>
          <w:color w:val="auto"/>
          <w:lang w:eastAsia="zh-CN"/>
        </w:rPr>
        <w:t>”</w:t>
      </w:r>
      <w:r>
        <w:rPr>
          <w:rFonts w:hint="default" w:ascii="Times New Roman" w:hAnsi="Times New Roman" w:cs="Times New Roman"/>
          <w:color w:val="auto"/>
        </w:rPr>
        <w:t>的数字化应用</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14" w:name="各地各部门在依法履行职责和提供公共服务过程中获取的公共数据资源，以及法律、法规规"/>
      <w:bookmarkEnd w:id="14"/>
      <w:r>
        <w:rPr>
          <w:rFonts w:hint="default" w:ascii="Times New Roman" w:hAnsi="Times New Roman" w:cs="Times New Roman"/>
          <w:color w:val="auto"/>
        </w:rPr>
        <w:t>各市级部门、各区县在依法履行职责和提供公共服务过程中获取的公共数据资源，以及法律、法规规定纳入公共数据管理的其他数据资源必须编制数据目录。不采集、不产生公共数据的数字化应用，如宣传性质的微博/微信公众号类、不产生公共数据的硬件类、仅存储或交换公共数据的工具类可不编目；过程数据、日志数据，可不编目。</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15" w:name="2.状态为“建设中”的应用系统。"/>
      <w:bookmarkEnd w:id="15"/>
      <w:r>
        <w:rPr>
          <w:rFonts w:hint="default" w:ascii="Times New Roman" w:hAnsi="Times New Roman" w:cs="Times New Roman"/>
          <w:color w:val="auto"/>
        </w:rPr>
        <w:t>2.状态为</w:t>
      </w:r>
      <w:r>
        <w:rPr>
          <w:rFonts w:hint="eastAsia" w:ascii="Times New Roman" w:hAnsi="Times New Roman" w:cs="Times New Roman"/>
          <w:color w:val="auto"/>
          <w:lang w:eastAsia="zh-CN"/>
        </w:rPr>
        <w:t>“</w:t>
      </w:r>
      <w:r>
        <w:rPr>
          <w:rFonts w:hint="default" w:ascii="Times New Roman" w:hAnsi="Times New Roman" w:cs="Times New Roman"/>
          <w:color w:val="auto"/>
        </w:rPr>
        <w:t>建设中</w:t>
      </w:r>
      <w:r>
        <w:rPr>
          <w:rFonts w:hint="eastAsia" w:ascii="Times New Roman" w:hAnsi="Times New Roman" w:cs="Times New Roman"/>
          <w:color w:val="auto"/>
          <w:lang w:eastAsia="zh-CN"/>
        </w:rPr>
        <w:t>”</w:t>
      </w:r>
      <w:r>
        <w:rPr>
          <w:rFonts w:hint="default" w:ascii="Times New Roman" w:hAnsi="Times New Roman" w:cs="Times New Roman"/>
          <w:color w:val="auto"/>
        </w:rPr>
        <w:t>的数字化应用</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16" w:name="“建设中”的应用系统可不编目，上线运行前需按照“运行中”的应用系统数据目录编制方"/>
      <w:bookmarkEnd w:id="16"/>
      <w:r>
        <w:rPr>
          <w:rFonts w:hint="eastAsia" w:ascii="Times New Roman" w:hAnsi="Times New Roman" w:cs="Times New Roman"/>
          <w:color w:val="auto"/>
          <w:lang w:eastAsia="zh-CN"/>
        </w:rPr>
        <w:t>“</w:t>
      </w:r>
      <w:r>
        <w:rPr>
          <w:rFonts w:hint="default" w:ascii="Times New Roman" w:hAnsi="Times New Roman" w:cs="Times New Roman"/>
          <w:color w:val="auto"/>
        </w:rPr>
        <w:t>建设中</w:t>
      </w:r>
      <w:r>
        <w:rPr>
          <w:rFonts w:hint="eastAsia" w:ascii="Times New Roman" w:hAnsi="Times New Roman" w:cs="Times New Roman"/>
          <w:color w:val="auto"/>
          <w:lang w:eastAsia="zh-CN"/>
        </w:rPr>
        <w:t>”</w:t>
      </w:r>
      <w:r>
        <w:rPr>
          <w:rFonts w:hint="default" w:ascii="Times New Roman" w:hAnsi="Times New Roman" w:cs="Times New Roman"/>
          <w:color w:val="auto"/>
        </w:rPr>
        <w:t>的数字化应用，应根据本单位应用开发过程中产生的设计文档，编制数据目录；上线运行前需按照</w:t>
      </w:r>
      <w:r>
        <w:rPr>
          <w:rFonts w:hint="eastAsia" w:ascii="Times New Roman" w:hAnsi="Times New Roman" w:cs="Times New Roman"/>
          <w:color w:val="auto"/>
          <w:lang w:eastAsia="zh-CN"/>
        </w:rPr>
        <w:t>“</w:t>
      </w:r>
      <w:r>
        <w:rPr>
          <w:rFonts w:hint="default" w:ascii="Times New Roman" w:hAnsi="Times New Roman" w:cs="Times New Roman"/>
          <w:color w:val="auto"/>
        </w:rPr>
        <w:t>运行中</w:t>
      </w:r>
      <w:r>
        <w:rPr>
          <w:rFonts w:hint="eastAsia" w:ascii="Times New Roman" w:hAnsi="Times New Roman" w:cs="Times New Roman"/>
          <w:color w:val="auto"/>
          <w:lang w:eastAsia="zh-CN"/>
        </w:rPr>
        <w:t>”</w:t>
      </w:r>
      <w:r>
        <w:rPr>
          <w:rFonts w:hint="default" w:ascii="Times New Roman" w:hAnsi="Times New Roman" w:cs="Times New Roman"/>
          <w:color w:val="auto"/>
        </w:rPr>
        <w:t>的数字化应用数据目录编制方法进行目录复核，未完成不予验收。</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17" w:name="3.状态为“停用”的应用系统。"/>
      <w:bookmarkEnd w:id="17"/>
      <w:r>
        <w:rPr>
          <w:rFonts w:hint="default" w:ascii="Times New Roman" w:hAnsi="Times New Roman" w:cs="Times New Roman"/>
          <w:color w:val="auto"/>
        </w:rPr>
        <w:t>3.状态为</w:t>
      </w:r>
      <w:r>
        <w:rPr>
          <w:rFonts w:hint="eastAsia" w:ascii="Times New Roman" w:hAnsi="Times New Roman" w:cs="Times New Roman"/>
          <w:color w:val="auto"/>
          <w:lang w:eastAsia="zh-CN"/>
        </w:rPr>
        <w:t>“</w:t>
      </w:r>
      <w:r>
        <w:rPr>
          <w:rFonts w:hint="default" w:ascii="Times New Roman" w:hAnsi="Times New Roman" w:cs="Times New Roman"/>
          <w:color w:val="auto"/>
        </w:rPr>
        <w:t>停用</w:t>
      </w:r>
      <w:r>
        <w:rPr>
          <w:rFonts w:hint="eastAsia" w:ascii="Times New Roman" w:hAnsi="Times New Roman" w:cs="Times New Roman"/>
          <w:color w:val="auto"/>
          <w:lang w:eastAsia="zh-CN"/>
        </w:rPr>
        <w:t>”</w:t>
      </w:r>
      <w:r>
        <w:rPr>
          <w:rFonts w:hint="default" w:ascii="Times New Roman" w:hAnsi="Times New Roman" w:cs="Times New Roman"/>
          <w:color w:val="auto"/>
        </w:rPr>
        <w:t>的数字化应用</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18" w:name="无历史数据的“停用”应用系统，经过本级大数据管理部门审核后可不编目；若有历史数据"/>
      <w:bookmarkEnd w:id="18"/>
      <w:r>
        <w:rPr>
          <w:rFonts w:hint="default" w:ascii="Times New Roman" w:hAnsi="Times New Roman" w:cs="Times New Roman"/>
          <w:color w:val="auto"/>
        </w:rPr>
        <w:t>无历史数据的</w:t>
      </w:r>
      <w:r>
        <w:rPr>
          <w:rFonts w:hint="eastAsia" w:ascii="Times New Roman" w:hAnsi="Times New Roman" w:cs="Times New Roman"/>
          <w:color w:val="auto"/>
          <w:lang w:eastAsia="zh-CN"/>
        </w:rPr>
        <w:t>“</w:t>
      </w:r>
      <w:r>
        <w:rPr>
          <w:rFonts w:hint="default" w:ascii="Times New Roman" w:hAnsi="Times New Roman" w:cs="Times New Roman"/>
          <w:color w:val="auto"/>
        </w:rPr>
        <w:t>停用</w:t>
      </w:r>
      <w:r>
        <w:rPr>
          <w:rFonts w:hint="eastAsia" w:ascii="Times New Roman" w:hAnsi="Times New Roman" w:cs="Times New Roman"/>
          <w:color w:val="auto"/>
          <w:lang w:eastAsia="zh-CN"/>
        </w:rPr>
        <w:t>”</w:t>
      </w:r>
      <w:r>
        <w:rPr>
          <w:rFonts w:hint="default" w:ascii="Times New Roman" w:hAnsi="Times New Roman" w:cs="Times New Roman"/>
          <w:color w:val="auto"/>
        </w:rPr>
        <w:t>数字化应用，经过本级数据</w:t>
      </w:r>
      <w:r>
        <w:rPr>
          <w:rFonts w:hint="default" w:ascii="Times New Roman" w:hAnsi="Times New Roman" w:cs="Times New Roman"/>
          <w:color w:val="auto"/>
          <w:lang w:val="en-US" w:eastAsia="zh-CN"/>
        </w:rPr>
        <w:t>主管</w:t>
      </w:r>
      <w:r>
        <w:rPr>
          <w:rFonts w:hint="default" w:ascii="Times New Roman" w:hAnsi="Times New Roman" w:cs="Times New Roman"/>
          <w:color w:val="auto"/>
        </w:rPr>
        <w:t>部门审核后可不编目；若有历史数据且历史数据不再迁移，应编制数据目录；若</w:t>
      </w:r>
      <w:r>
        <w:rPr>
          <w:rFonts w:hint="eastAsia" w:ascii="Times New Roman" w:hAnsi="Times New Roman" w:cs="Times New Roman"/>
          <w:color w:val="auto"/>
          <w:lang w:eastAsia="zh-CN"/>
        </w:rPr>
        <w:t>“</w:t>
      </w:r>
      <w:r>
        <w:rPr>
          <w:rFonts w:hint="default" w:ascii="Times New Roman" w:hAnsi="Times New Roman" w:cs="Times New Roman"/>
          <w:color w:val="auto"/>
        </w:rPr>
        <w:t>停用</w:t>
      </w:r>
      <w:r>
        <w:rPr>
          <w:rFonts w:hint="eastAsia" w:ascii="Times New Roman" w:hAnsi="Times New Roman" w:cs="Times New Roman"/>
          <w:color w:val="auto"/>
          <w:lang w:eastAsia="zh-CN"/>
        </w:rPr>
        <w:t>”</w:t>
      </w:r>
      <w:r>
        <w:rPr>
          <w:rFonts w:hint="default" w:ascii="Times New Roman" w:hAnsi="Times New Roman" w:cs="Times New Roman"/>
          <w:color w:val="auto"/>
        </w:rPr>
        <w:t>数字化应用已经迁移整合，应同步迁移数据目录。</w:t>
      </w:r>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楷体_GBK" w:cs="Times New Roman"/>
          <w:color w:val="auto"/>
          <w:sz w:val="32"/>
          <w:szCs w:val="32"/>
        </w:rPr>
      </w:pPr>
      <w:bookmarkStart w:id="19" w:name="_Toc129091178"/>
      <w:r>
        <w:rPr>
          <w:rFonts w:hint="default" w:ascii="Times New Roman" w:hAnsi="Times New Roman" w:eastAsia="方正楷体_GBK" w:cs="Times New Roman"/>
          <w:color w:val="auto"/>
          <w:sz w:val="32"/>
          <w:szCs w:val="32"/>
        </w:rPr>
        <w:t>（二）无数字化应用支撑的公共数据</w:t>
      </w:r>
      <w:bookmarkEnd w:id="19"/>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各市级部门、各区县在依法履行职责和提供公共服务过程中获取的纸质、电子表格等基础材料，需进行分类汇总和结构化处理后编制数据目录。</w:t>
      </w:r>
      <w:bookmarkStart w:id="20" w:name="各地各部门在依法履行职责和提供公共服务过程中获取的纸质、电子表格等基础材料，需进"/>
      <w:bookmarkEnd w:id="20"/>
    </w:p>
    <w:p>
      <w:pPr>
        <w:pStyle w:val="11"/>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仿宋_GBK" w:cs="Times New Roman"/>
          <w:color w:val="auto"/>
        </w:rPr>
      </w:pPr>
      <w:bookmarkStart w:id="21" w:name="_Toc129091179"/>
      <w:r>
        <w:rPr>
          <w:rFonts w:hint="default" w:ascii="Times New Roman" w:hAnsi="Times New Roman" w:cs="Times New Roman"/>
          <w:color w:val="auto"/>
        </w:rPr>
        <w:t>四、数据目录梳理</w:t>
      </w:r>
      <w:bookmarkEnd w:id="21"/>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楷体_GBK" w:cs="Times New Roman"/>
          <w:color w:val="auto"/>
          <w:sz w:val="32"/>
          <w:szCs w:val="32"/>
        </w:rPr>
      </w:pPr>
      <w:bookmarkStart w:id="22" w:name="_Toc129091180"/>
      <w:r>
        <w:rPr>
          <w:rFonts w:hint="default" w:ascii="Times New Roman" w:hAnsi="Times New Roman" w:eastAsia="方正楷体_GBK" w:cs="Times New Roman"/>
          <w:color w:val="auto"/>
          <w:sz w:val="32"/>
          <w:szCs w:val="32"/>
        </w:rPr>
        <w:t>（一）梳理范围</w:t>
      </w:r>
      <w:bookmarkEnd w:id="22"/>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数据目录梳理范围包括行业主管部门统建的数字化应用、本部门自建的数字化应用和未建数字化应用的公共数据。</w:t>
      </w:r>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楷体_GBK" w:cs="Times New Roman"/>
          <w:color w:val="auto"/>
          <w:sz w:val="32"/>
          <w:szCs w:val="32"/>
        </w:rPr>
      </w:pPr>
      <w:bookmarkStart w:id="23" w:name="_Toc129091181"/>
      <w:r>
        <w:rPr>
          <w:rFonts w:hint="default" w:ascii="Times New Roman" w:hAnsi="Times New Roman" w:eastAsia="方正楷体_GBK" w:cs="Times New Roman"/>
          <w:color w:val="auto"/>
          <w:sz w:val="32"/>
          <w:szCs w:val="32"/>
        </w:rPr>
        <w:t>（二）梳理要素</w:t>
      </w:r>
      <w:bookmarkEnd w:id="23"/>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数据目录梳理应保证数据目录要素完整、内容规范准确。数据目录梳理内容包含以下要素：</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数据资源统一编码；</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数据资源名称；</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数据资源提供方；</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数据资源摘要；</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数据资源格式；</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数据所属领域；</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所属应用；</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数据敏感级别；</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更新频率；</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发布</w:t>
      </w:r>
      <w:r>
        <w:rPr>
          <w:rFonts w:hint="default" w:ascii="Times New Roman" w:hAnsi="Times New Roman" w:cs="Times New Roman"/>
          <w:color w:val="auto"/>
        </w:rPr>
        <w:t>时间；</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修改时间；</w:t>
      </w:r>
    </w:p>
    <w:p>
      <w:pPr>
        <w:pStyle w:val="3"/>
        <w:keepNext w:val="0"/>
        <w:keepLines w:val="0"/>
        <w:pageBreakBefore w:val="0"/>
        <w:widowControl w:val="0"/>
        <w:numPr>
          <w:ilvl w:val="0"/>
          <w:numId w:val="1"/>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数据项描述：</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数据项名称；</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数据类型；</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数据长度；</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字段描述；</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共享属性；</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共享条件；</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开放属性；</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开放条件；</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是否主键；</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jc w:val="left"/>
        <w:textAlignment w:val="auto"/>
        <w:rPr>
          <w:rFonts w:hint="default" w:ascii="Times New Roman" w:hAnsi="Times New Roman" w:cs="Times New Roman"/>
          <w:color w:val="auto"/>
        </w:rPr>
      </w:pPr>
      <w:r>
        <w:rPr>
          <w:rFonts w:hint="default" w:ascii="Times New Roman" w:hAnsi="Times New Roman" w:cs="Times New Roman"/>
          <w:color w:val="auto"/>
        </w:rPr>
        <w:t>是否可为空；</w:t>
      </w:r>
    </w:p>
    <w:p>
      <w:pPr>
        <w:pStyle w:val="3"/>
        <w:keepNext w:val="0"/>
        <w:keepLines w:val="0"/>
        <w:pageBreakBefore w:val="0"/>
        <w:widowControl w:val="0"/>
        <w:numPr>
          <w:ilvl w:val="0"/>
          <w:numId w:val="2"/>
        </w:numPr>
        <w:shd w:val="clear"/>
        <w:kinsoku/>
        <w:wordWrap/>
        <w:overflowPunct/>
        <w:topLinePunct w:val="0"/>
        <w:autoSpaceDE/>
        <w:autoSpaceDN/>
        <w:bidi w:val="0"/>
        <w:adjustRightInd w:val="0"/>
        <w:snapToGrid w:val="0"/>
        <w:spacing w:before="0" w:beforeLines="0" w:after="0" w:afterLines="0" w:line="600" w:lineRule="exact"/>
        <w:ind w:firstLineChars="0"/>
        <w:textAlignment w:val="auto"/>
        <w:rPr>
          <w:rFonts w:hint="default" w:ascii="Times New Roman" w:hAnsi="Times New Roman" w:cs="Times New Roman"/>
          <w:color w:val="auto"/>
        </w:rPr>
      </w:pPr>
      <w:r>
        <w:rPr>
          <w:rFonts w:hint="default" w:ascii="Times New Roman" w:hAnsi="Times New Roman" w:cs="Times New Roman"/>
          <w:color w:val="auto"/>
        </w:rPr>
        <w:t>是否字典项。</w:t>
      </w:r>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楷体_GBK" w:cs="Times New Roman"/>
          <w:color w:val="auto"/>
          <w:sz w:val="32"/>
          <w:szCs w:val="32"/>
        </w:rPr>
      </w:pPr>
      <w:bookmarkStart w:id="24" w:name="_Toc129091182"/>
      <w:r>
        <w:rPr>
          <w:rFonts w:hint="default" w:ascii="Times New Roman" w:hAnsi="Times New Roman" w:eastAsia="方正楷体_GBK" w:cs="Times New Roman"/>
          <w:color w:val="auto"/>
          <w:sz w:val="32"/>
          <w:szCs w:val="32"/>
        </w:rPr>
        <w:t>（三）梳理模版</w:t>
      </w:r>
      <w:bookmarkEnd w:id="24"/>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textAlignment w:val="auto"/>
        <w:rPr>
          <w:rFonts w:hint="default" w:ascii="Times New Roman" w:hAnsi="Times New Roman" w:cs="Times New Roman"/>
          <w:color w:val="auto"/>
        </w:rPr>
      </w:pPr>
      <w:r>
        <w:rPr>
          <w:rFonts w:hint="default" w:ascii="Times New Roman" w:hAnsi="Times New Roman" w:cs="Times New Roman"/>
          <w:color w:val="auto"/>
        </w:rPr>
        <w:t>数据目录梳理模板和填写说明见附录A。</w:t>
      </w:r>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ind w:firstLine="640" w:firstLineChars="200"/>
        <w:textAlignment w:val="auto"/>
        <w:rPr>
          <w:rFonts w:hint="default" w:ascii="Times New Roman" w:hAnsi="Times New Roman" w:eastAsia="方正楷体_GBK" w:cs="Times New Roman"/>
          <w:color w:val="auto"/>
          <w:sz w:val="32"/>
          <w:szCs w:val="32"/>
        </w:rPr>
      </w:pPr>
      <w:bookmarkStart w:id="25" w:name="_Toc129091183"/>
      <w:r>
        <w:rPr>
          <w:rFonts w:hint="default" w:ascii="Times New Roman" w:hAnsi="Times New Roman" w:eastAsia="方正楷体_GBK" w:cs="Times New Roman"/>
          <w:color w:val="auto"/>
          <w:sz w:val="32"/>
          <w:szCs w:val="32"/>
        </w:rPr>
        <w:t>（四）梳理要求</w:t>
      </w:r>
      <w:bookmarkEnd w:id="25"/>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textAlignment w:val="auto"/>
        <w:rPr>
          <w:rFonts w:hint="default" w:ascii="Times New Roman" w:hAnsi="Times New Roman" w:cs="Times New Roman"/>
          <w:color w:val="auto"/>
          <w:spacing w:val="-7"/>
          <w:w w:val="95"/>
        </w:rPr>
      </w:pPr>
      <w:r>
        <w:rPr>
          <w:rFonts w:hint="default" w:ascii="Times New Roman" w:hAnsi="Times New Roman" w:cs="Times New Roman"/>
          <w:color w:val="auto"/>
        </w:rPr>
        <w:t>涉及行业主管部门统建的数字化应用，本部门应将行业主管部门已编制的数据目录直接纳入；涉及本部门自建的数字化应用，应结合数字化应用开发过程中产生的规范性文档辅助进行梳理，如《软件需求规格说明书》、《数据库设计说明书》等；涉及未建数字化应用的公共数据，应结合业务涉及的材料、表单等进行梳理。</w:t>
      </w:r>
    </w:p>
    <w:p>
      <w:pPr>
        <w:pStyle w:val="11"/>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ind w:firstLine="640" w:firstLineChars="200"/>
        <w:textAlignment w:val="auto"/>
        <w:rPr>
          <w:rFonts w:hint="default" w:ascii="Times New Roman" w:hAnsi="Times New Roman" w:cs="Times New Roman"/>
          <w:color w:val="auto"/>
        </w:rPr>
      </w:pPr>
      <w:bookmarkStart w:id="26" w:name="_Toc129091184"/>
      <w:r>
        <w:rPr>
          <w:rFonts w:hint="default" w:ascii="Times New Roman" w:hAnsi="Times New Roman" w:cs="Times New Roman"/>
          <w:color w:val="auto"/>
        </w:rPr>
        <w:t>五、数据目录审核</w:t>
      </w:r>
      <w:bookmarkEnd w:id="26"/>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ind w:firstLine="640" w:firstLineChars="200"/>
        <w:textAlignment w:val="auto"/>
        <w:rPr>
          <w:rFonts w:hint="default" w:ascii="Times New Roman" w:hAnsi="Times New Roman" w:eastAsia="方正楷体_GBK" w:cs="Times New Roman"/>
          <w:color w:val="auto"/>
          <w:sz w:val="32"/>
          <w:szCs w:val="32"/>
        </w:rPr>
      </w:pPr>
      <w:bookmarkStart w:id="27" w:name="_Toc129091185"/>
      <w:r>
        <w:rPr>
          <w:rFonts w:hint="default" w:ascii="Times New Roman" w:hAnsi="Times New Roman" w:eastAsia="方正楷体_GBK" w:cs="Times New Roman"/>
          <w:color w:val="auto"/>
          <w:sz w:val="32"/>
          <w:szCs w:val="32"/>
        </w:rPr>
        <w:t>（一）部门审查</w:t>
      </w:r>
      <w:bookmarkEnd w:id="27"/>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textAlignment w:val="auto"/>
        <w:rPr>
          <w:rFonts w:hint="default" w:ascii="Times New Roman" w:hAnsi="Times New Roman" w:cs="Times New Roman"/>
          <w:color w:val="auto"/>
        </w:rPr>
      </w:pPr>
      <w:r>
        <w:rPr>
          <w:rFonts w:hint="default" w:ascii="Times New Roman" w:hAnsi="Times New Roman" w:cs="Times New Roman"/>
          <w:color w:val="auto"/>
          <w:kern w:val="0"/>
        </w:rPr>
        <w:t>各</w:t>
      </w:r>
      <w:r>
        <w:rPr>
          <w:rFonts w:hint="default" w:ascii="Times New Roman" w:hAnsi="Times New Roman" w:cs="Times New Roman"/>
          <w:color w:val="auto"/>
        </w:rPr>
        <w:t>数据</w:t>
      </w:r>
      <w:r>
        <w:rPr>
          <w:rFonts w:hint="default" w:ascii="Times New Roman" w:hAnsi="Times New Roman" w:cs="Times New Roman"/>
          <w:color w:val="auto"/>
          <w:kern w:val="0"/>
        </w:rPr>
        <w:t>资源提供方应根据本单位业务条线分别设置专人对本单位的数据依据附录</w:t>
      </w:r>
      <w:r>
        <w:rPr>
          <w:rFonts w:hint="default" w:ascii="Times New Roman" w:hAnsi="Times New Roman" w:cs="Times New Roman"/>
          <w:color w:val="auto"/>
        </w:rPr>
        <w:t>A的A.1数据目录梳理模板进行审查，主要审查数据目录是否覆盖本单位核心业务或应用、元数据是否规范、要素是否完整准确等，对于不符合要求的数据目录进行整改。汇总、整理、审查后提交至本级数据主管部门。</w:t>
      </w:r>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ind w:firstLine="640" w:firstLineChars="200"/>
        <w:textAlignment w:val="auto"/>
        <w:rPr>
          <w:rFonts w:hint="default" w:ascii="Times New Roman" w:hAnsi="Times New Roman" w:eastAsia="方正楷体_GBK" w:cs="Times New Roman"/>
          <w:color w:val="auto"/>
          <w:sz w:val="32"/>
          <w:szCs w:val="32"/>
        </w:rPr>
      </w:pPr>
      <w:bookmarkStart w:id="28" w:name="_Toc129091186"/>
      <w:r>
        <w:rPr>
          <w:rFonts w:hint="default" w:ascii="Times New Roman" w:hAnsi="Times New Roman" w:eastAsia="方正楷体_GBK" w:cs="Times New Roman"/>
          <w:color w:val="auto"/>
          <w:sz w:val="32"/>
          <w:szCs w:val="32"/>
        </w:rPr>
        <w:t>（二）大数据主管部门审核</w:t>
      </w:r>
      <w:bookmarkEnd w:id="28"/>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textAlignment w:val="auto"/>
        <w:rPr>
          <w:rFonts w:hint="default" w:ascii="Times New Roman" w:hAnsi="Times New Roman" w:cs="Times New Roman"/>
          <w:color w:val="auto"/>
          <w:spacing w:val="-7"/>
          <w:w w:val="95"/>
        </w:rPr>
      </w:pPr>
      <w:r>
        <w:rPr>
          <w:rFonts w:hint="default" w:ascii="Times New Roman" w:hAnsi="Times New Roman" w:cs="Times New Roman"/>
          <w:color w:val="auto"/>
        </w:rPr>
        <w:t>各级大数据主管部门对各部门提交的数据目录依据附录A的A.2各项要素填写说明进行数据目录的全面性、完备性、准确</w:t>
      </w:r>
      <w:r>
        <w:rPr>
          <w:rFonts w:hint="default" w:ascii="Times New Roman" w:hAnsi="Times New Roman" w:cs="Times New Roman"/>
          <w:color w:val="auto"/>
          <w:spacing w:val="-6"/>
          <w:sz w:val="32"/>
        </w:rPr>
        <w:t>性进行审核，如果发现不符合要求的，应退回数据资源提供方整改。</w:t>
      </w:r>
    </w:p>
    <w:p>
      <w:pPr>
        <w:pStyle w:val="11"/>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ind w:firstLine="640" w:firstLineChars="200"/>
        <w:textAlignment w:val="auto"/>
        <w:rPr>
          <w:rFonts w:hint="default" w:ascii="Times New Roman" w:hAnsi="Times New Roman" w:cs="Times New Roman"/>
          <w:color w:val="auto"/>
        </w:rPr>
      </w:pPr>
      <w:bookmarkStart w:id="29" w:name="_Toc129091187"/>
      <w:r>
        <w:rPr>
          <w:rFonts w:hint="default" w:ascii="Times New Roman" w:hAnsi="Times New Roman" w:cs="Times New Roman"/>
          <w:color w:val="auto"/>
        </w:rPr>
        <w:t>六、数据目录管理</w:t>
      </w:r>
      <w:bookmarkEnd w:id="29"/>
    </w:p>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570" w:lineRule="exact"/>
        <w:ind w:firstLine="640" w:firstLineChars="200"/>
        <w:textAlignment w:val="auto"/>
        <w:rPr>
          <w:rFonts w:hint="default" w:ascii="Times New Roman" w:hAnsi="Times New Roman" w:eastAsia="方正楷体_GBK" w:cs="Times New Roman"/>
          <w:color w:val="auto"/>
          <w:sz w:val="32"/>
          <w:szCs w:val="32"/>
        </w:rPr>
      </w:pPr>
      <w:bookmarkStart w:id="30" w:name="_Toc129091188"/>
      <w:r>
        <w:rPr>
          <w:rFonts w:hint="default" w:ascii="Times New Roman" w:hAnsi="Times New Roman" w:eastAsia="方正楷体_GBK" w:cs="Times New Roman"/>
          <w:color w:val="auto"/>
          <w:sz w:val="32"/>
          <w:szCs w:val="32"/>
        </w:rPr>
        <w:t>（一）数据目录分类</w:t>
      </w:r>
      <w:bookmarkEnd w:id="30"/>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1.应用场景分类</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根据数据应用场景分类形成基础库目录、主题库目录和应用领域目录等，具体分类和说明见表 1。</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表</w:t>
      </w:r>
      <w:r>
        <w:rPr>
          <w:rFonts w:hint="default" w:ascii="Times New Roman" w:hAnsi="Times New Roman" w:cs="Times New Roman"/>
          <w:color w:val="auto"/>
          <w:spacing w:val="-54"/>
          <w:sz w:val="28"/>
          <w:szCs w:val="28"/>
        </w:rPr>
        <w:t xml:space="preserve"> </w:t>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应用场景分类</w:t>
      </w:r>
    </w:p>
    <w:tbl>
      <w:tblPr>
        <w:tblStyle w:val="8"/>
        <w:tblW w:w="893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01"/>
        <w:gridCol w:w="72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701" w:type="dxa"/>
            <w:tcBorders>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Times New Roman" w:hAnsi="Times New Roman" w:eastAsia="方正黑体_GBK" w:cs="Times New Roman"/>
                <w:color w:val="auto"/>
                <w:spacing w:val="-7"/>
                <w:w w:val="95"/>
                <w:sz w:val="21"/>
                <w:szCs w:val="21"/>
              </w:rPr>
            </w:pPr>
            <w:r>
              <w:rPr>
                <w:rFonts w:hint="default" w:ascii="Times New Roman" w:hAnsi="Times New Roman" w:eastAsia="方正黑体_GBK" w:cs="Times New Roman"/>
                <w:color w:val="auto"/>
                <w:sz w:val="21"/>
                <w:szCs w:val="21"/>
              </w:rPr>
              <w:t>分类</w:t>
            </w:r>
          </w:p>
        </w:tc>
        <w:tc>
          <w:tcPr>
            <w:tcW w:w="7230" w:type="dxa"/>
            <w:tcBorders>
              <w:lef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Times New Roman" w:hAnsi="Times New Roman" w:eastAsia="方正黑体_GBK" w:cs="Times New Roman"/>
                <w:color w:val="auto"/>
                <w:spacing w:val="-7"/>
                <w:w w:val="95"/>
                <w:sz w:val="21"/>
                <w:szCs w:val="21"/>
              </w:rPr>
            </w:pPr>
            <w:r>
              <w:rPr>
                <w:rFonts w:hint="default" w:ascii="Times New Roman" w:hAnsi="Times New Roman" w:eastAsia="方正黑体_GBK" w:cs="Times New Roman"/>
                <w:color w:val="auto"/>
                <w:sz w:val="21"/>
                <w:szCs w:val="21"/>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1701" w:type="dxa"/>
            <w:tcBorders>
              <w:bottom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基础目录库</w:t>
            </w:r>
          </w:p>
        </w:tc>
        <w:tc>
          <w:tcPr>
            <w:tcW w:w="7230" w:type="dxa"/>
            <w:tcBorders>
              <w:left w:val="single" w:color="000000" w:sz="4" w:space="0"/>
              <w:bottom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包括自然人综合库目录、法人基础数据库目录、自然资源和空间地理基础数据库目录、电子证照基础数据库目录、信用信息基础数据库目录等。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1701" w:type="dxa"/>
            <w:tcBorders>
              <w:top w:val="single" w:color="000000" w:sz="4" w:space="0"/>
              <w:bottom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主题库目录</w:t>
            </w:r>
          </w:p>
        </w:tc>
        <w:tc>
          <w:tcPr>
            <w:tcW w:w="7230" w:type="dxa"/>
            <w:tcBorders>
              <w:top w:val="single" w:color="000000" w:sz="4" w:space="0"/>
              <w:left w:val="single" w:color="000000" w:sz="4" w:space="0"/>
              <w:bottom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包括基层智慧治理、渝康码、渝快融、乡村振兴、营商环境等。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trPr>
        <w:tc>
          <w:tcPr>
            <w:tcW w:w="1701" w:type="dxa"/>
            <w:tcBorders>
              <w:top w:val="single" w:color="000000" w:sz="4" w:space="0"/>
              <w:bottom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应用领域目录</w:t>
            </w:r>
          </w:p>
        </w:tc>
        <w:tc>
          <w:tcPr>
            <w:tcW w:w="7230" w:type="dxa"/>
            <w:tcBorders>
              <w:top w:val="single" w:color="000000" w:sz="4" w:space="0"/>
              <w:left w:val="single" w:color="000000" w:sz="4" w:space="0"/>
              <w:bottom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包括科技创新、商贸流通、社会救助、城建住房、教育文化、工业农业、机构团体、地理空间、资源能源、市场监管、生活服务、生态环境、交通运输、安全生产、社保就业、医疗卫生、信用服务、公共安全、财税金融、气象服务、法律服务、疫情防控、其他。</w:t>
            </w:r>
          </w:p>
        </w:tc>
      </w:tr>
    </w:tbl>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31" w:name="8.1.2_目录层级分类"/>
      <w:bookmarkEnd w:id="31"/>
      <w:r>
        <w:rPr>
          <w:rFonts w:hint="default" w:ascii="Times New Roman" w:hAnsi="Times New Roman" w:cs="Times New Roman"/>
          <w:color w:val="auto"/>
        </w:rPr>
        <w:t>2.目录层级分类</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根据目录层级分类形成市级目录和区县目录，具体分类和说明见表 2。</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表 2</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目录层级分类</w:t>
      </w:r>
    </w:p>
    <w:tbl>
      <w:tblPr>
        <w:tblStyle w:val="8"/>
        <w:tblW w:w="893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01"/>
        <w:gridCol w:w="72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701" w:type="dxa"/>
            <w:tcBorders>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eastAsia="方正黑体_GBK" w:cs="Times New Roman"/>
                <w:color w:val="auto"/>
                <w:spacing w:val="-7"/>
                <w:w w:val="95"/>
                <w:sz w:val="21"/>
                <w:szCs w:val="21"/>
              </w:rPr>
            </w:pPr>
            <w:r>
              <w:rPr>
                <w:rFonts w:hint="default" w:ascii="Times New Roman" w:hAnsi="Times New Roman" w:eastAsia="方正黑体_GBK" w:cs="Times New Roman"/>
                <w:color w:val="auto"/>
                <w:sz w:val="21"/>
                <w:szCs w:val="21"/>
              </w:rPr>
              <w:t>分类</w:t>
            </w:r>
          </w:p>
        </w:tc>
        <w:tc>
          <w:tcPr>
            <w:tcW w:w="7230" w:type="dxa"/>
            <w:tcBorders>
              <w:lef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eastAsia="方正黑体_GBK" w:cs="Times New Roman"/>
                <w:color w:val="auto"/>
                <w:spacing w:val="-7"/>
                <w:w w:val="95"/>
                <w:sz w:val="21"/>
                <w:szCs w:val="21"/>
              </w:rPr>
            </w:pPr>
            <w:r>
              <w:rPr>
                <w:rFonts w:hint="default" w:ascii="Times New Roman" w:hAnsi="Times New Roman" w:eastAsia="方正黑体_GBK" w:cs="Times New Roman"/>
                <w:color w:val="auto"/>
                <w:sz w:val="21"/>
                <w:szCs w:val="21"/>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1701" w:type="dxa"/>
            <w:tcBorders>
              <w:bottom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240" w:lineRule="exact"/>
              <w:ind w:left="113"/>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市级目录</w:t>
            </w:r>
          </w:p>
        </w:tc>
        <w:tc>
          <w:tcPr>
            <w:tcW w:w="7230" w:type="dxa"/>
            <w:tcBorders>
              <w:left w:val="single" w:color="000000" w:sz="4" w:space="0"/>
              <w:bottom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240" w:lineRule="exact"/>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包括党委、人大、政府、政协、法院、检察院、企事业单位、民主党派、工商联及群众团体等市级部门数据目录。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701" w:type="dxa"/>
            <w:tcBorders>
              <w:top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区县目录</w:t>
            </w:r>
          </w:p>
        </w:tc>
        <w:tc>
          <w:tcPr>
            <w:tcW w:w="7230" w:type="dxa"/>
            <w:tcBorders>
              <w:top w:val="single" w:color="000000" w:sz="4" w:space="0"/>
              <w:lef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pacing w:val="-7"/>
                <w:w w:val="95"/>
                <w:sz w:val="21"/>
                <w:szCs w:val="21"/>
              </w:rPr>
              <w:t>包</w:t>
            </w:r>
            <w:r>
              <w:rPr>
                <w:rFonts w:hint="default" w:ascii="Times New Roman" w:hAnsi="Times New Roman" w:cs="Times New Roman"/>
                <w:color w:val="auto"/>
                <w:sz w:val="21"/>
                <w:szCs w:val="21"/>
              </w:rPr>
              <w:t>括各县区数据目录。</w:t>
            </w:r>
          </w:p>
        </w:tc>
      </w:tr>
    </w:tbl>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32" w:name="8.1.3_共享属性分类"/>
      <w:bookmarkEnd w:id="32"/>
      <w:r>
        <w:rPr>
          <w:rFonts w:hint="default" w:ascii="Times New Roman" w:hAnsi="Times New Roman" w:cs="Times New Roman"/>
          <w:color w:val="auto"/>
        </w:rPr>
        <w:t>3.共享属性分类</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根据目录共享属性分类形成无条件共享类目录、有条件共享类目录和不予共享类目录，具体分类和说明见表 3。</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表 3</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共享属性分类</w:t>
      </w:r>
    </w:p>
    <w:tbl>
      <w:tblPr>
        <w:tblStyle w:val="8"/>
        <w:tblW w:w="893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01"/>
        <w:gridCol w:w="72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701" w:type="dxa"/>
            <w:tcBorders>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方正黑体_GBK" w:cs="Times New Roman"/>
                <w:color w:val="auto"/>
                <w:spacing w:val="-7"/>
                <w:w w:val="95"/>
                <w:sz w:val="21"/>
                <w:szCs w:val="21"/>
              </w:rPr>
            </w:pPr>
            <w:r>
              <w:rPr>
                <w:rFonts w:hint="default" w:ascii="Times New Roman" w:hAnsi="Times New Roman" w:eastAsia="方正黑体_GBK" w:cs="Times New Roman"/>
                <w:color w:val="auto"/>
                <w:sz w:val="21"/>
                <w:szCs w:val="21"/>
              </w:rPr>
              <w:t>分类</w:t>
            </w:r>
          </w:p>
        </w:tc>
        <w:tc>
          <w:tcPr>
            <w:tcW w:w="7230" w:type="dxa"/>
            <w:tcBorders>
              <w:lef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方正黑体_GBK" w:cs="Times New Roman"/>
                <w:color w:val="auto"/>
                <w:spacing w:val="-7"/>
                <w:w w:val="95"/>
                <w:sz w:val="21"/>
                <w:szCs w:val="21"/>
              </w:rPr>
            </w:pPr>
            <w:r>
              <w:rPr>
                <w:rFonts w:hint="default" w:ascii="Times New Roman" w:hAnsi="Times New Roman" w:eastAsia="方正黑体_GBK" w:cs="Times New Roman"/>
                <w:color w:val="auto"/>
                <w:sz w:val="21"/>
                <w:szCs w:val="21"/>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1701" w:type="dxa"/>
            <w:tcBorders>
              <w:bottom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无条件共享类</w:t>
            </w:r>
          </w:p>
        </w:tc>
        <w:tc>
          <w:tcPr>
            <w:tcW w:w="7230" w:type="dxa"/>
            <w:tcBorders>
              <w:left w:val="single" w:color="000000" w:sz="4" w:space="0"/>
              <w:bottom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可以提供给各政务部门共享使用的政务数据资源。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701" w:type="dxa"/>
            <w:tcBorders>
              <w:top w:val="single" w:color="000000" w:sz="4" w:space="0"/>
              <w:bottom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有条件共享类</w:t>
            </w:r>
          </w:p>
        </w:tc>
        <w:tc>
          <w:tcPr>
            <w:tcW w:w="7230" w:type="dxa"/>
            <w:tcBorders>
              <w:top w:val="single" w:color="000000" w:sz="4" w:space="0"/>
              <w:left w:val="single" w:color="000000" w:sz="4" w:space="0"/>
              <w:bottom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可以提供给部分政务部门共享使用或者仅能够部分提供给各政务部门共享使用的政务数据资源。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701" w:type="dxa"/>
            <w:tcBorders>
              <w:top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不予共享类</w:t>
            </w:r>
          </w:p>
        </w:tc>
        <w:tc>
          <w:tcPr>
            <w:tcW w:w="7230" w:type="dxa"/>
            <w:tcBorders>
              <w:top w:val="single" w:color="000000" w:sz="4" w:space="0"/>
              <w:lef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不宜提供给其他政务部门共享使用的政务数据资源。</w:t>
            </w:r>
          </w:p>
        </w:tc>
      </w:tr>
    </w:tbl>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bookmarkStart w:id="33" w:name="8.1.4_开放属性分类"/>
      <w:bookmarkEnd w:id="33"/>
      <w:r>
        <w:rPr>
          <w:rFonts w:hint="default" w:ascii="Times New Roman" w:hAnsi="Times New Roman" w:cs="Times New Roman"/>
          <w:color w:val="auto"/>
        </w:rPr>
        <w:t>4.开放属性分类</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根据目录开放属性分类形成无条件开放类目录、有条件开放类目录和不予开放类目录，具体分类和说明见表 4。</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表 4</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开放属性分类</w:t>
      </w:r>
    </w:p>
    <w:tbl>
      <w:tblPr>
        <w:tblStyle w:val="8"/>
        <w:tblW w:w="893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01"/>
        <w:gridCol w:w="72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701" w:type="dxa"/>
            <w:tcBorders>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eastAsia="方正黑体_GBK" w:cs="Times New Roman"/>
                <w:color w:val="auto"/>
                <w:spacing w:val="-7"/>
                <w:w w:val="95"/>
                <w:sz w:val="21"/>
                <w:szCs w:val="21"/>
              </w:rPr>
            </w:pPr>
            <w:r>
              <w:rPr>
                <w:rFonts w:hint="default" w:ascii="Times New Roman" w:hAnsi="Times New Roman" w:eastAsia="方正黑体_GBK" w:cs="Times New Roman"/>
                <w:color w:val="auto"/>
                <w:sz w:val="21"/>
                <w:szCs w:val="21"/>
              </w:rPr>
              <w:t>分类</w:t>
            </w:r>
          </w:p>
        </w:tc>
        <w:tc>
          <w:tcPr>
            <w:tcW w:w="7230" w:type="dxa"/>
            <w:tcBorders>
              <w:lef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eastAsia="方正黑体_GBK" w:cs="Times New Roman"/>
                <w:color w:val="auto"/>
                <w:spacing w:val="-7"/>
                <w:w w:val="95"/>
                <w:sz w:val="21"/>
                <w:szCs w:val="21"/>
              </w:rPr>
            </w:pPr>
            <w:r>
              <w:rPr>
                <w:rFonts w:hint="default" w:ascii="Times New Roman" w:hAnsi="Times New Roman" w:eastAsia="方正黑体_GBK" w:cs="Times New Roman"/>
                <w:color w:val="auto"/>
                <w:sz w:val="21"/>
                <w:szCs w:val="21"/>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701" w:type="dxa"/>
            <w:tcBorders>
              <w:bottom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无条件开放类</w:t>
            </w:r>
          </w:p>
        </w:tc>
        <w:tc>
          <w:tcPr>
            <w:tcW w:w="7230" w:type="dxa"/>
            <w:tcBorders>
              <w:left w:val="single" w:color="000000" w:sz="4" w:space="0"/>
              <w:bottom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除有条件开放类和不予开放类的其他公共数据。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701" w:type="dxa"/>
            <w:tcBorders>
              <w:top w:val="single" w:color="000000" w:sz="4" w:space="0"/>
              <w:bottom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有条件开放类</w:t>
            </w:r>
          </w:p>
        </w:tc>
        <w:tc>
          <w:tcPr>
            <w:tcW w:w="7230" w:type="dxa"/>
            <w:tcBorders>
              <w:top w:val="single" w:color="000000" w:sz="4" w:space="0"/>
              <w:left w:val="single" w:color="000000" w:sz="4" w:space="0"/>
              <w:bottom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需要按照特定条件提供给数据利用主体的公共数据。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701" w:type="dxa"/>
            <w:tcBorders>
              <w:top w:val="single" w:color="000000" w:sz="4" w:space="0"/>
              <w:righ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不予开放类</w:t>
            </w:r>
          </w:p>
        </w:tc>
        <w:tc>
          <w:tcPr>
            <w:tcW w:w="7230" w:type="dxa"/>
            <w:tcBorders>
              <w:top w:val="single" w:color="000000" w:sz="4" w:space="0"/>
              <w:left w:val="single" w:color="000000" w:sz="4" w:space="0"/>
            </w:tcBorders>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pacing w:val="-7"/>
                <w:w w:val="95"/>
                <w:sz w:val="21"/>
                <w:szCs w:val="21"/>
              </w:rPr>
            </w:pPr>
            <w:r>
              <w:rPr>
                <w:rFonts w:hint="default" w:ascii="Times New Roman" w:hAnsi="Times New Roman" w:cs="Times New Roman"/>
                <w:color w:val="auto"/>
                <w:sz w:val="21"/>
                <w:szCs w:val="21"/>
              </w:rPr>
              <w:t>涉及国家秘密、商业秘密、个人隐私和国家安全，以及其他不宜提供给数据利用主体的公共数据。</w:t>
            </w:r>
          </w:p>
        </w:tc>
      </w:tr>
    </w:tbl>
    <w:p>
      <w:pPr>
        <w:pStyle w:val="1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楷体_GBK" w:cs="Times New Roman"/>
          <w:color w:val="auto"/>
          <w:sz w:val="32"/>
          <w:szCs w:val="32"/>
        </w:rPr>
      </w:pPr>
      <w:bookmarkStart w:id="34" w:name="_Toc129091189"/>
      <w:r>
        <w:rPr>
          <w:rFonts w:hint="default" w:ascii="Times New Roman" w:hAnsi="Times New Roman" w:eastAsia="方正楷体_GBK" w:cs="Times New Roman"/>
          <w:color w:val="auto"/>
          <w:sz w:val="32"/>
          <w:szCs w:val="32"/>
        </w:rPr>
        <w:t>（二）数据目录发布和更新</w:t>
      </w:r>
      <w:bookmarkEnd w:id="34"/>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left="64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1.数据目录发布</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各级大数据主管部门应将本级审核、分类后的数据目录及时发布，形成本级数据目录。</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spacing w:val="-5"/>
          <w:w w:val="95"/>
        </w:rPr>
      </w:pPr>
      <w:r>
        <w:rPr>
          <w:rFonts w:hint="default" w:ascii="Times New Roman" w:hAnsi="Times New Roman" w:cs="Times New Roman"/>
          <w:color w:val="auto"/>
        </w:rPr>
        <w:t>2.数据目录更新</w:t>
      </w:r>
      <w:bookmarkStart w:id="35" w:name="8.2.2_数据目录更新"/>
      <w:bookmarkEnd w:id="35"/>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rPr>
      </w:pPr>
      <w:r>
        <w:rPr>
          <w:rFonts w:hint="default" w:ascii="Times New Roman" w:hAnsi="Times New Roman" w:cs="Times New Roman"/>
          <w:color w:val="auto"/>
        </w:rPr>
        <w:t>各级政务部门、公共服务组织，应做好本部门数据目录的更新与维护。</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left="0" w:leftChars="0" w:firstLine="0" w:firstLineChars="0"/>
        <w:textAlignment w:val="auto"/>
        <w:rPr>
          <w:rFonts w:hint="default" w:ascii="Times New Roman" w:hAnsi="Times New Roman" w:cs="Times New Roman"/>
          <w:color w:val="auto"/>
        </w:rPr>
        <w:sectPr>
          <w:footerReference r:id="rId4" w:type="default"/>
          <w:pgSz w:w="11910" w:h="16840"/>
          <w:pgMar w:top="2098" w:right="1474" w:bottom="1984" w:left="1587" w:header="850" w:footer="1587" w:gutter="0"/>
          <w:pgNumType w:fmt="decimal" w:start="6"/>
          <w:cols w:space="0" w:num="1"/>
          <w:rtlGutter w:val="0"/>
        </w:sectPr>
      </w:pPr>
      <w:bookmarkStart w:id="36" w:name="（二）考核评价指标。按照《数字化改革_公共数据目录编制规范》，围绕提升数据目录质"/>
      <w:bookmarkEnd w:id="36"/>
    </w:p>
    <w:p>
      <w:pPr>
        <w:pStyle w:val="11"/>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eastAsia" w:cs="Times New Roman"/>
          <w:color w:val="auto"/>
          <w:lang w:val="en-US" w:eastAsia="zh-CN"/>
        </w:rPr>
      </w:pPr>
      <w:bookmarkStart w:id="37" w:name="_Toc129091190"/>
      <w:r>
        <w:rPr>
          <w:rFonts w:hint="eastAsia" w:cs="Times New Roman"/>
          <w:color w:val="auto"/>
          <w:lang w:val="en-US" w:eastAsia="zh-CN"/>
        </w:rPr>
        <w:t>附件</w:t>
      </w:r>
    </w:p>
    <w:p>
      <w:pPr>
        <w:pStyle w:val="12"/>
        <w:rPr>
          <w:rFonts w:hint="eastAsia"/>
          <w:lang w:val="en-US" w:eastAsia="zh-CN"/>
        </w:rPr>
      </w:pPr>
    </w:p>
    <w:p>
      <w:pPr>
        <w:pStyle w:val="11"/>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附录A</w:t>
      </w:r>
      <w:bookmarkStart w:id="38" w:name="附_录_A（规范性）数据目录梳理表"/>
      <w:bookmarkEnd w:id="38"/>
      <w:bookmarkStart w:id="39" w:name="_bookmark5"/>
      <w:bookmarkEnd w:id="39"/>
      <w:r>
        <w:rPr>
          <w:rFonts w:hint="default" w:ascii="Times New Roman" w:hAnsi="Times New Roman" w:cs="Times New Roman"/>
          <w:color w:val="auto"/>
        </w:rPr>
        <w:t>数据目录梳理表</w:t>
      </w:r>
      <w:bookmarkEnd w:id="37"/>
    </w:p>
    <w:p>
      <w:pPr>
        <w:pStyle w:val="13"/>
        <w:keepNext w:val="0"/>
        <w:keepLines w:val="0"/>
        <w:pageBreakBefore w:val="0"/>
        <w:widowControl w:val="0"/>
        <w:numPr>
          <w:ilvl w:val="1"/>
          <w:numId w:val="0"/>
        </w:numPr>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eastAsia="方正黑体_GBK" w:cs="Times New Roman"/>
          <w:color w:val="auto"/>
          <w:sz w:val="28"/>
          <w:szCs w:val="28"/>
        </w:rPr>
      </w:pPr>
      <w:bookmarkStart w:id="40" w:name="A.1_数据目录梳理模板"/>
      <w:bookmarkEnd w:id="40"/>
      <w:bookmarkStart w:id="41" w:name="_bookmark6"/>
      <w:bookmarkEnd w:id="41"/>
      <w:bookmarkStart w:id="42" w:name="_Toc129091191"/>
    </w:p>
    <w:p>
      <w:pPr>
        <w:pStyle w:val="13"/>
        <w:keepNext w:val="0"/>
        <w:keepLines w:val="0"/>
        <w:pageBreakBefore w:val="0"/>
        <w:widowControl w:val="0"/>
        <w:numPr>
          <w:ilvl w:val="1"/>
          <w:numId w:val="0"/>
        </w:numPr>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A.1 数据目录梳理模板</w:t>
      </w:r>
      <w:bookmarkEnd w:id="42"/>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数据目录梳理模板见表A.1。</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表A.1 数据目录梳理模板</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2"/>
        <w:gridCol w:w="412"/>
        <w:gridCol w:w="412"/>
        <w:gridCol w:w="412"/>
        <w:gridCol w:w="412"/>
        <w:gridCol w:w="412"/>
        <w:gridCol w:w="412"/>
        <w:gridCol w:w="412"/>
        <w:gridCol w:w="412"/>
        <w:gridCol w:w="412"/>
        <w:gridCol w:w="412"/>
        <w:gridCol w:w="412"/>
        <w:gridCol w:w="412"/>
        <w:gridCol w:w="412"/>
        <w:gridCol w:w="412"/>
        <w:gridCol w:w="412"/>
        <w:gridCol w:w="412"/>
        <w:gridCol w:w="412"/>
        <w:gridCol w:w="412"/>
        <w:gridCol w:w="412"/>
        <w:gridCol w:w="412"/>
        <w:gridCol w:w="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rPr>
              <w:t>数据资源统一编码</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rPr>
              <w:t>数据资源名称</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数据资源提供方</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数据资源摘要</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数据资源格式</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数据所属领域</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所属应用</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数据敏感级别</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更新频率</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val="en-US" w:eastAsia="zh-CN"/>
              </w:rPr>
              <w:t>发布</w:t>
            </w:r>
            <w:r>
              <w:rPr>
                <w:rFonts w:hint="default" w:ascii="Times New Roman" w:hAnsi="Times New Roman" w:eastAsia="方正黑体_GBK" w:cs="Times New Roman"/>
                <w:color w:val="auto"/>
                <w:sz w:val="20"/>
                <w:szCs w:val="20"/>
              </w:rPr>
              <w:t>时间</w:t>
            </w:r>
          </w:p>
        </w:tc>
        <w:tc>
          <w:tcPr>
            <w:tcW w:w="227" w:type="pct"/>
            <w:vMerge w:val="restar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rPr>
              <w:t>修改时间</w:t>
            </w:r>
          </w:p>
        </w:tc>
        <w:tc>
          <w:tcPr>
            <w:tcW w:w="2502" w:type="pct"/>
            <w:gridSpan w:val="11"/>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jc w:val="center"/>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rPr>
              <w:t>数据项描述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Merge w:val="continue"/>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eastAsia="方正黑体_GBK"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rPr>
              <w:t>数据项名称</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数据类型</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数据长度</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字段描述</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共享属性</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共享条件</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开放属性</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开放条件</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是否主键</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是否可为空</w:t>
            </w: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ind w:left="0"/>
              <w:textAlignment w:val="auto"/>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sz w:val="20"/>
                <w:szCs w:val="20"/>
                <w:lang w:bidi="ar"/>
              </w:rPr>
              <w:t>是否字典项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c>
          <w:tcPr>
            <w:tcW w:w="227" w:type="pct"/>
            <w:vAlign w:val="center"/>
          </w:tcPr>
          <w:p>
            <w:pPr>
              <w:pStyle w:val="14"/>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360" w:lineRule="exact"/>
              <w:textAlignment w:val="auto"/>
              <w:rPr>
                <w:rFonts w:hint="default" w:ascii="Times New Roman" w:hAnsi="Times New Roman" w:cs="Times New Roman"/>
                <w:color w:val="auto"/>
                <w:sz w:val="20"/>
                <w:szCs w:val="20"/>
              </w:rPr>
            </w:pPr>
          </w:p>
        </w:tc>
      </w:tr>
    </w:tbl>
    <w:p>
      <w:pPr>
        <w:pStyle w:val="13"/>
        <w:keepNext w:val="0"/>
        <w:keepLines w:val="0"/>
        <w:pageBreakBefore w:val="0"/>
        <w:widowControl w:val="0"/>
        <w:numPr>
          <w:ilvl w:val="1"/>
          <w:numId w:val="0"/>
        </w:numPr>
        <w:shd w:val="clear"/>
        <w:kinsoku/>
        <w:wordWrap/>
        <w:overflowPunct/>
        <w:topLinePunct w:val="0"/>
        <w:autoSpaceDE/>
        <w:autoSpaceDN/>
        <w:bidi w:val="0"/>
        <w:adjustRightInd w:val="0"/>
        <w:snapToGrid w:val="0"/>
        <w:spacing w:before="0" w:beforeLines="0" w:after="0" w:afterLines="0" w:line="600" w:lineRule="exact"/>
        <w:ind w:firstLine="640" w:firstLineChars="200"/>
        <w:textAlignment w:val="auto"/>
        <w:rPr>
          <w:rFonts w:hint="default" w:ascii="Times New Roman" w:hAnsi="Times New Roman" w:eastAsia="方正黑体_GBK" w:cs="Times New Roman"/>
          <w:color w:val="auto"/>
          <w:sz w:val="32"/>
          <w:szCs w:val="32"/>
        </w:rPr>
      </w:pPr>
      <w:bookmarkStart w:id="43" w:name="_bookmark7"/>
      <w:bookmarkEnd w:id="43"/>
      <w:bookmarkStart w:id="44" w:name="A.2_数据目录梳理模板填写说明"/>
      <w:bookmarkEnd w:id="44"/>
      <w:bookmarkStart w:id="45" w:name="_Toc129091192"/>
      <w:r>
        <w:rPr>
          <w:rFonts w:hint="default" w:ascii="Times New Roman" w:hAnsi="Times New Roman" w:eastAsia="方正黑体_GBK" w:cs="Times New Roman"/>
          <w:color w:val="auto"/>
          <w:sz w:val="32"/>
          <w:szCs w:val="32"/>
        </w:rPr>
        <w:t>A.2 数据目录梳理模板填写说明</w:t>
      </w:r>
      <w:bookmarkEnd w:id="45"/>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数据目录梳理模板填写说明见表A.2。</w:t>
      </w:r>
    </w:p>
    <w:p>
      <w:pPr>
        <w:pStyle w:val="3"/>
        <w:keepNext w:val="0"/>
        <w:keepLines w:val="0"/>
        <w:pageBreakBefore w:val="0"/>
        <w:widowControl w:val="0"/>
        <w:shd w:val="clear"/>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表A.2 数据目录梳理模板填写说明</w:t>
      </w:r>
    </w:p>
    <w:tbl>
      <w:tblPr>
        <w:tblStyle w:val="8"/>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1"/>
        <w:gridCol w:w="977"/>
        <w:gridCol w:w="1466"/>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trPr>
        <w:tc>
          <w:tcPr>
            <w:tcW w:w="2078" w:type="dxa"/>
            <w:gridSpan w:val="2"/>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填写要素名称</w:t>
            </w:r>
          </w:p>
        </w:tc>
        <w:tc>
          <w:tcPr>
            <w:tcW w:w="6853" w:type="dxa"/>
            <w:gridSpan w:val="2"/>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1.数据资源统一编码</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数据目录的唯一不变的标识字符。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由系统自动生成</w:t>
            </w:r>
            <w:r>
              <w:rPr>
                <w:rFonts w:hint="default" w:ascii="Times New Roman" w:hAnsi="Times New Roman" w:cs="Times New Roman"/>
                <w:color w:val="auto"/>
                <w:sz w:val="21"/>
                <w:szCs w:val="21"/>
              </w:rPr>
              <w:t>；参照《政务信息资源目录编制指南（试行）》确定的代码结构规则，代码结构由前段码、后段码组成</w:t>
            </w:r>
            <w:r>
              <w:rPr>
                <w:rFonts w:hint="default"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2.数据资源名称</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缩略描述数据目录内容的标题。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8"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手工填报</w:t>
            </w:r>
            <w:r>
              <w:rPr>
                <w:rFonts w:hint="default" w:ascii="Times New Roman" w:hAnsi="Times New Roman" w:cs="Times New Roman"/>
                <w:color w:val="auto"/>
                <w:sz w:val="21"/>
                <w:szCs w:val="21"/>
              </w:rPr>
              <w:t>；业务类数据目录命名为XXX</w:t>
            </w:r>
            <w:r>
              <w:rPr>
                <w:rFonts w:hint="default" w:ascii="Times New Roman" w:hAnsi="Times New Roman" w:cs="Times New Roman"/>
                <w:color w:val="auto"/>
                <w:spacing w:val="-1"/>
                <w:sz w:val="21"/>
                <w:szCs w:val="21"/>
              </w:rPr>
              <w:t>信息，该类数据含数字化应用、数据库、报表、业务</w:t>
            </w:r>
            <w:r>
              <w:rPr>
                <w:rFonts w:hint="default" w:ascii="Times New Roman" w:hAnsi="Times New Roman" w:cs="Times New Roman"/>
                <w:color w:val="auto"/>
                <w:spacing w:val="-9"/>
                <w:sz w:val="21"/>
                <w:szCs w:val="21"/>
              </w:rPr>
              <w:t>办理记录、业务情况等业务信息；证照类数据一般对应为目录下有两张表，一部分</w:t>
            </w:r>
            <w:r>
              <w:rPr>
                <w:rFonts w:hint="default" w:ascii="Times New Roman" w:hAnsi="Times New Roman" w:cs="Times New Roman"/>
                <w:color w:val="auto"/>
                <w:sz w:val="21"/>
                <w:szCs w:val="21"/>
              </w:rPr>
              <w:t>是证照信息表，一部分是证照的版式文件；地理信息类数据命名为XXX</w:t>
            </w:r>
            <w:r>
              <w:rPr>
                <w:rFonts w:hint="default" w:ascii="Times New Roman" w:hAnsi="Times New Roman" w:cs="Times New Roman"/>
                <w:color w:val="auto"/>
                <w:spacing w:val="-2"/>
                <w:sz w:val="21"/>
                <w:szCs w:val="21"/>
              </w:rPr>
              <w:t>地理信息，</w:t>
            </w:r>
            <w:r>
              <w:rPr>
                <w:rFonts w:hint="default" w:ascii="Times New Roman" w:hAnsi="Times New Roman" w:cs="Times New Roman"/>
                <w:color w:val="auto"/>
                <w:sz w:val="21"/>
                <w:szCs w:val="21"/>
              </w:rPr>
              <w:t>该类数据为地理位置信息；其他类命名规则如数据名称涉及主表、子表、附表、</w:t>
            </w:r>
            <w:r>
              <w:rPr>
                <w:rFonts w:hint="default" w:ascii="Times New Roman" w:hAnsi="Times New Roman" w:cs="Times New Roman"/>
                <w:color w:val="auto"/>
                <w:spacing w:val="-11"/>
                <w:sz w:val="21"/>
                <w:szCs w:val="21"/>
              </w:rPr>
              <w:t xml:space="preserve">X </w:t>
            </w:r>
            <w:r>
              <w:rPr>
                <w:rFonts w:hint="default" w:ascii="Times New Roman" w:hAnsi="Times New Roman" w:cs="Times New Roman"/>
                <w:color w:val="auto"/>
                <w:spacing w:val="-10"/>
                <w:sz w:val="21"/>
                <w:szCs w:val="21"/>
              </w:rPr>
              <w:t>月、正本、副本等在数据名称后添加括号表示，同部门同名数据若内容确实为不同</w:t>
            </w:r>
            <w:r>
              <w:rPr>
                <w:rFonts w:hint="default" w:ascii="Times New Roman" w:hAnsi="Times New Roman" w:cs="Times New Roman"/>
                <w:color w:val="auto"/>
                <w:spacing w:val="-1"/>
                <w:sz w:val="21"/>
                <w:szCs w:val="21"/>
              </w:rPr>
              <w:t>数据，且需要加以区分的，在前面加上数字化应用名称简称作为前缀，用</w:t>
            </w:r>
            <w:r>
              <w:rPr>
                <w:rFonts w:hint="eastAsia" w:ascii="Times New Roman" w:hAnsi="Times New Roman" w:cs="Times New Roman"/>
                <w:color w:val="auto"/>
                <w:spacing w:val="-1"/>
                <w:sz w:val="21"/>
                <w:szCs w:val="21"/>
                <w:lang w:eastAsia="zh-CN"/>
              </w:rPr>
              <w:t>“</w:t>
            </w:r>
            <w:r>
              <w:rPr>
                <w:rFonts w:hint="default" w:ascii="Times New Roman" w:hAnsi="Times New Roman" w:cs="Times New Roman"/>
                <w:color w:val="auto"/>
                <w:spacing w:val="-1"/>
                <w:sz w:val="21"/>
                <w:szCs w:val="21"/>
              </w:rPr>
              <w:t>-</w:t>
            </w:r>
            <w:r>
              <w:rPr>
                <w:rFonts w:hint="eastAsia" w:ascii="Times New Roman" w:hAnsi="Times New Roman" w:cs="Times New Roman"/>
                <w:color w:val="auto"/>
                <w:spacing w:val="-1"/>
                <w:sz w:val="21"/>
                <w:szCs w:val="21"/>
                <w:lang w:eastAsia="zh-CN"/>
              </w:rPr>
              <w:t>”</w:t>
            </w:r>
            <w:r>
              <w:rPr>
                <w:rFonts w:hint="default" w:ascii="Times New Roman" w:hAnsi="Times New Roman" w:cs="Times New Roman"/>
                <w:color w:val="auto"/>
                <w:spacing w:val="-1"/>
                <w:sz w:val="21"/>
                <w:szCs w:val="21"/>
              </w:rPr>
              <w:t>连接数字化应用</w:t>
            </w:r>
            <w:r>
              <w:rPr>
                <w:rFonts w:hint="default" w:ascii="Times New Roman" w:hAnsi="Times New Roman" w:cs="Times New Roman"/>
                <w:color w:val="auto"/>
                <w:sz w:val="21"/>
                <w:szCs w:val="21"/>
              </w:rPr>
              <w:t>名称与数据名称。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3.数据资源提供方</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提供公共数据的部门。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由系统自动绑定</w:t>
            </w:r>
            <w:r>
              <w:rPr>
                <w:rFonts w:hint="default" w:ascii="Times New Roman" w:hAnsi="Times New Roman" w:cs="Times New Roman"/>
                <w:color w:val="auto"/>
                <w:sz w:val="21"/>
                <w:szCs w:val="21"/>
              </w:rPr>
              <w:t>；该公共数据部门的规范简称。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4.数据资源摘要</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对公共数据内容（或关键字段）的概要描述。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val="en-US" w:eastAsia="zh-CN"/>
              </w:rPr>
              <w:t>系统自动生成后，再人工调整</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5.数据资源格式</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公共数据存在方式</w:t>
            </w:r>
            <w:r>
              <w:rPr>
                <w:rFonts w:hint="default" w:ascii="Times New Roman" w:hAnsi="Times New Roman" w:cs="Times New Roman"/>
                <w:color w:val="auto"/>
                <w:sz w:val="21"/>
                <w:szCs w:val="21"/>
              </w:rPr>
              <w:t>（可多选</w:t>
            </w:r>
            <w:r>
              <w:rPr>
                <w:rFonts w:hint="default" w:ascii="Times New Roman" w:hAnsi="Times New Roman" w:cs="Times New Roman"/>
                <w:color w:val="auto"/>
                <w:spacing w:val="-24"/>
                <w:sz w:val="21"/>
                <w:szCs w:val="21"/>
              </w:rPr>
              <w:t>）</w:t>
            </w:r>
            <w:r>
              <w:rPr>
                <w:rFonts w:hint="default" w:ascii="Times New Roman" w:hAnsi="Times New Roman" w:cs="Times New Roman"/>
                <w:color w:val="auto"/>
                <w:spacing w:val="-6"/>
                <w:sz w:val="21"/>
                <w:szCs w:val="21"/>
              </w:rPr>
              <w:t>。数据资源提供方应尽可能提供可机读的电子格式及相关软</w:t>
            </w:r>
            <w:r>
              <w:rPr>
                <w:rFonts w:hint="default" w:ascii="Times New Roman" w:hAnsi="Times New Roman" w:cs="Times New Roman"/>
                <w:color w:val="auto"/>
                <w:spacing w:val="-10"/>
                <w:sz w:val="21"/>
                <w:szCs w:val="21"/>
              </w:rPr>
              <w:t xml:space="preserve">件版本信息，如只有纸质介质，应尽量提供电子扫描格式。数据格式，可采用但不限于：电子文件的存储格式为 </w:t>
            </w:r>
            <w:r>
              <w:rPr>
                <w:rFonts w:hint="default" w:ascii="Times New Roman" w:hAnsi="Times New Roman" w:eastAsia="Times New Roman" w:cs="Times New Roman"/>
                <w:color w:val="auto"/>
                <w:sz w:val="21"/>
                <w:szCs w:val="21"/>
              </w:rPr>
              <w:t>OFD</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wps</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xml</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txt</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doc</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docx</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html</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pdf</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 xml:space="preserve">ppt </w:t>
            </w:r>
            <w:r>
              <w:rPr>
                <w:rFonts w:hint="default" w:ascii="Times New Roman" w:hAnsi="Times New Roman" w:cs="Times New Roman"/>
                <w:color w:val="auto"/>
                <w:spacing w:val="5"/>
                <w:sz w:val="21"/>
                <w:szCs w:val="21"/>
              </w:rPr>
              <w:t>等； 电子表格的存储格式为</w:t>
            </w:r>
            <w:r>
              <w:rPr>
                <w:rFonts w:hint="default" w:ascii="Times New Roman" w:hAnsi="Times New Roman" w:eastAsia="Times New Roman" w:cs="Times New Roman"/>
                <w:color w:val="auto"/>
                <w:spacing w:val="9"/>
                <w:sz w:val="21"/>
                <w:szCs w:val="21"/>
              </w:rPr>
              <w:t>et</w:t>
            </w:r>
            <w:r>
              <w:rPr>
                <w:rFonts w:hint="default" w:ascii="Times New Roman" w:hAnsi="Times New Roman" w:cs="Times New Roman"/>
                <w:color w:val="auto"/>
                <w:spacing w:val="16"/>
                <w:sz w:val="21"/>
                <w:szCs w:val="21"/>
              </w:rPr>
              <w:t>、</w:t>
            </w:r>
            <w:r>
              <w:rPr>
                <w:rFonts w:hint="default" w:ascii="Times New Roman" w:hAnsi="Times New Roman" w:eastAsia="Times New Roman" w:cs="Times New Roman"/>
                <w:color w:val="auto"/>
                <w:spacing w:val="5"/>
                <w:sz w:val="21"/>
                <w:szCs w:val="21"/>
              </w:rPr>
              <w:t>xls</w:t>
            </w:r>
            <w:r>
              <w:rPr>
                <w:rFonts w:hint="default" w:ascii="Times New Roman" w:hAnsi="Times New Roman" w:cs="Times New Roman"/>
                <w:color w:val="auto"/>
                <w:spacing w:val="19"/>
                <w:sz w:val="21"/>
                <w:szCs w:val="21"/>
              </w:rPr>
              <w:t>、</w:t>
            </w:r>
            <w:r>
              <w:rPr>
                <w:rFonts w:hint="default" w:ascii="Times New Roman" w:hAnsi="Times New Roman" w:eastAsia="Times New Roman" w:cs="Times New Roman"/>
                <w:color w:val="auto"/>
                <w:spacing w:val="3"/>
                <w:sz w:val="21"/>
                <w:szCs w:val="21"/>
              </w:rPr>
              <w:t>xlsx</w:t>
            </w:r>
            <w:r>
              <w:rPr>
                <w:rFonts w:hint="default" w:ascii="Times New Roman" w:hAnsi="Times New Roman" w:cs="Times New Roman"/>
                <w:color w:val="auto"/>
                <w:spacing w:val="6"/>
                <w:sz w:val="21"/>
                <w:szCs w:val="21"/>
              </w:rPr>
              <w:t xml:space="preserve">等； 数据库类的存储格式为 </w:t>
            </w:r>
            <w:r>
              <w:rPr>
                <w:rFonts w:hint="default" w:ascii="Times New Roman" w:hAnsi="Times New Roman" w:eastAsia="Times New Roman" w:cs="Times New Roman"/>
                <w:color w:val="auto"/>
                <w:spacing w:val="8"/>
                <w:sz w:val="21"/>
                <w:szCs w:val="21"/>
              </w:rPr>
              <w:t>Dm</w:t>
            </w:r>
            <w:r>
              <w:rPr>
                <w:rFonts w:hint="default" w:ascii="Times New Roman" w:hAnsi="Times New Roman" w:cs="Times New Roman"/>
                <w:color w:val="auto"/>
                <w:sz w:val="21"/>
                <w:szCs w:val="21"/>
              </w:rPr>
              <w:t>、</w:t>
            </w:r>
            <w:r>
              <w:rPr>
                <w:rFonts w:hint="default" w:ascii="Times New Roman" w:hAnsi="Times New Roman" w:eastAsia="Times New Roman" w:cs="Times New Roman"/>
                <w:color w:val="auto"/>
                <w:sz w:val="21"/>
                <w:szCs w:val="21"/>
              </w:rPr>
              <w:t>KingbaseES</w:t>
            </w:r>
            <w:r>
              <w:rPr>
                <w:rFonts w:hint="default" w:ascii="Times New Roman" w:hAnsi="Times New Roman" w:cs="Times New Roman"/>
                <w:color w:val="auto"/>
                <w:spacing w:val="-8"/>
                <w:sz w:val="21"/>
                <w:szCs w:val="21"/>
              </w:rPr>
              <w:t>、</w:t>
            </w:r>
            <w:r>
              <w:rPr>
                <w:rFonts w:hint="default" w:ascii="Times New Roman" w:hAnsi="Times New Roman" w:eastAsia="Times New Roman" w:cs="Times New Roman"/>
                <w:color w:val="auto"/>
                <w:sz w:val="21"/>
                <w:szCs w:val="21"/>
              </w:rPr>
              <w:t>access</w:t>
            </w:r>
            <w:r>
              <w:rPr>
                <w:rFonts w:hint="default" w:ascii="Times New Roman" w:hAnsi="Times New Roman" w:cs="Times New Roman"/>
                <w:color w:val="auto"/>
                <w:spacing w:val="-10"/>
                <w:sz w:val="21"/>
                <w:szCs w:val="21"/>
              </w:rPr>
              <w:t>、</w:t>
            </w:r>
            <w:r>
              <w:rPr>
                <w:rFonts w:hint="default" w:ascii="Times New Roman" w:hAnsi="Times New Roman" w:eastAsia="Times New Roman" w:cs="Times New Roman"/>
                <w:color w:val="auto"/>
                <w:sz w:val="21"/>
                <w:szCs w:val="21"/>
              </w:rPr>
              <w:t>dbf</w:t>
            </w:r>
            <w:r>
              <w:rPr>
                <w:rFonts w:hint="default" w:ascii="Times New Roman" w:hAnsi="Times New Roman" w:cs="Times New Roman"/>
                <w:color w:val="auto"/>
                <w:spacing w:val="-8"/>
                <w:sz w:val="21"/>
                <w:szCs w:val="21"/>
              </w:rPr>
              <w:t>、</w:t>
            </w:r>
            <w:r>
              <w:rPr>
                <w:rFonts w:hint="default" w:ascii="Times New Roman" w:hAnsi="Times New Roman" w:eastAsia="Times New Roman" w:cs="Times New Roman"/>
                <w:color w:val="auto"/>
                <w:sz w:val="21"/>
                <w:szCs w:val="21"/>
              </w:rPr>
              <w:t>dbase</w:t>
            </w:r>
            <w:r>
              <w:rPr>
                <w:rFonts w:hint="default" w:ascii="Times New Roman" w:hAnsi="Times New Roman" w:cs="Times New Roman"/>
                <w:color w:val="auto"/>
                <w:spacing w:val="-8"/>
                <w:sz w:val="21"/>
                <w:szCs w:val="21"/>
              </w:rPr>
              <w:t>、</w:t>
            </w:r>
            <w:r>
              <w:rPr>
                <w:rFonts w:hint="default" w:ascii="Times New Roman" w:hAnsi="Times New Roman" w:eastAsia="Times New Roman" w:cs="Times New Roman"/>
                <w:color w:val="auto"/>
                <w:sz w:val="21"/>
                <w:szCs w:val="21"/>
              </w:rPr>
              <w:t>sysbase</w:t>
            </w:r>
            <w:r>
              <w:rPr>
                <w:rFonts w:hint="default" w:ascii="Times New Roman" w:hAnsi="Times New Roman" w:cs="Times New Roman"/>
                <w:color w:val="auto"/>
                <w:spacing w:val="-8"/>
                <w:sz w:val="21"/>
                <w:szCs w:val="21"/>
              </w:rPr>
              <w:t>、</w:t>
            </w:r>
            <w:r>
              <w:rPr>
                <w:rFonts w:hint="default" w:ascii="Times New Roman" w:hAnsi="Times New Roman" w:eastAsia="Times New Roman" w:cs="Times New Roman"/>
                <w:color w:val="auto"/>
                <w:sz w:val="21"/>
                <w:szCs w:val="21"/>
              </w:rPr>
              <w:t>oracle</w:t>
            </w:r>
            <w:r>
              <w:rPr>
                <w:rFonts w:hint="default" w:ascii="Times New Roman" w:hAnsi="Times New Roman" w:cs="Times New Roman"/>
                <w:color w:val="auto"/>
                <w:spacing w:val="-10"/>
                <w:sz w:val="21"/>
                <w:szCs w:val="21"/>
              </w:rPr>
              <w:t>、</w:t>
            </w:r>
            <w:r>
              <w:rPr>
                <w:rFonts w:hint="default" w:ascii="Times New Roman" w:hAnsi="Times New Roman" w:eastAsia="Times New Roman" w:cs="Times New Roman"/>
                <w:color w:val="auto"/>
                <w:sz w:val="21"/>
                <w:szCs w:val="21"/>
              </w:rPr>
              <w:t>sql</w:t>
            </w:r>
            <w:r>
              <w:rPr>
                <w:rFonts w:hint="default" w:ascii="Times New Roman" w:hAnsi="Times New Roman" w:eastAsia="Times New Roman" w:cs="Times New Roman"/>
                <w:color w:val="auto"/>
                <w:spacing w:val="-2"/>
                <w:sz w:val="21"/>
                <w:szCs w:val="21"/>
              </w:rPr>
              <w:t xml:space="preserve"> </w:t>
            </w:r>
            <w:r>
              <w:rPr>
                <w:rFonts w:hint="default" w:ascii="Times New Roman" w:hAnsi="Times New Roman" w:eastAsia="Times New Roman" w:cs="Times New Roman"/>
                <w:color w:val="auto"/>
                <w:sz w:val="21"/>
                <w:szCs w:val="21"/>
              </w:rPr>
              <w:t>server</w:t>
            </w:r>
            <w:r>
              <w:rPr>
                <w:rFonts w:hint="default" w:ascii="Times New Roman" w:hAnsi="Times New Roman" w:cs="Times New Roman"/>
                <w:color w:val="auto"/>
                <w:spacing w:val="-8"/>
                <w:sz w:val="21"/>
                <w:szCs w:val="21"/>
              </w:rPr>
              <w:t>、</w:t>
            </w:r>
            <w:r>
              <w:rPr>
                <w:rFonts w:hint="default" w:ascii="Times New Roman" w:hAnsi="Times New Roman" w:eastAsia="Times New Roman" w:cs="Times New Roman"/>
                <w:color w:val="auto"/>
                <w:sz w:val="21"/>
                <w:szCs w:val="21"/>
              </w:rPr>
              <w:t>db2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mysql、</w:t>
            </w:r>
            <w:r>
              <w:rPr>
                <w:rFonts w:hint="default" w:ascii="Times New Roman" w:hAnsi="Times New Roman" w:eastAsia="宋体" w:cs="Times New Roman"/>
                <w:color w:val="auto"/>
                <w:sz w:val="21"/>
                <w:szCs w:val="21"/>
              </w:rPr>
              <w:t>PostgreSQL</w:t>
            </w:r>
            <w:r>
              <w:rPr>
                <w:rFonts w:hint="default" w:ascii="Times New Roman" w:hAnsi="Times New Roman" w:cs="Times New Roman"/>
                <w:color w:val="auto"/>
                <w:spacing w:val="-3"/>
                <w:sz w:val="21"/>
                <w:szCs w:val="21"/>
              </w:rPr>
              <w:t>等，同时应明确</w:t>
            </w:r>
            <w:r>
              <w:rPr>
                <w:rFonts w:hint="default" w:ascii="Times New Roman" w:hAnsi="Times New Roman" w:cs="Times New Roman"/>
                <w:color w:val="auto"/>
                <w:spacing w:val="-5"/>
                <w:sz w:val="21"/>
                <w:szCs w:val="21"/>
              </w:rPr>
              <w:t>具体的数据库表结构定义</w:t>
            </w:r>
            <w:r>
              <w:rPr>
                <w:rFonts w:hint="default" w:ascii="Times New Roman" w:hAnsi="Times New Roman" w:cs="Times New Roman"/>
                <w:color w:val="auto"/>
                <w:sz w:val="21"/>
                <w:szCs w:val="21"/>
              </w:rPr>
              <w:t>（</w:t>
            </w:r>
            <w:r>
              <w:rPr>
                <w:rFonts w:hint="default" w:ascii="Times New Roman" w:hAnsi="Times New Roman" w:cs="Times New Roman"/>
                <w:color w:val="auto"/>
                <w:spacing w:val="-5"/>
                <w:sz w:val="21"/>
                <w:szCs w:val="21"/>
              </w:rPr>
              <w:t>可细化至</w:t>
            </w:r>
            <w:r>
              <w:rPr>
                <w:rFonts w:hint="eastAsia" w:ascii="Times New Roman" w:hAnsi="Times New Roman" w:cs="Times New Roman"/>
                <w:color w:val="auto"/>
                <w:spacing w:val="-5"/>
                <w:sz w:val="21"/>
                <w:szCs w:val="21"/>
                <w:lang w:eastAsia="zh-CN"/>
              </w:rPr>
              <w:t>“</w:t>
            </w:r>
            <w:r>
              <w:rPr>
                <w:rFonts w:hint="default" w:ascii="Times New Roman" w:hAnsi="Times New Roman" w:cs="Times New Roman"/>
                <w:color w:val="auto"/>
                <w:spacing w:val="-5"/>
                <w:sz w:val="21"/>
                <w:szCs w:val="21"/>
              </w:rPr>
              <w:t>数据项描述</w:t>
            </w:r>
            <w:r>
              <w:rPr>
                <w:rFonts w:hint="eastAsia" w:ascii="Times New Roman" w:hAnsi="Times New Roman" w:cs="Times New Roman"/>
                <w:color w:val="auto"/>
                <w:spacing w:val="-5"/>
                <w:sz w:val="21"/>
                <w:szCs w:val="21"/>
                <w:lang w:eastAsia="zh-CN"/>
              </w:rPr>
              <w:t>”</w:t>
            </w:r>
            <w:r>
              <w:rPr>
                <w:rFonts w:hint="default" w:ascii="Times New Roman" w:hAnsi="Times New Roman" w:cs="Times New Roman"/>
                <w:color w:val="auto"/>
                <w:spacing w:val="-5"/>
                <w:sz w:val="21"/>
                <w:szCs w:val="21"/>
              </w:rPr>
              <w:t>元数据中</w:t>
            </w:r>
            <w:r>
              <w:rPr>
                <w:rFonts w:hint="default" w:ascii="Times New Roman" w:hAnsi="Times New Roman" w:cs="Times New Roman"/>
                <w:color w:val="auto"/>
                <w:spacing w:val="-16"/>
                <w:sz w:val="21"/>
                <w:szCs w:val="21"/>
              </w:rPr>
              <w:t>）</w:t>
            </w:r>
            <w:r>
              <w:rPr>
                <w:rFonts w:hint="default" w:ascii="Times New Roman" w:hAnsi="Times New Roman" w:cs="Times New Roman"/>
                <w:color w:val="auto"/>
                <w:spacing w:val="-4"/>
                <w:sz w:val="21"/>
                <w:szCs w:val="21"/>
              </w:rPr>
              <w:t>；图形图像类的存</w:t>
            </w:r>
            <w:r>
              <w:rPr>
                <w:rFonts w:hint="default" w:ascii="Times New Roman" w:hAnsi="Times New Roman" w:cs="Times New Roman"/>
                <w:color w:val="auto"/>
                <w:spacing w:val="-1"/>
                <w:sz w:val="21"/>
                <w:szCs w:val="21"/>
              </w:rPr>
              <w:t>储格式为</w:t>
            </w:r>
            <w:r>
              <w:rPr>
                <w:rFonts w:hint="default" w:ascii="Times New Roman" w:hAnsi="Times New Roman" w:eastAsia="Times New Roman" w:cs="Times New Roman"/>
                <w:color w:val="auto"/>
                <w:sz w:val="21"/>
                <w:szCs w:val="21"/>
              </w:rPr>
              <w:t>jpg</w:t>
            </w:r>
            <w:r>
              <w:rPr>
                <w:rFonts w:hint="default" w:ascii="Times New Roman" w:hAnsi="Times New Roman" w:cs="Times New Roman"/>
                <w:color w:val="auto"/>
                <w:spacing w:val="-15"/>
                <w:sz w:val="21"/>
                <w:szCs w:val="21"/>
              </w:rPr>
              <w:t>、</w:t>
            </w:r>
            <w:r>
              <w:rPr>
                <w:rFonts w:hint="default" w:ascii="Times New Roman" w:hAnsi="Times New Roman" w:cs="Times New Roman"/>
                <w:color w:val="auto"/>
                <w:spacing w:val="-15"/>
                <w:sz w:val="21"/>
                <w:szCs w:val="21"/>
                <w:lang w:val="en-US" w:eastAsia="zh-CN"/>
              </w:rPr>
              <w:t>png</w:t>
            </w:r>
            <w:r>
              <w:rPr>
                <w:rFonts w:hint="default" w:ascii="Times New Roman" w:hAnsi="Times New Roman" w:cs="Times New Roman"/>
                <w:color w:val="auto"/>
                <w:spacing w:val="-15"/>
                <w:sz w:val="21"/>
                <w:szCs w:val="21"/>
                <w:lang w:eastAsia="zh-CN"/>
              </w:rPr>
              <w:t>、</w:t>
            </w:r>
            <w:r>
              <w:rPr>
                <w:rFonts w:hint="default" w:ascii="Times New Roman" w:hAnsi="Times New Roman" w:cs="Times New Roman"/>
                <w:color w:val="auto"/>
                <w:spacing w:val="-15"/>
                <w:sz w:val="21"/>
                <w:szCs w:val="21"/>
                <w:lang w:val="en-US" w:eastAsia="zh-CN"/>
              </w:rPr>
              <w:t>jpeg、</w:t>
            </w:r>
            <w:r>
              <w:rPr>
                <w:rFonts w:hint="default" w:ascii="Times New Roman" w:hAnsi="Times New Roman" w:eastAsia="Times New Roman" w:cs="Times New Roman"/>
                <w:color w:val="auto"/>
                <w:sz w:val="21"/>
                <w:szCs w:val="21"/>
              </w:rPr>
              <w:t>gif</w:t>
            </w:r>
            <w:r>
              <w:rPr>
                <w:rFonts w:hint="default" w:ascii="Times New Roman" w:hAnsi="Times New Roman" w:cs="Times New Roman"/>
                <w:color w:val="auto"/>
                <w:spacing w:val="-12"/>
                <w:sz w:val="21"/>
                <w:szCs w:val="21"/>
              </w:rPr>
              <w:t>、</w:t>
            </w:r>
            <w:r>
              <w:rPr>
                <w:rFonts w:hint="default" w:ascii="Times New Roman" w:hAnsi="Times New Roman" w:eastAsia="Times New Roman" w:cs="Times New Roman"/>
                <w:color w:val="auto"/>
                <w:sz w:val="21"/>
                <w:szCs w:val="21"/>
              </w:rPr>
              <w:t>bmp</w:t>
            </w:r>
            <w:r>
              <w:rPr>
                <w:rFonts w:hint="default" w:ascii="Times New Roman" w:hAnsi="Times New Roman" w:cs="Times New Roman"/>
                <w:color w:val="auto"/>
                <w:spacing w:val="-3"/>
                <w:sz w:val="21"/>
                <w:szCs w:val="21"/>
              </w:rPr>
              <w:t>等；流媒体类的存储格式为</w:t>
            </w:r>
            <w:r>
              <w:rPr>
                <w:rFonts w:hint="default" w:ascii="Times New Roman" w:hAnsi="Times New Roman" w:eastAsia="Times New Roman" w:cs="Times New Roman"/>
                <w:color w:val="auto"/>
                <w:sz w:val="21"/>
                <w:szCs w:val="21"/>
              </w:rPr>
              <w:t>swf</w:t>
            </w:r>
            <w:r>
              <w:rPr>
                <w:rFonts w:hint="default" w:ascii="Times New Roman" w:hAnsi="Times New Roman" w:cs="Times New Roman"/>
                <w:color w:val="auto"/>
                <w:spacing w:val="-15"/>
                <w:sz w:val="21"/>
                <w:szCs w:val="21"/>
              </w:rPr>
              <w:t>、</w:t>
            </w:r>
            <w:r>
              <w:rPr>
                <w:rFonts w:hint="default" w:ascii="Times New Roman" w:hAnsi="Times New Roman" w:eastAsia="Times New Roman" w:cs="Times New Roman"/>
                <w:color w:val="auto"/>
                <w:sz w:val="21"/>
                <w:szCs w:val="21"/>
              </w:rPr>
              <w:t>rm</w:t>
            </w:r>
            <w:r>
              <w:rPr>
                <w:rFonts w:hint="default" w:ascii="Times New Roman" w:hAnsi="Times New Roman" w:cs="Times New Roman"/>
                <w:color w:val="auto"/>
                <w:spacing w:val="-12"/>
                <w:sz w:val="21"/>
                <w:szCs w:val="21"/>
              </w:rPr>
              <w:t>、</w:t>
            </w:r>
            <w:r>
              <w:rPr>
                <w:rFonts w:hint="default" w:ascii="Times New Roman" w:hAnsi="Times New Roman" w:eastAsia="Times New Roman" w:cs="Times New Roman"/>
                <w:color w:val="auto"/>
                <w:sz w:val="21"/>
                <w:szCs w:val="21"/>
              </w:rPr>
              <w:t>mpg</w:t>
            </w:r>
            <w:r>
              <w:rPr>
                <w:rFonts w:hint="default" w:ascii="Times New Roman" w:hAnsi="Times New Roman" w:cs="Times New Roman"/>
                <w:color w:val="auto"/>
                <w:spacing w:val="-3"/>
                <w:sz w:val="21"/>
                <w:szCs w:val="21"/>
              </w:rPr>
              <w:t>等；自描述格式，</w:t>
            </w:r>
            <w:r>
              <w:rPr>
                <w:rFonts w:hint="default" w:ascii="Times New Roman" w:hAnsi="Times New Roman" w:cs="Times New Roman"/>
                <w:color w:val="auto"/>
                <w:spacing w:val="-7"/>
                <w:sz w:val="21"/>
                <w:szCs w:val="21"/>
              </w:rPr>
              <w:t>由提供方提出其特殊行业领域的通用格式，如气象部门采用的</w:t>
            </w:r>
            <w:r>
              <w:rPr>
                <w:rFonts w:hint="eastAsia" w:ascii="Times New Roman" w:hAnsi="Times New Roman" w:cs="Times New Roman"/>
                <w:color w:val="auto"/>
                <w:spacing w:val="-7"/>
                <w:sz w:val="21"/>
                <w:szCs w:val="21"/>
                <w:lang w:eastAsia="zh-CN"/>
              </w:rPr>
              <w:t>“</w:t>
            </w:r>
            <w:r>
              <w:rPr>
                <w:rFonts w:hint="default" w:ascii="Times New Roman" w:hAnsi="Times New Roman" w:cs="Times New Roman"/>
                <w:color w:val="auto"/>
                <w:spacing w:val="-7"/>
                <w:sz w:val="21"/>
                <w:szCs w:val="21"/>
              </w:rPr>
              <w:t>表格驱动码</w:t>
            </w:r>
            <w:r>
              <w:rPr>
                <w:rFonts w:hint="eastAsia" w:ascii="Times New Roman" w:hAnsi="Times New Roman" w:cs="Times New Roman"/>
                <w:color w:val="auto"/>
                <w:spacing w:val="-7"/>
                <w:sz w:val="21"/>
                <w:szCs w:val="21"/>
                <w:lang w:eastAsia="zh-CN"/>
              </w:rPr>
              <w:t>”</w:t>
            </w:r>
            <w:r>
              <w:rPr>
                <w:rFonts w:hint="default" w:ascii="Times New Roman" w:hAnsi="Times New Roman" w:cs="Times New Roman"/>
                <w:color w:val="auto"/>
                <w:spacing w:val="-7"/>
                <w:sz w:val="21"/>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；按定义的多种格式选择确定。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6.数据所属领域</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说明公共数据所属领域分类的信息。包括科技创新、商贸流通、社会救助、城建住房、教育文化、工业农业、机构团体、地理空间、资源能源、市场监管、生活服务、生态环境、交通运输、安全生产、社保就业、医疗卫生、信用服务、公共安全、财税金融、气象服务、法律服务、疫情防控、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；按定义的数据所属领域分类进行选择确定。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7.所属应用</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公共数据所在的数字化应用名称。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；若该公共数据无数字化应用管理产生，应填</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无</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8.数据敏感级别</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shd w:val="clear" w:color="auto" w:fill="auto"/>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描述结构化数据内容的敏感程度，包括1级（公开数据）、2级（受限数据）、3级（敏感数据）。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；按定义的数据敏感级别进行选择。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9.更新频率</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标明公共数据归集的频率，包括分钟级、小时级、每日、每周、每月、每季度、每半年、每年、不定期等。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r>
              <w:rPr>
                <w:rFonts w:hint="default" w:ascii="Times New Roman" w:hAnsi="Times New Roman" w:cs="Times New Roman"/>
                <w:color w:val="auto"/>
                <w:sz w:val="21"/>
                <w:szCs w:val="21"/>
                <w:lang w:val="en-US" w:eastAsia="zh-CN"/>
              </w:rPr>
              <w:t>发布</w:t>
            </w:r>
            <w:r>
              <w:rPr>
                <w:rFonts w:hint="default" w:ascii="Times New Roman" w:hAnsi="Times New Roman" w:cs="Times New Roman"/>
                <w:color w:val="auto"/>
                <w:sz w:val="21"/>
                <w:szCs w:val="21"/>
              </w:rPr>
              <w:t>时间</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数据资源提供方发布该数据目录的时间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cs="Times New Roman"/>
                <w:color w:val="auto"/>
                <w:sz w:val="21"/>
                <w:szCs w:val="21"/>
              </w:rPr>
              <w:t>日期型，格式为</w:t>
            </w:r>
            <w:r>
              <w:rPr>
                <w:rFonts w:hint="default" w:ascii="Times New Roman" w:hAnsi="Times New Roman" w:cs="Times New Roman"/>
                <w:color w:val="auto"/>
                <w:sz w:val="21"/>
                <w:szCs w:val="21"/>
                <w:lang w:val="en-US" w:eastAsia="zh-CN"/>
              </w:rPr>
              <w:t>YY</w:t>
            </w:r>
            <w:r>
              <w:rPr>
                <w:rFonts w:hint="default" w:ascii="Times New Roman" w:hAnsi="Times New Roman" w:cs="Times New Roman"/>
                <w:color w:val="auto"/>
                <w:sz w:val="21"/>
                <w:szCs w:val="21"/>
              </w:rPr>
              <w:t>YY-MM-DD</w:t>
            </w:r>
            <w:r>
              <w:rPr>
                <w:rFonts w:hint="default" w:ascii="Times New Roman" w:hAnsi="Times New Roman" w:cs="Times New Roman"/>
                <w:color w:val="auto"/>
                <w:sz w:val="21"/>
                <w:szCs w:val="21"/>
                <w:lang w:val="en-US" w:eastAsia="zh-CN"/>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系统生成。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11.修改时间</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数源单位最新修改该数据目录的</w:t>
            </w:r>
            <w:r>
              <w:rPr>
                <w:rFonts w:hint="default" w:ascii="Times New Roman" w:hAnsi="Times New Roman" w:cs="Times New Roman"/>
                <w:color w:val="auto"/>
                <w:sz w:val="21"/>
                <w:szCs w:val="21"/>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日期型，格式为</w:t>
            </w:r>
            <w:r>
              <w:rPr>
                <w:rFonts w:hint="default" w:ascii="Times New Roman" w:hAnsi="Times New Roman" w:cs="Times New Roman"/>
                <w:color w:val="auto"/>
                <w:sz w:val="21"/>
                <w:szCs w:val="21"/>
                <w:lang w:val="en-US" w:eastAsia="zh-CN"/>
              </w:rPr>
              <w:t>YY</w:t>
            </w:r>
            <w:r>
              <w:rPr>
                <w:rFonts w:hint="default" w:ascii="Times New Roman" w:hAnsi="Times New Roman" w:cs="Times New Roman"/>
                <w:color w:val="auto"/>
                <w:sz w:val="21"/>
                <w:szCs w:val="21"/>
              </w:rPr>
              <w:t>YY-MM-DD</w:t>
            </w:r>
            <w:r>
              <w:rPr>
                <w:rFonts w:hint="default" w:ascii="Times New Roman" w:hAnsi="Times New Roman" w:cs="Times New Roman"/>
                <w:color w:val="auto"/>
                <w:sz w:val="21"/>
                <w:szCs w:val="21"/>
                <w:lang w:val="en-US" w:eastAsia="zh-CN"/>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2078" w:type="dxa"/>
            <w:gridSpan w:val="2"/>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系统生成。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12.数据项描述</w:t>
            </w: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12.1 数据项名称</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描述结构化数据中具体数据项的标题。适用于格式为数据库、电子表格类等的公共数据。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必选项</w:t>
            </w:r>
            <w:r>
              <w:rPr>
                <w:rFonts w:hint="default" w:ascii="Times New Roman" w:hAnsi="Times New Roman" w:cs="Times New Roman"/>
                <w:color w:val="auto"/>
                <w:spacing w:val="-8"/>
                <w:sz w:val="21"/>
                <w:szCs w:val="21"/>
                <w:lang w:eastAsia="zh-CN"/>
              </w:rPr>
              <w:t>，</w:t>
            </w:r>
            <w:r>
              <w:rPr>
                <w:rFonts w:hint="default" w:ascii="Times New Roman" w:hAnsi="Times New Roman" w:cs="Times New Roman"/>
                <w:color w:val="auto"/>
                <w:spacing w:val="-8"/>
                <w:sz w:val="21"/>
                <w:szCs w:val="21"/>
                <w:lang w:val="en-US" w:eastAsia="zh-CN"/>
              </w:rPr>
              <w:t>手工填报</w:t>
            </w:r>
            <w:r>
              <w:rPr>
                <w:rFonts w:hint="default" w:ascii="Times New Roman" w:hAnsi="Times New Roman" w:cs="Times New Roman"/>
                <w:color w:val="auto"/>
                <w:spacing w:val="-8"/>
                <w:sz w:val="21"/>
                <w:szCs w:val="21"/>
              </w:rPr>
              <w:t>；描述电子表格、数据库，以及具有结构化数据内容资源中的各数据项</w:t>
            </w:r>
            <w:r>
              <w:rPr>
                <w:rFonts w:hint="default" w:ascii="Times New Roman" w:hAnsi="Times New Roman" w:cs="Times New Roman"/>
                <w:color w:val="auto"/>
                <w:spacing w:val="-3"/>
                <w:sz w:val="21"/>
                <w:szCs w:val="21"/>
              </w:rPr>
              <w:t>（</w:t>
            </w:r>
            <w:r>
              <w:rPr>
                <w:rFonts w:hint="default" w:ascii="Times New Roman" w:hAnsi="Times New Roman" w:cs="Times New Roman"/>
                <w:color w:val="auto"/>
                <w:sz w:val="21"/>
                <w:szCs w:val="21"/>
              </w:rPr>
              <w:t>字段</w:t>
            </w:r>
            <w:r>
              <w:rPr>
                <w:rFonts w:hint="default" w:ascii="Times New Roman" w:hAnsi="Times New Roman" w:cs="Times New Roman"/>
                <w:color w:val="auto"/>
                <w:spacing w:val="-20"/>
                <w:sz w:val="21"/>
                <w:szCs w:val="21"/>
              </w:rPr>
              <w:t>）</w:t>
            </w:r>
            <w:r>
              <w:rPr>
                <w:rFonts w:hint="default" w:ascii="Times New Roman" w:hAnsi="Times New Roman" w:cs="Times New Roman"/>
                <w:color w:val="auto"/>
                <w:spacing w:val="-7"/>
                <w:sz w:val="21"/>
                <w:szCs w:val="21"/>
              </w:rPr>
              <w:t>标题，采用中文表示，一般较为常用的像</w:t>
            </w:r>
            <w:r>
              <w:rPr>
                <w:rFonts w:hint="default" w:ascii="Times New Roman" w:hAnsi="Times New Roman" w:cs="Times New Roman"/>
                <w:color w:val="auto"/>
                <w:sz w:val="21"/>
                <w:szCs w:val="21"/>
              </w:rPr>
              <w:t>ID</w:t>
            </w:r>
            <w:r>
              <w:rPr>
                <w:rFonts w:hint="default" w:ascii="Times New Roman" w:hAnsi="Times New Roman" w:cs="Times New Roman"/>
                <w:color w:val="auto"/>
                <w:spacing w:val="-20"/>
                <w:sz w:val="21"/>
                <w:szCs w:val="21"/>
              </w:rPr>
              <w:t>、</w:t>
            </w:r>
            <w:r>
              <w:rPr>
                <w:rFonts w:hint="default" w:ascii="Times New Roman" w:hAnsi="Times New Roman" w:cs="Times New Roman"/>
                <w:color w:val="auto"/>
                <w:sz w:val="21"/>
                <w:szCs w:val="21"/>
              </w:rPr>
              <w:t>IP这样的英文专有名词可采用英</w:t>
            </w:r>
            <w:r>
              <w:rPr>
                <w:rFonts w:hint="default" w:ascii="Times New Roman" w:hAnsi="Times New Roman" w:cs="Times New Roman"/>
                <w:color w:val="auto"/>
                <w:spacing w:val="-1"/>
                <w:sz w:val="21"/>
                <w:szCs w:val="21"/>
              </w:rPr>
              <w:t>文表达，英文字母应使用大写，其他情况下不应出现英文表达（英文非必填项）。名称应简洁明了</w:t>
            </w:r>
            <w:r>
              <w:rPr>
                <w:rFonts w:hint="default" w:ascii="Times New Roman" w:hAnsi="Times New Roman" w:cs="Times New Roman"/>
                <w:color w:val="auto"/>
                <w:spacing w:val="-9"/>
                <w:sz w:val="21"/>
                <w:szCs w:val="21"/>
              </w:rPr>
              <w:t>，数据项中涉及的字典项或特殊说明可在字段描述中进行描述。根据数据属性，关键数据项不应缺失，如涉及人员的信息应提供相对应的证件</w:t>
            </w:r>
            <w:r>
              <w:rPr>
                <w:rFonts w:hint="default" w:ascii="Times New Roman" w:hAnsi="Times New Roman" w:cs="Times New Roman"/>
                <w:color w:val="auto"/>
                <w:sz w:val="21"/>
                <w:szCs w:val="21"/>
              </w:rPr>
              <w:t>类型、身份证据号码等数据项；涉及法人主体的信息应提供相对应的统一社会信用代码、企业名称等数据项；涉及电子证照数据应按照国家证照目录规范要求提供相应数据项；全市范围的数据，应有地区字段。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12.2 数据类型</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标明该数据项的数据类型，包括：字符型</w:t>
            </w:r>
            <w:r>
              <w:rPr>
                <w:rFonts w:hint="default" w:ascii="Times New Roman" w:hAnsi="Times New Roman" w:eastAsia="Times New Roman" w:cs="Times New Roman"/>
                <w:color w:val="auto"/>
                <w:sz w:val="21"/>
                <w:szCs w:val="21"/>
              </w:rPr>
              <w:t>C</w:t>
            </w:r>
            <w:r>
              <w:rPr>
                <w:rFonts w:hint="default" w:ascii="Times New Roman" w:hAnsi="Times New Roman" w:cs="Times New Roman"/>
                <w:color w:val="auto"/>
                <w:sz w:val="21"/>
                <w:szCs w:val="21"/>
              </w:rPr>
              <w:t>、数值型</w:t>
            </w:r>
            <w:r>
              <w:rPr>
                <w:rFonts w:hint="default" w:ascii="Times New Roman" w:hAnsi="Times New Roman" w:eastAsia="Times New Roman" w:cs="Times New Roman"/>
                <w:color w:val="auto"/>
                <w:sz w:val="21"/>
                <w:szCs w:val="21"/>
              </w:rPr>
              <w:t>N</w:t>
            </w:r>
            <w:r>
              <w:rPr>
                <w:rFonts w:hint="default" w:ascii="Times New Roman" w:hAnsi="Times New Roman" w:cs="Times New Roman"/>
                <w:color w:val="auto"/>
                <w:sz w:val="21"/>
                <w:szCs w:val="21"/>
              </w:rPr>
              <w:t>、货币型</w:t>
            </w:r>
            <w:r>
              <w:rPr>
                <w:rFonts w:hint="default" w:ascii="Times New Roman" w:hAnsi="Times New Roman" w:eastAsia="Times New Roman" w:cs="Times New Roman"/>
                <w:color w:val="auto"/>
                <w:sz w:val="21"/>
                <w:szCs w:val="21"/>
              </w:rPr>
              <w:t>Y</w:t>
            </w:r>
            <w:r>
              <w:rPr>
                <w:rFonts w:hint="default" w:ascii="Times New Roman" w:hAnsi="Times New Roman" w:cs="Times New Roman"/>
                <w:color w:val="auto"/>
                <w:sz w:val="21"/>
                <w:szCs w:val="21"/>
              </w:rPr>
              <w:t>、日期型</w:t>
            </w:r>
            <w:r>
              <w:rPr>
                <w:rFonts w:hint="default" w:ascii="Times New Roman" w:hAnsi="Times New Roman" w:eastAsia="Times New Roman" w:cs="Times New Roman"/>
                <w:color w:val="auto"/>
                <w:sz w:val="21"/>
                <w:szCs w:val="21"/>
              </w:rPr>
              <w:t>D</w:t>
            </w:r>
            <w:r>
              <w:rPr>
                <w:rFonts w:hint="default" w:ascii="Times New Roman" w:hAnsi="Times New Roman" w:cs="Times New Roman"/>
                <w:color w:val="auto"/>
                <w:sz w:val="21"/>
                <w:szCs w:val="21"/>
              </w:rPr>
              <w:t>、日期时间型</w:t>
            </w:r>
            <w:r>
              <w:rPr>
                <w:rFonts w:hint="default" w:ascii="Times New Roman" w:hAnsi="Times New Roman" w:eastAsia="Times New Roman" w:cs="Times New Roman"/>
                <w:color w:val="auto"/>
                <w:sz w:val="21"/>
                <w:szCs w:val="21"/>
              </w:rPr>
              <w:t>T</w:t>
            </w:r>
            <w:r>
              <w:rPr>
                <w:rFonts w:hint="default" w:ascii="Times New Roman" w:hAnsi="Times New Roman" w:cs="Times New Roman"/>
                <w:color w:val="auto"/>
                <w:sz w:val="21"/>
                <w:szCs w:val="21"/>
              </w:rPr>
              <w:t>、逻辑型</w:t>
            </w:r>
            <w:r>
              <w:rPr>
                <w:rFonts w:hint="default" w:ascii="Times New Roman" w:hAnsi="Times New Roman" w:eastAsia="Times New Roman" w:cs="Times New Roman"/>
                <w:color w:val="auto"/>
                <w:sz w:val="21"/>
                <w:szCs w:val="21"/>
              </w:rPr>
              <w:t>L</w:t>
            </w:r>
            <w:r>
              <w:rPr>
                <w:rFonts w:hint="default" w:ascii="Times New Roman" w:hAnsi="Times New Roman" w:cs="Times New Roman"/>
                <w:color w:val="auto"/>
                <w:sz w:val="21"/>
                <w:szCs w:val="21"/>
              </w:rPr>
              <w:t>、备注型</w:t>
            </w:r>
            <w:r>
              <w:rPr>
                <w:rFonts w:hint="default" w:ascii="Times New Roman" w:hAnsi="Times New Roman" w:eastAsia="Times New Roman" w:cs="Times New Roman"/>
                <w:color w:val="auto"/>
                <w:sz w:val="21"/>
                <w:szCs w:val="21"/>
              </w:rPr>
              <w:t>M</w:t>
            </w:r>
            <w:r>
              <w:rPr>
                <w:rFonts w:hint="default" w:ascii="Times New Roman" w:hAnsi="Times New Roman" w:cs="Times New Roman"/>
                <w:color w:val="auto"/>
                <w:sz w:val="21"/>
                <w:szCs w:val="21"/>
              </w:rPr>
              <w:t>、通用型</w:t>
            </w:r>
            <w:r>
              <w:rPr>
                <w:rFonts w:hint="default" w:ascii="Times New Roman" w:hAnsi="Times New Roman" w:eastAsia="Times New Roman" w:cs="Times New Roman"/>
                <w:color w:val="auto"/>
                <w:sz w:val="21"/>
                <w:szCs w:val="21"/>
              </w:rPr>
              <w:t>G</w:t>
            </w:r>
            <w:r>
              <w:rPr>
                <w:rFonts w:hint="default" w:ascii="Times New Roman" w:hAnsi="Times New Roman" w:cs="Times New Roman"/>
                <w:color w:val="auto"/>
                <w:sz w:val="21"/>
                <w:szCs w:val="21"/>
              </w:rPr>
              <w:t>、双精度型</w:t>
            </w:r>
            <w:r>
              <w:rPr>
                <w:rFonts w:hint="default" w:ascii="Times New Roman" w:hAnsi="Times New Roman" w:eastAsia="Times New Roman" w:cs="Times New Roman"/>
                <w:color w:val="auto"/>
                <w:sz w:val="21"/>
                <w:szCs w:val="21"/>
              </w:rPr>
              <w:t>B</w:t>
            </w:r>
            <w:r>
              <w:rPr>
                <w:rFonts w:hint="default" w:ascii="Times New Roman" w:hAnsi="Times New Roman" w:cs="Times New Roman"/>
                <w:color w:val="auto"/>
                <w:sz w:val="21"/>
                <w:szCs w:val="21"/>
              </w:rPr>
              <w:t>、整型</w:t>
            </w:r>
            <w:r>
              <w:rPr>
                <w:rFonts w:hint="default" w:ascii="Times New Roman" w:hAnsi="Times New Roman" w:eastAsia="Times New Roman" w:cs="Times New Roman"/>
                <w:color w:val="auto"/>
                <w:sz w:val="21"/>
                <w:szCs w:val="21"/>
              </w:rPr>
              <w:t>I</w:t>
            </w:r>
            <w:r>
              <w:rPr>
                <w:rFonts w:hint="default" w:ascii="Times New Roman" w:hAnsi="Times New Roman" w:cs="Times New Roman"/>
                <w:color w:val="auto"/>
                <w:sz w:val="21"/>
                <w:szCs w:val="21"/>
              </w:rPr>
              <w:t>、浮点型</w:t>
            </w:r>
            <w:r>
              <w:rPr>
                <w:rFonts w:hint="default" w:ascii="Times New Roman" w:hAnsi="Times New Roman" w:eastAsia="Times New Roman" w:cs="Times New Roman"/>
                <w:color w:val="auto"/>
                <w:sz w:val="21"/>
                <w:szCs w:val="21"/>
              </w:rPr>
              <w:t>F</w:t>
            </w:r>
            <w:r>
              <w:rPr>
                <w:rFonts w:hint="default" w:ascii="Times New Roman" w:hAnsi="Times New Roman" w:cs="Times New Roman"/>
                <w:color w:val="auto"/>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；对应</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数据项名称</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逐一描述其数据类型。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12.3 数据长度</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标明该数据项在计算机中存储时占用的字节数，适用于结构化数据</w:t>
            </w:r>
            <w:r>
              <w:rPr>
                <w:rFonts w:hint="default" w:ascii="Times New Roman" w:hAnsi="Times New Roman" w:cs="Times New Roman"/>
                <w:color w:val="auto"/>
                <w:sz w:val="21"/>
                <w:szCs w:val="21"/>
              </w:rPr>
              <w:t>（数据库类、电子表格类</w:t>
            </w:r>
            <w:r>
              <w:rPr>
                <w:rFonts w:hint="default" w:ascii="Times New Roman" w:hAnsi="Times New Roman" w:cs="Times New Roman"/>
                <w:color w:val="auto"/>
                <w:spacing w:val="-27"/>
                <w:sz w:val="21"/>
                <w:szCs w:val="21"/>
              </w:rPr>
              <w:t>）</w:t>
            </w:r>
            <w:r>
              <w:rPr>
                <w:rFonts w:hint="default" w:ascii="Times New Roman" w:hAnsi="Times New Roman" w:cs="Times New Roman"/>
                <w:color w:val="auto"/>
                <w:spacing w:val="-9"/>
                <w:sz w:val="21"/>
                <w:szCs w:val="21"/>
              </w:rPr>
              <w:t>。属于数据库类的，数据长度即该数据项对应的字段在数据库中的指定</w:t>
            </w:r>
            <w:r>
              <w:rPr>
                <w:rFonts w:hint="default" w:ascii="Times New Roman" w:hAnsi="Times New Roman" w:cs="Times New Roman"/>
                <w:color w:val="auto"/>
                <w:sz w:val="21"/>
                <w:szCs w:val="21"/>
              </w:rPr>
              <w:t>长度或默认长度；属于电子表格类的，估算该数据项内容字数的上限，并折算成字节数，该字节数即为数据长度。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手工填报</w:t>
            </w:r>
            <w:r>
              <w:rPr>
                <w:rFonts w:hint="default" w:ascii="Times New Roman" w:hAnsi="Times New Roman" w:cs="Times New Roman"/>
                <w:color w:val="auto"/>
                <w:sz w:val="21"/>
                <w:szCs w:val="21"/>
              </w:rPr>
              <w:t>；对应</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数据项名称</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逐一描述其数据长度。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12.4 字段描述</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对重要数据项的含义进行解释、描述。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手工填报</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12.5 共享属性</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标明公共数据的共享属性，包括无条件共享类、有条件共享类、不予共享类三类。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；对每个数据项按定义的共享属性进行选择确定。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12.6 共享条件</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描述不同共享类型公共数据的共享条件。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手工填报；手工填报</w:t>
            </w:r>
            <w:r>
              <w:rPr>
                <w:rFonts w:hint="default" w:ascii="Times New Roman" w:hAnsi="Times New Roman" w:cs="Times New Roman"/>
                <w:color w:val="auto"/>
                <w:spacing w:val="-8"/>
                <w:sz w:val="21"/>
                <w:szCs w:val="21"/>
              </w:rPr>
              <w:t>；有条件共享类的公共数据，应注明使用要求，包括作为行政</w:t>
            </w:r>
            <w:r>
              <w:rPr>
                <w:rFonts w:hint="default" w:ascii="Times New Roman" w:hAnsi="Times New Roman" w:cs="Times New Roman"/>
                <w:color w:val="auto"/>
                <w:spacing w:val="-10"/>
                <w:sz w:val="21"/>
                <w:szCs w:val="21"/>
              </w:rPr>
              <w:t>依据、工作参考、共</w:t>
            </w:r>
            <w:r>
              <w:rPr>
                <w:rFonts w:hint="default" w:ascii="Times New Roman" w:hAnsi="Times New Roman" w:cs="Times New Roman"/>
                <w:color w:val="auto"/>
                <w:sz w:val="21"/>
                <w:szCs w:val="21"/>
              </w:rPr>
              <w:t>享条件和共享范围</w:t>
            </w:r>
            <w:r>
              <w:rPr>
                <w:rFonts w:hint="default" w:ascii="Times New Roman" w:hAnsi="Times New Roman" w:cs="Times New Roman"/>
                <w:color w:val="auto"/>
                <w:spacing w:val="-10"/>
                <w:sz w:val="21"/>
                <w:szCs w:val="21"/>
              </w:rPr>
              <w:t>，用于数据校核、业务协同等；</w:t>
            </w:r>
            <w:r>
              <w:rPr>
                <w:rFonts w:hint="default" w:ascii="Times New Roman" w:hAnsi="Times New Roman" w:cs="Times New Roman"/>
                <w:color w:val="auto"/>
                <w:sz w:val="21"/>
                <w:szCs w:val="21"/>
              </w:rPr>
              <w:t>对于不予共享类的公共数据，应注明相关的法律、行政法规或党中央、国务院政策依据。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12.7 开放属性</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标明公共数据的开放属性，包括无条件开放类、有条件开放类、不予开放类三类。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；涉及个人、企业隐私的数据项不应对外开放，如身份证号码、联系电话等。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12.8 开放条件</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描述不同开放类型公共数据的开放条件。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必选项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手工填报</w:t>
            </w:r>
            <w:r>
              <w:rPr>
                <w:rFonts w:hint="default" w:ascii="Times New Roman" w:hAnsi="Times New Roman" w:cs="Times New Roman"/>
                <w:color w:val="auto"/>
                <w:spacing w:val="-8"/>
                <w:sz w:val="21"/>
                <w:szCs w:val="21"/>
              </w:rPr>
              <w:t>；有条件开放类的公共数据，应注明使用要求，包括作为行政</w:t>
            </w:r>
            <w:r>
              <w:rPr>
                <w:rFonts w:hint="default" w:ascii="Times New Roman" w:hAnsi="Times New Roman" w:cs="Times New Roman"/>
                <w:color w:val="auto"/>
                <w:spacing w:val="-10"/>
                <w:sz w:val="21"/>
                <w:szCs w:val="21"/>
              </w:rPr>
              <w:t>依据、工作参考、开放</w:t>
            </w:r>
            <w:r>
              <w:rPr>
                <w:rFonts w:hint="default" w:ascii="Times New Roman" w:hAnsi="Times New Roman" w:cs="Times New Roman"/>
                <w:color w:val="auto"/>
                <w:sz w:val="21"/>
                <w:szCs w:val="21"/>
              </w:rPr>
              <w:t>条件和开放范围</w:t>
            </w:r>
            <w:r>
              <w:rPr>
                <w:rFonts w:hint="default" w:ascii="Times New Roman" w:hAnsi="Times New Roman" w:cs="Times New Roman"/>
                <w:color w:val="auto"/>
                <w:spacing w:val="-10"/>
                <w:sz w:val="21"/>
                <w:szCs w:val="21"/>
              </w:rPr>
              <w:t>，用于数据校核、业务协同等；</w:t>
            </w:r>
            <w:r>
              <w:rPr>
                <w:rFonts w:hint="default" w:ascii="Times New Roman" w:hAnsi="Times New Roman" w:cs="Times New Roman"/>
                <w:color w:val="auto"/>
                <w:sz w:val="21"/>
                <w:szCs w:val="21"/>
              </w:rPr>
              <w:t>对于不予开放类的公共数据，应注明相关的法律、行政法规或党中央、国务院政策依据。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12.9 是否主键</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标明该数据项是否为数据表的主键，包括</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是</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和</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否</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，主键是数据表中的一个或多个字段，用于唯一地标识表中的某一条记录。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；一条数据目录应有一个及以上主键，已归集公共数据不应更换主键、增加主键和删除主键。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12.10 是否可为空</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标明该数据项是否可以为空，即该字段是否为必填。包括</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是</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和</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否</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；按该类数据的业务理解，关键数据项不应为空，涉及自然人的应有姓名和身份证号，且不应为空；涉及法人的应有名称和统一社会信用代码，且不应为空。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restart"/>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12.11 是否字典项</w:t>
            </w: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定义</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标明该数据项是否为字典项，包括</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是</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和</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否</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数据类型</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字符型。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101"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977" w:type="dxa"/>
            <w:vMerge w:val="continue"/>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32"/>
                <w:szCs w:val="21"/>
              </w:rPr>
            </w:pPr>
          </w:p>
        </w:tc>
        <w:tc>
          <w:tcPr>
            <w:tcW w:w="1466"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建议</w:t>
            </w:r>
          </w:p>
        </w:tc>
        <w:tc>
          <w:tcPr>
            <w:tcW w:w="5387" w:type="dxa"/>
            <w:vAlign w:val="center"/>
          </w:tcPr>
          <w:p>
            <w:pPr>
              <w:pStyle w:val="14"/>
              <w:keepNext w:val="0"/>
              <w:keepLines w:val="0"/>
              <w:pageBreakBefore w:val="0"/>
              <w:widowControl w:val="0"/>
              <w:shd w:val="clear"/>
              <w:kinsoku/>
              <w:wordWrap/>
              <w:overflowPunct/>
              <w:topLinePunct w:val="0"/>
              <w:autoSpaceDE/>
              <w:autoSpaceDN/>
              <w:bidi w:val="0"/>
              <w:adjustRightInd/>
              <w:snapToGrid/>
              <w:spacing w:line="240" w:lineRule="auto"/>
              <w:ind w:left="113"/>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可选项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界面选择</w:t>
            </w:r>
            <w:r>
              <w:rPr>
                <w:rFonts w:hint="default" w:ascii="Times New Roman" w:hAnsi="Times New Roman" w:cs="Times New Roman"/>
                <w:color w:val="auto"/>
                <w:sz w:val="21"/>
                <w:szCs w:val="21"/>
              </w:rPr>
              <w:t>；</w:t>
            </w:r>
          </w:p>
        </w:tc>
      </w:tr>
    </w:tbl>
    <w:p>
      <w:pPr>
        <w:keepNext w:val="0"/>
        <w:keepLines w:val="0"/>
        <w:pageBreakBefore w:val="0"/>
        <w:shd w:val="clear"/>
        <w:kinsoku/>
        <w:wordWrap/>
        <w:overflowPunct/>
        <w:topLinePunct w:val="0"/>
        <w:bidi w:val="0"/>
        <w:spacing w:before="36" w:beforeLines="15" w:after="36" w:afterLines="15" w:line="600" w:lineRule="exact"/>
        <w:textAlignment w:val="auto"/>
        <w:rPr>
          <w:rFonts w:hint="default" w:ascii="Times New Roman" w:hAnsi="Times New Roman" w:cs="Times New Roman"/>
          <w:color w:val="auto"/>
          <w:sz w:val="24"/>
        </w:rPr>
        <w:sectPr>
          <w:pgSz w:w="11910" w:h="16840"/>
          <w:pgMar w:top="2098" w:right="1474" w:bottom="1984" w:left="1587" w:header="850" w:footer="1587" w:gutter="0"/>
          <w:pgNumType w:fmt="decimal"/>
          <w:cols w:space="0" w:num="1"/>
          <w:rtlGutter w:val="0"/>
        </w:sectPr>
      </w:pPr>
    </w:p>
    <w:p>
      <w:pPr>
        <w:pStyle w:val="12"/>
        <w:keepNext w:val="0"/>
        <w:keepLines w:val="0"/>
        <w:pageBreakBefore w:val="0"/>
        <w:widowControl w:val="0"/>
        <w:shd w:val="clear"/>
        <w:kinsoku/>
        <w:wordWrap/>
        <w:overflowPunct/>
        <w:topLinePunct w:val="0"/>
        <w:autoSpaceDE w:val="0"/>
        <w:autoSpaceDN w:val="0"/>
        <w:bidi w:val="0"/>
        <w:adjustRightInd w:val="0"/>
        <w:snapToGrid w:val="0"/>
        <w:spacing w:line="600" w:lineRule="exact"/>
        <w:ind w:firstLine="0" w:firstLineChars="0"/>
        <w:textAlignment w:val="auto"/>
        <w:rPr>
          <w:rFonts w:hint="default" w:ascii="Times New Roman" w:hAnsi="Times New Roman" w:eastAsia="方正黑体_GBK" w:cs="Times New Roman"/>
          <w:color w:val="auto"/>
          <w:kern w:val="2"/>
          <w:sz w:val="32"/>
          <w:szCs w:val="32"/>
          <w:lang w:val="en-US"/>
        </w:rPr>
      </w:pPr>
      <w:r>
        <w:rPr>
          <w:rStyle w:val="16"/>
          <w:rFonts w:hint="default" w:ascii="Times New Roman" w:hAnsi="Times New Roman" w:cs="Times New Roman"/>
          <w:color w:val="auto"/>
          <w:lang w:val="en-US" w:eastAsia="zh-CN"/>
        </w:rPr>
        <w:t>附件2</w:t>
      </w:r>
    </w:p>
    <w:p>
      <w:pPr>
        <w:pStyle w:val="12"/>
        <w:keepNext w:val="0"/>
        <w:keepLines w:val="0"/>
        <w:pageBreakBefore w:val="0"/>
        <w:widowControl w:val="0"/>
        <w:shd w:val="clear"/>
        <w:kinsoku/>
        <w:wordWrap/>
        <w:overflowPunct/>
        <w:topLinePunct w:val="0"/>
        <w:autoSpaceDE w:val="0"/>
        <w:autoSpaceDN w:val="0"/>
        <w:bidi w:val="0"/>
        <w:adjustRightInd w:val="0"/>
        <w:snapToGrid w:val="0"/>
        <w:spacing w:line="600" w:lineRule="exact"/>
        <w:ind w:firstLine="0" w:firstLineChars="0"/>
        <w:jc w:val="center"/>
        <w:textAlignment w:val="auto"/>
        <w:rPr>
          <w:rFonts w:hint="default" w:ascii="Times New Roman" w:hAnsi="Times New Roman" w:eastAsia="方正小标宋_GBK" w:cs="Times New Roman"/>
          <w:color w:val="auto"/>
          <w:sz w:val="44"/>
          <w:szCs w:val="44"/>
        </w:rPr>
      </w:pPr>
    </w:p>
    <w:p>
      <w:pPr>
        <w:pStyle w:val="12"/>
        <w:keepNext w:val="0"/>
        <w:keepLines w:val="0"/>
        <w:pageBreakBefore w:val="0"/>
        <w:widowControl w:val="0"/>
        <w:shd w:val="clear"/>
        <w:kinsoku/>
        <w:wordWrap/>
        <w:overflowPunct/>
        <w:topLinePunct w:val="0"/>
        <w:autoSpaceDE w:val="0"/>
        <w:autoSpaceDN w:val="0"/>
        <w:bidi w:val="0"/>
        <w:adjustRightInd w:val="0"/>
        <w:snapToGrid w:val="0"/>
        <w:spacing w:line="600" w:lineRule="exact"/>
        <w:ind w:firstLine="0" w:firstLineChars="0"/>
        <w:jc w:val="center"/>
        <w:textAlignment w:val="auto"/>
        <w:rPr>
          <w:rFonts w:hint="default" w:ascii="Times New Roman" w:hAnsi="Times New Roman" w:eastAsia="方正小标宋_GBK" w:cs="Times New Roman"/>
          <w:color w:val="auto"/>
          <w:kern w:val="2"/>
          <w:sz w:val="44"/>
          <w:szCs w:val="44"/>
        </w:rPr>
      </w:pPr>
      <w:r>
        <w:rPr>
          <w:rFonts w:hint="default" w:ascii="Times New Roman" w:hAnsi="Times New Roman" w:eastAsia="方正小标宋_GBK" w:cs="Times New Roman"/>
          <w:color w:val="auto"/>
          <w:sz w:val="44"/>
          <w:szCs w:val="44"/>
        </w:rPr>
        <w:t>区</w:t>
      </w:r>
      <w:r>
        <w:rPr>
          <w:rFonts w:hint="default" w:ascii="Times New Roman" w:hAnsi="Times New Roman" w:eastAsia="方正小标宋_GBK" w:cs="Times New Roman"/>
          <w:color w:val="auto"/>
          <w:sz w:val="44"/>
          <w:szCs w:val="44"/>
          <w:lang w:val="en-US" w:eastAsia="zh-CN"/>
        </w:rPr>
        <w:t>县数据</w:t>
      </w:r>
      <w:r>
        <w:rPr>
          <w:rFonts w:hint="default" w:ascii="Times New Roman" w:hAnsi="Times New Roman" w:eastAsia="方正小标宋_GBK" w:cs="Times New Roman"/>
          <w:color w:val="auto"/>
          <w:sz w:val="44"/>
          <w:szCs w:val="44"/>
        </w:rPr>
        <w:t>管理员/部门</w:t>
      </w:r>
      <w:r>
        <w:rPr>
          <w:rFonts w:hint="default" w:ascii="Times New Roman" w:hAnsi="Times New Roman" w:eastAsia="方正小标宋_GBK" w:cs="Times New Roman"/>
          <w:color w:val="auto"/>
          <w:sz w:val="44"/>
          <w:szCs w:val="44"/>
          <w:lang w:val="en-US" w:eastAsia="zh-CN"/>
        </w:rPr>
        <w:t>数据</w:t>
      </w:r>
      <w:r>
        <w:rPr>
          <w:rFonts w:hint="default" w:ascii="Times New Roman" w:hAnsi="Times New Roman" w:eastAsia="方正小标宋_GBK" w:cs="Times New Roman"/>
          <w:color w:val="auto"/>
          <w:sz w:val="44"/>
          <w:szCs w:val="44"/>
        </w:rPr>
        <w:t>管理员名单</w:t>
      </w:r>
    </w:p>
    <w:p>
      <w:pPr>
        <w:pStyle w:val="12"/>
        <w:keepNext w:val="0"/>
        <w:keepLines w:val="0"/>
        <w:pageBreakBefore w:val="0"/>
        <w:widowControl w:val="0"/>
        <w:shd w:val="clear"/>
        <w:kinsoku/>
        <w:wordWrap/>
        <w:overflowPunct/>
        <w:topLinePunct w:val="0"/>
        <w:autoSpaceDE w:val="0"/>
        <w:autoSpaceDN w:val="0"/>
        <w:bidi w:val="0"/>
        <w:adjustRightInd w:val="0"/>
        <w:snapToGrid w:val="0"/>
        <w:spacing w:line="600" w:lineRule="exact"/>
        <w:ind w:firstLine="0" w:firstLineChars="0"/>
        <w:textAlignment w:val="auto"/>
        <w:rPr>
          <w:rFonts w:hint="default" w:ascii="Times New Roman" w:hAnsi="Times New Roman" w:eastAsia="方正仿宋_GBK" w:cs="Times New Roman"/>
          <w:color w:val="auto"/>
          <w:kern w:val="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218"/>
        <w:gridCol w:w="1290"/>
        <w:gridCol w:w="177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方正黑体_GBK" w:cs="Times New Roman"/>
                <w:color w:val="auto"/>
                <w:kern w:val="2"/>
                <w:sz w:val="28"/>
                <w:szCs w:val="28"/>
              </w:rPr>
            </w:pPr>
            <w:bookmarkStart w:id="46" w:name="_GoBack"/>
            <w:r>
              <w:rPr>
                <w:rFonts w:hint="default" w:ascii="Times New Roman" w:hAnsi="Times New Roman" w:eastAsia="方正黑体_GBK" w:cs="Times New Roman"/>
                <w:color w:val="auto"/>
                <w:kern w:val="2"/>
                <w:sz w:val="28"/>
                <w:szCs w:val="28"/>
              </w:rPr>
              <w:t>姓名</w:t>
            </w:r>
          </w:p>
        </w:tc>
        <w:tc>
          <w:tcPr>
            <w:tcW w:w="2218"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kern w:val="2"/>
                <w:sz w:val="28"/>
                <w:szCs w:val="28"/>
              </w:rPr>
              <w:t>工作单位</w:t>
            </w:r>
          </w:p>
        </w:tc>
        <w:tc>
          <w:tcPr>
            <w:tcW w:w="129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kern w:val="2"/>
                <w:sz w:val="28"/>
                <w:szCs w:val="28"/>
              </w:rPr>
              <w:t>职务</w:t>
            </w:r>
          </w:p>
        </w:tc>
        <w:tc>
          <w:tcPr>
            <w:tcW w:w="177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kern w:val="2"/>
                <w:sz w:val="28"/>
                <w:szCs w:val="28"/>
              </w:rPr>
              <w:t>办公电话</w:t>
            </w:r>
          </w:p>
        </w:tc>
        <w:tc>
          <w:tcPr>
            <w:tcW w:w="213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方正黑体_GBK" w:cs="Times New Roman"/>
                <w:color w:val="auto"/>
                <w:kern w:val="2"/>
                <w:sz w:val="28"/>
                <w:szCs w:val="28"/>
              </w:rPr>
            </w:pPr>
            <w:r>
              <w:rPr>
                <w:rFonts w:hint="default" w:ascii="Times New Roman" w:hAnsi="Times New Roman" w:eastAsia="方正黑体_GBK" w:cs="Times New Roman"/>
                <w:color w:val="auto"/>
                <w:kern w:val="2"/>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218"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29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77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13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218"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29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77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13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218"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29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77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13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218"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29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77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13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218"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29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177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c>
          <w:tcPr>
            <w:tcW w:w="2130" w:type="dxa"/>
            <w:noWrap w:val="0"/>
            <w:vAlign w:val="top"/>
          </w:tcPr>
          <w:p>
            <w:pPr>
              <w:pStyle w:val="12"/>
              <w:keepNext w:val="0"/>
              <w:keepLines w:val="0"/>
              <w:pageBreakBefore w:val="0"/>
              <w:widowControl/>
              <w:shd w:val="clear"/>
              <w:kinsoku/>
              <w:wordWrap/>
              <w:overflowPunct/>
              <w:topLinePunct w:val="0"/>
              <w:autoSpaceDE w:val="0"/>
              <w:autoSpaceDN w:val="0"/>
              <w:bidi w:val="0"/>
              <w:adjustRightInd/>
              <w:snapToGrid w:val="0"/>
              <w:spacing w:line="240" w:lineRule="auto"/>
              <w:ind w:firstLine="640"/>
              <w:textAlignment w:val="auto"/>
              <w:rPr>
                <w:rFonts w:hint="default" w:ascii="Times New Roman" w:hAnsi="Times New Roman" w:eastAsia="方正仿宋_GBK" w:cs="Times New Roman"/>
                <w:color w:val="auto"/>
                <w:kern w:val="2"/>
                <w:sz w:val="32"/>
                <w:szCs w:val="32"/>
              </w:rPr>
            </w:pPr>
          </w:p>
        </w:tc>
      </w:tr>
      <w:bookmarkEnd w:id="46"/>
    </w:tbl>
    <w:p>
      <w:pPr>
        <w:keepNext w:val="0"/>
        <w:keepLines w:val="0"/>
        <w:pageBreakBefore w:val="0"/>
        <w:shd w:val="clear"/>
        <w:kinsoku/>
        <w:wordWrap/>
        <w:overflowPunct/>
        <w:topLinePunct w:val="0"/>
        <w:bidi w:val="0"/>
        <w:spacing w:line="600" w:lineRule="exact"/>
        <w:textAlignment w:val="auto"/>
        <w:rPr>
          <w:rFonts w:hint="default" w:ascii="Times New Roman" w:hAnsi="Times New Roman" w:cs="Times New Roman"/>
          <w:color w:val="auto"/>
        </w:rPr>
      </w:pPr>
    </w:p>
    <w:p>
      <w:pPr>
        <w:keepNext w:val="0"/>
        <w:keepLines w:val="0"/>
        <w:pageBreakBefore w:val="0"/>
        <w:widowControl w:val="0"/>
        <w:shd w:val="clear"/>
        <w:kinsoku/>
        <w:wordWrap/>
        <w:overflowPunct/>
        <w:topLinePunct w:val="0"/>
        <w:autoSpaceDE/>
        <w:autoSpaceDN/>
        <w:bidi w:val="0"/>
        <w:adjustRightInd/>
        <w:snapToGrid/>
        <w:spacing w:line="800" w:lineRule="exact"/>
        <w:textAlignment w:val="auto"/>
        <w:rPr>
          <w:rFonts w:hint="default" w:ascii="Times New Roman" w:hAnsi="Times New Roman" w:cs="Times New Roman"/>
          <w:color w:val="auto"/>
        </w:rPr>
      </w:pPr>
    </w:p>
    <w:p>
      <w:pPr>
        <w:keepNext w:val="0"/>
        <w:keepLines w:val="0"/>
        <w:pageBreakBefore w:val="0"/>
        <w:shd w:val="clear"/>
        <w:kinsoku/>
        <w:wordWrap/>
        <w:overflowPunct/>
        <w:topLinePunct w:val="0"/>
        <w:bidi w:val="0"/>
        <w:spacing w:line="600" w:lineRule="exact"/>
        <w:textAlignment w:val="auto"/>
        <w:rPr>
          <w:rFonts w:hint="default" w:ascii="Times New Roman" w:hAnsi="Times New Roman" w:cs="Times New Roman"/>
          <w:color w:val="auto"/>
        </w:rPr>
      </w:pPr>
    </w:p>
    <w:p>
      <w:pPr>
        <w:keepNext w:val="0"/>
        <w:keepLines w:val="0"/>
        <w:pageBreakBefore w:val="0"/>
        <w:shd w:val="clear"/>
        <w:kinsoku/>
        <w:wordWrap/>
        <w:overflowPunct/>
        <w:topLinePunct w:val="0"/>
        <w:bidi w:val="0"/>
        <w:spacing w:line="600" w:lineRule="exact"/>
        <w:textAlignment w:val="auto"/>
        <w:rPr>
          <w:rFonts w:hint="default" w:ascii="Times New Roman" w:hAnsi="Times New Roman" w:cs="Times New Roman"/>
          <w:color w:val="auto"/>
        </w:rPr>
      </w:pPr>
    </w:p>
    <w:p>
      <w:pPr>
        <w:keepNext w:val="0"/>
        <w:keepLines w:val="0"/>
        <w:pageBreakBefore w:val="0"/>
        <w:shd w:val="clear"/>
        <w:kinsoku/>
        <w:wordWrap/>
        <w:overflowPunct/>
        <w:topLinePunct w:val="0"/>
        <w:bidi w:val="0"/>
        <w:spacing w:line="600" w:lineRule="exact"/>
        <w:textAlignment w:val="auto"/>
        <w:rPr>
          <w:rFonts w:hint="default" w:ascii="Times New Roman" w:hAnsi="Times New Roman" w:cs="Times New Roman"/>
          <w:color w:val="auto"/>
        </w:rPr>
      </w:pPr>
    </w:p>
    <w:p>
      <w:pPr>
        <w:keepNext w:val="0"/>
        <w:keepLines w:val="0"/>
        <w:pageBreakBefore w:val="0"/>
        <w:shd w:val="clear"/>
        <w:kinsoku/>
        <w:wordWrap/>
        <w:overflowPunct/>
        <w:topLinePunct w:val="0"/>
        <w:bidi w:val="0"/>
        <w:spacing w:line="600" w:lineRule="exact"/>
        <w:textAlignment w:val="auto"/>
        <w:rPr>
          <w:rFonts w:hint="default" w:ascii="Times New Roman" w:hAnsi="Times New Roman" w:cs="Times New Roman"/>
          <w:color w:val="auto"/>
        </w:rPr>
      </w:pPr>
    </w:p>
    <w:p>
      <w:pPr>
        <w:pStyle w:val="2"/>
        <w:shd w:val="clear"/>
        <w:rPr>
          <w:rFonts w:hint="default" w:ascii="Times New Roman" w:hAnsi="Times New Roman" w:cs="Times New Roman"/>
          <w:color w:val="auto"/>
        </w:rPr>
      </w:pPr>
    </w:p>
    <w:p>
      <w:pPr>
        <w:shd w:val="clear"/>
        <w:rPr>
          <w:rFonts w:hint="default" w:ascii="Times New Roman" w:hAnsi="Times New Roman" w:cs="Times New Roman"/>
          <w:color w:val="auto"/>
        </w:rPr>
      </w:pPr>
    </w:p>
    <w:p>
      <w:pPr>
        <w:pStyle w:val="2"/>
        <w:shd w:val="clear"/>
        <w:rPr>
          <w:rFonts w:hint="default" w:ascii="Times New Roman" w:hAnsi="Times New Roman" w:cs="Times New Roman"/>
          <w:color w:val="auto"/>
        </w:rPr>
      </w:pPr>
    </w:p>
    <w:p>
      <w:pPr>
        <w:shd w:val="clear"/>
        <w:rPr>
          <w:rFonts w:hint="default" w:ascii="Times New Roman" w:hAnsi="Times New Roman" w:cs="Times New Roman"/>
          <w:color w:val="auto"/>
        </w:rPr>
      </w:pPr>
    </w:p>
    <w:p>
      <w:pPr>
        <w:keepNext w:val="0"/>
        <w:keepLines w:val="0"/>
        <w:pageBreakBefore w:val="0"/>
        <w:widowControl w:val="0"/>
        <w:pBdr>
          <w:top w:val="single" w:color="auto" w:sz="4" w:space="0"/>
          <w:bottom w:val="single" w:color="auto" w:sz="4" w:space="0"/>
        </w:pBdr>
        <w:shd w:val="clear"/>
        <w:tabs>
          <w:tab w:val="left" w:pos="2100"/>
        </w:tabs>
        <w:kinsoku/>
        <w:wordWrap/>
        <w:overflowPunct w:val="0"/>
        <w:topLinePunct w:val="0"/>
        <w:bidi w:val="0"/>
        <w:adjustRightInd w:val="0"/>
        <w:snapToGrid w:val="0"/>
        <w:spacing w:line="600" w:lineRule="exact"/>
        <w:ind w:left="0" w:leftChars="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28"/>
          <w:szCs w:val="28"/>
        </w:rPr>
        <w:t xml:space="preserve">  重庆市大数据应用发展管理局办公室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202</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lang w:val="en-US" w:eastAsia="zh-CN"/>
        </w:rPr>
        <w:t>8</w:t>
      </w:r>
      <w:r>
        <w:rPr>
          <w:rFonts w:hint="default" w:ascii="Times New Roman" w:hAnsi="Times New Roman" w:eastAsia="方正仿宋_GBK" w:cs="Times New Roman"/>
          <w:color w:val="auto"/>
          <w:sz w:val="28"/>
          <w:szCs w:val="28"/>
        </w:rPr>
        <w:t>日印发</w:t>
      </w:r>
    </w:p>
    <w:sectPr>
      <w:headerReference r:id="rId5" w:type="default"/>
      <w:footerReference r:id="rId6" w:type="default"/>
      <w:pgSz w:w="11906" w:h="16838"/>
      <w:pgMar w:top="2098" w:right="1474" w:bottom="1984" w:left="1587" w:header="850" w:footer="158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D5F15"/>
    <w:multiLevelType w:val="multilevel"/>
    <w:tmpl w:val="40AD5F15"/>
    <w:lvl w:ilvl="0" w:tentative="0">
      <w:start w:val="1"/>
      <w:numFmt w:val="decimal"/>
      <w:lvlText w:val="%1)"/>
      <w:lvlJc w:val="left"/>
      <w:pPr>
        <w:ind w:left="1280" w:hanging="440"/>
      </w:p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1">
    <w:nsid w:val="4248190A"/>
    <w:multiLevelType w:val="multilevel"/>
    <w:tmpl w:val="4248190A"/>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NjM2NDFkOGQ1OWQ5OWI3YjMwNGJmNjNkZjZkZjIifQ=="/>
  </w:docVars>
  <w:rsids>
    <w:rsidRoot w:val="27544E8A"/>
    <w:rsid w:val="01334A62"/>
    <w:rsid w:val="023A2582"/>
    <w:rsid w:val="0286742E"/>
    <w:rsid w:val="04AF1403"/>
    <w:rsid w:val="05E467BE"/>
    <w:rsid w:val="06E10D0D"/>
    <w:rsid w:val="07746E01"/>
    <w:rsid w:val="078443B5"/>
    <w:rsid w:val="07F0269F"/>
    <w:rsid w:val="080D2DB2"/>
    <w:rsid w:val="08412609"/>
    <w:rsid w:val="089C24F1"/>
    <w:rsid w:val="093E1D14"/>
    <w:rsid w:val="09676FE6"/>
    <w:rsid w:val="0A9034EE"/>
    <w:rsid w:val="0AEC61FE"/>
    <w:rsid w:val="0D4728C2"/>
    <w:rsid w:val="0F056591"/>
    <w:rsid w:val="0F401D5C"/>
    <w:rsid w:val="0F6F6978"/>
    <w:rsid w:val="0FD3043D"/>
    <w:rsid w:val="10592370"/>
    <w:rsid w:val="11AC7198"/>
    <w:rsid w:val="12E017EF"/>
    <w:rsid w:val="13272F7A"/>
    <w:rsid w:val="133D09EF"/>
    <w:rsid w:val="137F4B64"/>
    <w:rsid w:val="13D57948"/>
    <w:rsid w:val="14CB4A5B"/>
    <w:rsid w:val="157E37EB"/>
    <w:rsid w:val="15A12399"/>
    <w:rsid w:val="17AC7EF2"/>
    <w:rsid w:val="17DB7907"/>
    <w:rsid w:val="18237247"/>
    <w:rsid w:val="182E4DAB"/>
    <w:rsid w:val="18E061E2"/>
    <w:rsid w:val="1A840CB2"/>
    <w:rsid w:val="1C1E3330"/>
    <w:rsid w:val="1C411335"/>
    <w:rsid w:val="1CE6417C"/>
    <w:rsid w:val="1D1B3F6B"/>
    <w:rsid w:val="1F4E4721"/>
    <w:rsid w:val="2032660D"/>
    <w:rsid w:val="20825C93"/>
    <w:rsid w:val="218D3A72"/>
    <w:rsid w:val="21AE1F9C"/>
    <w:rsid w:val="22CE1A18"/>
    <w:rsid w:val="241B194C"/>
    <w:rsid w:val="249F41F3"/>
    <w:rsid w:val="257A162F"/>
    <w:rsid w:val="27544E8A"/>
    <w:rsid w:val="280671AA"/>
    <w:rsid w:val="28643ED1"/>
    <w:rsid w:val="29B844D4"/>
    <w:rsid w:val="2AA67384"/>
    <w:rsid w:val="2ABE1F0D"/>
    <w:rsid w:val="2B286925"/>
    <w:rsid w:val="2C7E5774"/>
    <w:rsid w:val="2C995377"/>
    <w:rsid w:val="2D5B3AF4"/>
    <w:rsid w:val="2DA661CE"/>
    <w:rsid w:val="2DD200CE"/>
    <w:rsid w:val="2E3772FA"/>
    <w:rsid w:val="2EAB2194"/>
    <w:rsid w:val="2F202367"/>
    <w:rsid w:val="2F2B1BEC"/>
    <w:rsid w:val="30586A11"/>
    <w:rsid w:val="329E7026"/>
    <w:rsid w:val="33381970"/>
    <w:rsid w:val="33D72DCC"/>
    <w:rsid w:val="33F11C49"/>
    <w:rsid w:val="3450713D"/>
    <w:rsid w:val="37DD23E4"/>
    <w:rsid w:val="387168C2"/>
    <w:rsid w:val="38B070EA"/>
    <w:rsid w:val="3B901E44"/>
    <w:rsid w:val="3D0A77EF"/>
    <w:rsid w:val="3D0C25C7"/>
    <w:rsid w:val="3D7D4650"/>
    <w:rsid w:val="3E7F1C80"/>
    <w:rsid w:val="401926A3"/>
    <w:rsid w:val="411918A4"/>
    <w:rsid w:val="41D23E91"/>
    <w:rsid w:val="42040F17"/>
    <w:rsid w:val="42772D26"/>
    <w:rsid w:val="44172C8D"/>
    <w:rsid w:val="44876256"/>
    <w:rsid w:val="45547417"/>
    <w:rsid w:val="4AA97DA7"/>
    <w:rsid w:val="4AD41DD3"/>
    <w:rsid w:val="4C2E6ECC"/>
    <w:rsid w:val="4CB87CF8"/>
    <w:rsid w:val="4D9A0C11"/>
    <w:rsid w:val="4FEC0032"/>
    <w:rsid w:val="500D0826"/>
    <w:rsid w:val="501E7474"/>
    <w:rsid w:val="523D116B"/>
    <w:rsid w:val="52F97788"/>
    <w:rsid w:val="538928BA"/>
    <w:rsid w:val="55313209"/>
    <w:rsid w:val="55B61E0D"/>
    <w:rsid w:val="58691076"/>
    <w:rsid w:val="591608EE"/>
    <w:rsid w:val="593517EA"/>
    <w:rsid w:val="599D7638"/>
    <w:rsid w:val="5BD91F04"/>
    <w:rsid w:val="5C4D4C41"/>
    <w:rsid w:val="5CA60B7E"/>
    <w:rsid w:val="5D243653"/>
    <w:rsid w:val="5D573710"/>
    <w:rsid w:val="5E42423D"/>
    <w:rsid w:val="5E610E45"/>
    <w:rsid w:val="5F433753"/>
    <w:rsid w:val="5F466A59"/>
    <w:rsid w:val="5FED62EA"/>
    <w:rsid w:val="609B3C2C"/>
    <w:rsid w:val="60B348E1"/>
    <w:rsid w:val="61722012"/>
    <w:rsid w:val="61A611BB"/>
    <w:rsid w:val="621D451D"/>
    <w:rsid w:val="62971E2F"/>
    <w:rsid w:val="629A6922"/>
    <w:rsid w:val="633E62C0"/>
    <w:rsid w:val="63D91DDE"/>
    <w:rsid w:val="647D65C5"/>
    <w:rsid w:val="65053208"/>
    <w:rsid w:val="65BB267B"/>
    <w:rsid w:val="665F0ED1"/>
    <w:rsid w:val="699E02E9"/>
    <w:rsid w:val="6E720D5A"/>
    <w:rsid w:val="6EF62234"/>
    <w:rsid w:val="701105AD"/>
    <w:rsid w:val="70AF7754"/>
    <w:rsid w:val="719743F9"/>
    <w:rsid w:val="71E568FA"/>
    <w:rsid w:val="725825F0"/>
    <w:rsid w:val="73261635"/>
    <w:rsid w:val="737C77CB"/>
    <w:rsid w:val="74214695"/>
    <w:rsid w:val="74AD1241"/>
    <w:rsid w:val="75007C2C"/>
    <w:rsid w:val="759274A4"/>
    <w:rsid w:val="75E874BC"/>
    <w:rsid w:val="76A604BB"/>
    <w:rsid w:val="78144598"/>
    <w:rsid w:val="793149C1"/>
    <w:rsid w:val="79D45B63"/>
    <w:rsid w:val="7A28257D"/>
    <w:rsid w:val="7B4C5DF7"/>
    <w:rsid w:val="7D3D00ED"/>
    <w:rsid w:val="7D4E40A8"/>
    <w:rsid w:val="7DA91880"/>
    <w:rsid w:val="7E9C7878"/>
    <w:rsid w:val="7F09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spacing w:before="36" w:beforeLines="15" w:after="36" w:afterLines="15"/>
      <w:ind w:firstLine="640" w:firstLineChars="200"/>
    </w:pPr>
    <w:rPr>
      <w:rFonts w:eastAsia="方正仿宋_GBK"/>
      <w:sz w:val="32"/>
      <w:szCs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章标题"/>
    <w:next w:val="12"/>
    <w:link w:val="16"/>
    <w:qFormat/>
    <w:uiPriority w:val="0"/>
    <w:pPr>
      <w:spacing w:before="240" w:beforeLines="100" w:after="240" w:afterLines="100"/>
      <w:jc w:val="both"/>
      <w:outlineLvl w:val="1"/>
    </w:pPr>
    <w:rPr>
      <w:rFonts w:ascii="Times New Roman" w:hAnsi="Times New Roman" w:eastAsia="方正黑体_GBK" w:cs="Times New Roman"/>
      <w:sz w:val="32"/>
      <w:szCs w:val="32"/>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一级条标题"/>
    <w:next w:val="12"/>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Table Paragraph"/>
    <w:basedOn w:val="1"/>
    <w:qFormat/>
    <w:uiPriority w:val="1"/>
    <w:pPr>
      <w:spacing w:before="36" w:beforeLines="15" w:after="36" w:afterLines="15" w:line="360" w:lineRule="auto"/>
      <w:ind w:left="112"/>
    </w:pPr>
    <w:rPr>
      <w:rFonts w:eastAsia="方正仿宋_GBK"/>
      <w:color w:val="000000"/>
      <w:kern w:val="0"/>
      <w:sz w:val="18"/>
      <w:szCs w:val="18"/>
    </w:rPr>
  </w:style>
  <w:style w:type="paragraph" w:customStyle="1" w:styleId="1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16">
    <w:name w:val="章标题 Char"/>
    <w:link w:val="11"/>
    <w:qFormat/>
    <w:uiPriority w:val="0"/>
    <w:rPr>
      <w:rFonts w:ascii="Times New Roman" w:hAnsi="Times New Roman" w:eastAsia="方正黑体_GBK" w:cs="Times New Roman"/>
      <w:sz w:val="32"/>
      <w:szCs w:val="32"/>
      <w:lang w:val="en-US" w:eastAsia="zh-CN" w:bidi="ar-SA"/>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7593</Words>
  <Characters>7872</Characters>
  <Lines>0</Lines>
  <Paragraphs>0</Paragraphs>
  <TotalTime>0</TotalTime>
  <ScaleCrop>false</ScaleCrop>
  <LinksUpToDate>false</LinksUpToDate>
  <CharactersWithSpaces>7942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2023-03-07T08:16:00Z</dcterms:created>
  <dc:creator>』低吟丶浅唱</dc:creator>
  <cp:lastModifiedBy>Queenie</cp:lastModifiedBy>
  <cp:lastPrinted>2023-03-08T06:44:00Z</cp:lastPrinted>
  <dcterms:modified xsi:type="dcterms:W3CDTF">2023-03-08T09:32:42Z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FC635F6EECD94B45989522D5D4B1172C</vt:lpwstr>
  </property>
</Properties>
</file>