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50" w:rsidRPr="00D92B22" w:rsidRDefault="00880850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880850" w:rsidRPr="00D92B22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D92B22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D92B22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D92B22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D92B22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D92B22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D92B22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D92B22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D92B22">
        <w:rPr>
          <w:rFonts w:eastAsia="方正仿宋_GBK"/>
          <w:bCs/>
          <w:sz w:val="32"/>
          <w:szCs w:val="24"/>
        </w:rPr>
        <w:t>江发改</w:t>
      </w:r>
      <w:proofErr w:type="gramEnd"/>
      <w:r w:rsidRPr="00D92B22">
        <w:rPr>
          <w:rFonts w:eastAsia="方正仿宋_GBK"/>
          <w:bCs/>
          <w:sz w:val="32"/>
          <w:szCs w:val="24"/>
        </w:rPr>
        <w:t>投</w:t>
      </w:r>
      <w:r w:rsidRPr="00D92B22">
        <w:rPr>
          <w:rFonts w:eastAsia="方正仿宋_GBK"/>
          <w:sz w:val="32"/>
          <w:szCs w:val="24"/>
        </w:rPr>
        <w:t>〔</w:t>
      </w:r>
      <w:r w:rsidRPr="00D92B22">
        <w:rPr>
          <w:rFonts w:eastAsia="方正仿宋_GBK"/>
          <w:sz w:val="32"/>
          <w:szCs w:val="24"/>
        </w:rPr>
        <w:t>2025</w:t>
      </w:r>
      <w:r w:rsidRPr="00D92B22">
        <w:rPr>
          <w:rFonts w:eastAsia="方正仿宋_GBK"/>
          <w:sz w:val="32"/>
          <w:szCs w:val="24"/>
        </w:rPr>
        <w:t>〕</w:t>
      </w:r>
      <w:r w:rsidR="00413F3F">
        <w:rPr>
          <w:rFonts w:eastAsia="方正仿宋_GBK"/>
          <w:sz w:val="32"/>
          <w:szCs w:val="24"/>
        </w:rPr>
        <w:t>13</w:t>
      </w:r>
      <w:r w:rsidRPr="00D92B22">
        <w:rPr>
          <w:rFonts w:eastAsia="方正仿宋_GBK"/>
          <w:sz w:val="32"/>
          <w:szCs w:val="24"/>
        </w:rPr>
        <w:t>号</w:t>
      </w:r>
    </w:p>
    <w:p w:rsidR="00880850" w:rsidRPr="00D92B22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D92B22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413F3F" w:rsidRDefault="00D217C1" w:rsidP="00413F3F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413F3F">
        <w:rPr>
          <w:rFonts w:eastAsia="方正小标宋_GBK"/>
          <w:sz w:val="44"/>
          <w:szCs w:val="44"/>
        </w:rPr>
        <w:t>重庆市江北区发展和改革委员会</w:t>
      </w:r>
    </w:p>
    <w:p w:rsidR="00B25315" w:rsidRPr="00413F3F" w:rsidRDefault="00413F3F" w:rsidP="00413F3F">
      <w:pPr>
        <w:pStyle w:val="a3"/>
        <w:spacing w:line="600" w:lineRule="exact"/>
        <w:jc w:val="center"/>
        <w:rPr>
          <w:rFonts w:eastAsia="方正小标宋_GBK"/>
          <w:sz w:val="44"/>
          <w:szCs w:val="44"/>
        </w:rPr>
      </w:pPr>
      <w:proofErr w:type="gramStart"/>
      <w:r w:rsidRPr="00413F3F">
        <w:rPr>
          <w:rFonts w:eastAsia="方正小标宋_GBK" w:hint="eastAsia"/>
          <w:sz w:val="44"/>
          <w:szCs w:val="44"/>
        </w:rPr>
        <w:t>关于站</w:t>
      </w:r>
      <w:proofErr w:type="gramEnd"/>
      <w:r w:rsidRPr="00413F3F">
        <w:rPr>
          <w:rFonts w:eastAsia="方正小标宋_GBK" w:hint="eastAsia"/>
          <w:sz w:val="44"/>
          <w:szCs w:val="44"/>
        </w:rPr>
        <w:t>前路延伸段工程投资概算的批复</w:t>
      </w:r>
    </w:p>
    <w:p w:rsidR="00413F3F" w:rsidRPr="00413F3F" w:rsidRDefault="00413F3F" w:rsidP="00C61985">
      <w:pPr>
        <w:pStyle w:val="a3"/>
        <w:spacing w:line="600" w:lineRule="exact"/>
        <w:jc w:val="center"/>
        <w:rPr>
          <w:rFonts w:eastAsia="方正小标宋_GBK"/>
          <w:bCs/>
          <w:sz w:val="44"/>
          <w:szCs w:val="44"/>
        </w:rPr>
      </w:pPr>
    </w:p>
    <w:p w:rsidR="00413F3F" w:rsidRPr="00413F3F" w:rsidRDefault="00413F3F" w:rsidP="00413F3F">
      <w:pPr>
        <w:pStyle w:val="a3"/>
        <w:spacing w:line="600" w:lineRule="exact"/>
        <w:rPr>
          <w:rFonts w:ascii="方正仿宋_GBK" w:eastAsia="方正仿宋_GBK"/>
          <w:sz w:val="32"/>
          <w:szCs w:val="32"/>
        </w:rPr>
      </w:pPr>
      <w:r w:rsidRPr="00413F3F">
        <w:rPr>
          <w:rFonts w:ascii="方正仿宋_GBK" w:eastAsia="方正仿宋_GBK" w:hint="eastAsia"/>
          <w:sz w:val="32"/>
          <w:szCs w:val="32"/>
        </w:rPr>
        <w:t>重庆市江北区城市建设发展研究中心：</w:t>
      </w:r>
    </w:p>
    <w:p w:rsidR="00413F3F" w:rsidRPr="00413F3F" w:rsidRDefault="00413F3F" w:rsidP="00413F3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Fonts w:eastAsia="方正仿宋_GBK" w:hint="eastAsia"/>
          <w:sz w:val="32"/>
          <w:szCs w:val="32"/>
        </w:rPr>
        <w:t>《关于办理站前路延伸段工程概算报告审批的请示》（江城建</w:t>
      </w:r>
      <w:proofErr w:type="gramStart"/>
      <w:r w:rsidRPr="00413F3F">
        <w:rPr>
          <w:rFonts w:eastAsia="方正仿宋_GBK" w:hint="eastAsia"/>
          <w:sz w:val="32"/>
          <w:szCs w:val="32"/>
        </w:rPr>
        <w:t>研</w:t>
      </w:r>
      <w:proofErr w:type="gramEnd"/>
      <w:r w:rsidRPr="00413F3F">
        <w:rPr>
          <w:rFonts w:eastAsia="方正仿宋_GBK" w:hint="eastAsia"/>
          <w:sz w:val="32"/>
          <w:szCs w:val="32"/>
        </w:rPr>
        <w:t>文〔</w:t>
      </w:r>
      <w:r w:rsidRPr="00413F3F">
        <w:rPr>
          <w:rFonts w:eastAsia="方正仿宋_GBK" w:hint="eastAsia"/>
          <w:sz w:val="32"/>
          <w:szCs w:val="32"/>
        </w:rPr>
        <w:t>2025</w:t>
      </w:r>
      <w:r w:rsidRPr="00413F3F">
        <w:rPr>
          <w:rFonts w:eastAsia="方正仿宋_GBK" w:hint="eastAsia"/>
          <w:sz w:val="32"/>
          <w:szCs w:val="32"/>
        </w:rPr>
        <w:t>〕</w:t>
      </w:r>
      <w:r w:rsidRPr="00413F3F">
        <w:rPr>
          <w:rFonts w:eastAsia="方正仿宋_GBK" w:hint="eastAsia"/>
          <w:sz w:val="32"/>
          <w:szCs w:val="32"/>
        </w:rPr>
        <w:t>2</w:t>
      </w:r>
      <w:r w:rsidRPr="00413F3F">
        <w:rPr>
          <w:rFonts w:eastAsia="方正仿宋_GBK" w:hint="eastAsia"/>
          <w:sz w:val="32"/>
          <w:szCs w:val="32"/>
        </w:rPr>
        <w:t>号）和《站前路延伸段工程投资概算书》等资料已收悉。该项目为</w:t>
      </w:r>
      <w:r w:rsidRPr="00413F3F">
        <w:rPr>
          <w:rFonts w:eastAsia="方正仿宋_GBK" w:hint="eastAsia"/>
          <w:sz w:val="32"/>
          <w:szCs w:val="32"/>
        </w:rPr>
        <w:t>2024</w:t>
      </w:r>
      <w:r w:rsidRPr="00413F3F">
        <w:rPr>
          <w:rFonts w:eastAsia="方正仿宋_GBK" w:hint="eastAsia"/>
          <w:sz w:val="32"/>
          <w:szCs w:val="32"/>
        </w:rPr>
        <w:t>年区级政府投资重点新建项目，经委托</w:t>
      </w:r>
      <w:proofErr w:type="gramStart"/>
      <w:r w:rsidRPr="00413F3F">
        <w:rPr>
          <w:rStyle w:val="NormalCharacter"/>
          <w:rFonts w:eastAsia="方正仿宋_GBK" w:hint="eastAsia"/>
          <w:kern w:val="0"/>
          <w:sz w:val="32"/>
          <w:szCs w:val="32"/>
        </w:rPr>
        <w:t>中创金建</w:t>
      </w:r>
      <w:proofErr w:type="gramEnd"/>
      <w:r w:rsidRPr="00413F3F">
        <w:rPr>
          <w:rStyle w:val="NormalCharacter"/>
          <w:rFonts w:eastAsia="方正仿宋_GBK" w:hint="eastAsia"/>
          <w:kern w:val="0"/>
          <w:sz w:val="32"/>
          <w:szCs w:val="32"/>
        </w:rPr>
        <w:t>技术集团有限公司</w:t>
      </w:r>
      <w:r w:rsidRPr="00413F3F">
        <w:rPr>
          <w:rFonts w:eastAsia="方正仿宋_GBK" w:hint="eastAsia"/>
          <w:sz w:val="32"/>
          <w:szCs w:val="32"/>
        </w:rPr>
        <w:t>评估并经区第十九届人民政府第</w:t>
      </w:r>
      <w:r w:rsidRPr="00413F3F">
        <w:rPr>
          <w:rFonts w:eastAsia="方正仿宋_GBK" w:hint="eastAsia"/>
          <w:sz w:val="32"/>
          <w:szCs w:val="32"/>
        </w:rPr>
        <w:t>113</w:t>
      </w:r>
      <w:r w:rsidRPr="00413F3F">
        <w:rPr>
          <w:rFonts w:eastAsia="方正仿宋_GBK" w:hint="eastAsia"/>
          <w:sz w:val="32"/>
          <w:szCs w:val="32"/>
        </w:rPr>
        <w:t>次常务会议审议通过，现将该项目投资概算的有关事宜批复如下：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13F3F">
        <w:rPr>
          <w:rFonts w:ascii="方正黑体_GBK" w:eastAsia="方正黑体_GBK" w:hint="eastAsia"/>
          <w:sz w:val="32"/>
          <w:szCs w:val="32"/>
        </w:rPr>
        <w:t>一、项目名称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Style w:val="NormalCharacter"/>
          <w:rFonts w:eastAsia="方正仿宋_GBK" w:hint="eastAsia"/>
          <w:kern w:val="0"/>
          <w:sz w:val="32"/>
          <w:szCs w:val="32"/>
        </w:rPr>
        <w:t>站前路延伸段工程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13F3F">
        <w:rPr>
          <w:rFonts w:ascii="方正黑体_GBK" w:eastAsia="方正黑体_GBK" w:hint="eastAsia"/>
          <w:sz w:val="32"/>
          <w:szCs w:val="32"/>
        </w:rPr>
        <w:t>二、项目代码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Fonts w:eastAsia="方正仿宋_GBK" w:hint="eastAsia"/>
          <w:sz w:val="32"/>
          <w:szCs w:val="32"/>
        </w:rPr>
        <w:t>2304-500105-04-01-671706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13F3F">
        <w:rPr>
          <w:rFonts w:ascii="方正黑体_GBK" w:eastAsia="方正黑体_GBK" w:hint="eastAsia"/>
          <w:sz w:val="32"/>
          <w:szCs w:val="32"/>
        </w:rPr>
        <w:lastRenderedPageBreak/>
        <w:t>三、项目法人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Fonts w:eastAsia="方正仿宋_GBK" w:hint="eastAsia"/>
          <w:sz w:val="32"/>
          <w:szCs w:val="32"/>
        </w:rPr>
        <w:t>重庆市江北区城市建设发展研究中心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13F3F">
        <w:rPr>
          <w:rFonts w:ascii="方正黑体_GBK" w:eastAsia="方正黑体_GBK" w:hint="eastAsia"/>
          <w:sz w:val="32"/>
          <w:szCs w:val="32"/>
        </w:rPr>
        <w:t>四、项目建设管理代理机构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Style w:val="NormalCharacter"/>
          <w:rFonts w:eastAsia="方正仿宋_GBK"/>
          <w:kern w:val="0"/>
          <w:sz w:val="32"/>
          <w:szCs w:val="32"/>
        </w:rPr>
      </w:pPr>
      <w:r w:rsidRPr="00413F3F">
        <w:rPr>
          <w:rStyle w:val="NormalCharacter"/>
          <w:rFonts w:eastAsia="方正仿宋_GBK" w:hint="eastAsia"/>
          <w:kern w:val="0"/>
          <w:sz w:val="32"/>
          <w:szCs w:val="32"/>
        </w:rPr>
        <w:t>重庆市江北区城市开发产业集团有限公司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13F3F">
        <w:rPr>
          <w:rFonts w:ascii="方正黑体_GBK" w:eastAsia="方正黑体_GBK" w:hint="eastAsia"/>
          <w:sz w:val="32"/>
          <w:szCs w:val="32"/>
        </w:rPr>
        <w:t>五、项目建设地点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Fonts w:eastAsia="方正仿宋_GBK" w:hint="eastAsia"/>
          <w:sz w:val="32"/>
          <w:szCs w:val="32"/>
        </w:rPr>
        <w:t>寸滩街道塔子山公园旁</w:t>
      </w: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13F3F">
        <w:rPr>
          <w:rFonts w:ascii="方正黑体_GBK" w:eastAsia="方正黑体_GBK" w:hint="eastAsia"/>
          <w:sz w:val="32"/>
          <w:szCs w:val="32"/>
        </w:rPr>
        <w:t>六、建设规模及主要内容</w:t>
      </w:r>
    </w:p>
    <w:p w:rsidR="00413F3F" w:rsidRPr="00413F3F" w:rsidRDefault="00413F3F" w:rsidP="00413F3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Fonts w:eastAsia="方正仿宋_GBK" w:hint="eastAsia"/>
          <w:sz w:val="32"/>
          <w:szCs w:val="32"/>
        </w:rPr>
        <w:t>本项目起点与</w:t>
      </w:r>
      <w:proofErr w:type="gramStart"/>
      <w:r w:rsidRPr="00413F3F">
        <w:rPr>
          <w:rFonts w:eastAsia="方正仿宋_GBK" w:hint="eastAsia"/>
          <w:sz w:val="32"/>
          <w:szCs w:val="32"/>
        </w:rPr>
        <w:t>在建北</w:t>
      </w:r>
      <w:proofErr w:type="gramEnd"/>
      <w:r w:rsidRPr="00413F3F">
        <w:rPr>
          <w:rFonts w:eastAsia="方正仿宋_GBK" w:hint="eastAsia"/>
          <w:sz w:val="32"/>
          <w:szCs w:val="32"/>
        </w:rPr>
        <w:t>滨路东延伸段平交，终点与现状泰山大道、江盛路平交。道路等级为城市主干路，总长度</w:t>
      </w:r>
      <w:r w:rsidRPr="00413F3F">
        <w:rPr>
          <w:rFonts w:eastAsia="方正仿宋_GBK" w:hint="eastAsia"/>
          <w:sz w:val="32"/>
          <w:szCs w:val="32"/>
        </w:rPr>
        <w:t>528.212m</w:t>
      </w:r>
      <w:r w:rsidRPr="00413F3F">
        <w:rPr>
          <w:rFonts w:eastAsia="方正仿宋_GBK" w:hint="eastAsia"/>
          <w:sz w:val="32"/>
          <w:szCs w:val="32"/>
        </w:rPr>
        <w:t>，其中新建段（</w:t>
      </w:r>
      <w:r w:rsidRPr="00413F3F">
        <w:rPr>
          <w:rFonts w:eastAsia="方正仿宋_GBK" w:hint="eastAsia"/>
          <w:sz w:val="32"/>
          <w:szCs w:val="32"/>
        </w:rPr>
        <w:t>K0+000-K0+473.732</w:t>
      </w:r>
      <w:r w:rsidRPr="00413F3F">
        <w:rPr>
          <w:rFonts w:eastAsia="方正仿宋_GBK" w:hint="eastAsia"/>
          <w:sz w:val="32"/>
          <w:szCs w:val="32"/>
        </w:rPr>
        <w:t>）长度约</w:t>
      </w:r>
      <w:r w:rsidRPr="00413F3F">
        <w:rPr>
          <w:rFonts w:eastAsia="方正仿宋_GBK" w:hint="eastAsia"/>
          <w:sz w:val="32"/>
          <w:szCs w:val="32"/>
        </w:rPr>
        <w:t>473.732m</w:t>
      </w:r>
      <w:r w:rsidRPr="00413F3F">
        <w:rPr>
          <w:rFonts w:eastAsia="方正仿宋_GBK" w:hint="eastAsia"/>
          <w:sz w:val="32"/>
          <w:szCs w:val="32"/>
        </w:rPr>
        <w:t>（含</w:t>
      </w:r>
      <w:r w:rsidRPr="00413F3F">
        <w:rPr>
          <w:rFonts w:eastAsia="方正仿宋_GBK" w:hint="eastAsia"/>
          <w:sz w:val="32"/>
          <w:szCs w:val="32"/>
        </w:rPr>
        <w:t>31m</w:t>
      </w:r>
      <w:r w:rsidRPr="00413F3F">
        <w:rPr>
          <w:rFonts w:eastAsia="方正仿宋_GBK" w:hint="eastAsia"/>
          <w:sz w:val="32"/>
          <w:szCs w:val="32"/>
        </w:rPr>
        <w:t>长桥梁一座），现状改造段（</w:t>
      </w:r>
      <w:r w:rsidRPr="00413F3F">
        <w:rPr>
          <w:rFonts w:eastAsia="方正仿宋_GBK" w:hint="eastAsia"/>
          <w:sz w:val="32"/>
          <w:szCs w:val="32"/>
        </w:rPr>
        <w:t>K0+473.732-K0+528.212</w:t>
      </w:r>
      <w:r w:rsidRPr="00413F3F">
        <w:rPr>
          <w:rFonts w:eastAsia="方正仿宋_GBK" w:hint="eastAsia"/>
          <w:sz w:val="32"/>
          <w:szCs w:val="32"/>
        </w:rPr>
        <w:t>）长度约</w:t>
      </w:r>
      <w:r w:rsidRPr="00413F3F">
        <w:rPr>
          <w:rFonts w:eastAsia="方正仿宋_GBK" w:hint="eastAsia"/>
          <w:sz w:val="32"/>
          <w:szCs w:val="32"/>
        </w:rPr>
        <w:t>54.48m</w:t>
      </w:r>
      <w:r w:rsidRPr="00413F3F">
        <w:rPr>
          <w:rFonts w:eastAsia="方正仿宋_GBK" w:hint="eastAsia"/>
          <w:sz w:val="32"/>
          <w:szCs w:val="32"/>
        </w:rPr>
        <w:t>，标准路幅宽度为</w:t>
      </w:r>
      <w:r w:rsidRPr="00413F3F">
        <w:rPr>
          <w:rFonts w:eastAsia="方正仿宋_GBK" w:hint="eastAsia"/>
          <w:sz w:val="32"/>
          <w:szCs w:val="32"/>
        </w:rPr>
        <w:t>35m</w:t>
      </w:r>
      <w:r w:rsidRPr="00413F3F">
        <w:rPr>
          <w:rFonts w:eastAsia="方正仿宋_GBK" w:hint="eastAsia"/>
          <w:sz w:val="32"/>
          <w:szCs w:val="32"/>
        </w:rPr>
        <w:t>，双向六车道，设计时速</w:t>
      </w:r>
      <w:r w:rsidRPr="00413F3F">
        <w:rPr>
          <w:rFonts w:eastAsia="方正仿宋_GBK" w:hint="eastAsia"/>
          <w:sz w:val="32"/>
          <w:szCs w:val="32"/>
        </w:rPr>
        <w:t>40km/h</w:t>
      </w:r>
      <w:r w:rsidRPr="00413F3F">
        <w:rPr>
          <w:rFonts w:eastAsia="方正仿宋_GBK" w:hint="eastAsia"/>
          <w:sz w:val="32"/>
          <w:szCs w:val="32"/>
        </w:rPr>
        <w:t>。项目主要建设内容包括土石方、边坡挡墙、道路、结构、桥梁、建筑、给排水、交通、照明、电力、通信、绿化等工程。</w:t>
      </w:r>
    </w:p>
    <w:p w:rsidR="00413F3F" w:rsidRPr="00413F3F" w:rsidRDefault="00413F3F" w:rsidP="00413F3F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13F3F">
        <w:rPr>
          <w:rFonts w:ascii="方正黑体_GBK" w:eastAsia="方正黑体_GBK" w:hint="eastAsia"/>
          <w:sz w:val="32"/>
          <w:szCs w:val="32"/>
        </w:rPr>
        <w:t>七、总投资及资金来源</w:t>
      </w:r>
    </w:p>
    <w:p w:rsidR="00413F3F" w:rsidRPr="00413F3F" w:rsidRDefault="00413F3F" w:rsidP="00413F3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Fonts w:eastAsia="方正仿宋_GBK" w:hint="eastAsia"/>
          <w:sz w:val="32"/>
          <w:szCs w:val="32"/>
        </w:rPr>
        <w:t>项目总投资为</w:t>
      </w:r>
      <w:r w:rsidRPr="00413F3F">
        <w:rPr>
          <w:rFonts w:eastAsia="方正仿宋_GBK" w:hint="eastAsia"/>
          <w:sz w:val="32"/>
          <w:szCs w:val="32"/>
        </w:rPr>
        <w:t>12075.19</w:t>
      </w:r>
      <w:r w:rsidRPr="00413F3F">
        <w:rPr>
          <w:rFonts w:eastAsia="方正仿宋_GBK" w:hint="eastAsia"/>
          <w:sz w:val="32"/>
          <w:szCs w:val="32"/>
        </w:rPr>
        <w:t>万元，其中建安工程费用</w:t>
      </w:r>
      <w:r w:rsidRPr="00413F3F">
        <w:rPr>
          <w:rFonts w:eastAsia="方正仿宋_GBK" w:hint="eastAsia"/>
          <w:sz w:val="32"/>
          <w:szCs w:val="32"/>
        </w:rPr>
        <w:t>5134.28</w:t>
      </w:r>
      <w:r w:rsidRPr="00413F3F">
        <w:rPr>
          <w:rFonts w:eastAsia="方正仿宋_GBK" w:hint="eastAsia"/>
          <w:sz w:val="32"/>
          <w:szCs w:val="32"/>
        </w:rPr>
        <w:t>万元，工程建设其他费用</w:t>
      </w:r>
      <w:r w:rsidRPr="00413F3F">
        <w:rPr>
          <w:rFonts w:eastAsia="方正仿宋_GBK" w:hint="eastAsia"/>
          <w:sz w:val="32"/>
          <w:szCs w:val="32"/>
        </w:rPr>
        <w:t>6757.53</w:t>
      </w:r>
      <w:r w:rsidRPr="00413F3F">
        <w:rPr>
          <w:rFonts w:eastAsia="方正仿宋_GBK" w:hint="eastAsia"/>
          <w:sz w:val="32"/>
          <w:szCs w:val="32"/>
        </w:rPr>
        <w:t>万元，预备费</w:t>
      </w:r>
      <w:r w:rsidRPr="00413F3F">
        <w:rPr>
          <w:rFonts w:eastAsia="方正仿宋_GBK" w:hint="eastAsia"/>
          <w:sz w:val="32"/>
          <w:szCs w:val="32"/>
        </w:rPr>
        <w:t>183.38</w:t>
      </w:r>
      <w:r w:rsidRPr="00413F3F">
        <w:rPr>
          <w:rFonts w:eastAsia="方正仿宋_GBK" w:hint="eastAsia"/>
          <w:sz w:val="32"/>
          <w:szCs w:val="32"/>
        </w:rPr>
        <w:t>万元。</w:t>
      </w:r>
    </w:p>
    <w:p w:rsidR="00413F3F" w:rsidRPr="00413F3F" w:rsidRDefault="00413F3F" w:rsidP="00413F3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Fonts w:eastAsia="方正仿宋_GBK" w:hint="eastAsia"/>
          <w:sz w:val="32"/>
          <w:szCs w:val="32"/>
        </w:rPr>
        <w:t>建设资金来源为区级财政资金。</w:t>
      </w:r>
    </w:p>
    <w:p w:rsidR="00413F3F" w:rsidRPr="00413F3F" w:rsidRDefault="00413F3F" w:rsidP="00413F3F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13F3F">
        <w:rPr>
          <w:rFonts w:ascii="方正黑体_GBK" w:eastAsia="方正黑体_GBK" w:hint="eastAsia"/>
          <w:sz w:val="32"/>
          <w:szCs w:val="32"/>
        </w:rPr>
        <w:t>八、建设工期</w:t>
      </w:r>
    </w:p>
    <w:p w:rsidR="00413F3F" w:rsidRPr="00413F3F" w:rsidRDefault="00413F3F" w:rsidP="00413F3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Fonts w:eastAsia="方正仿宋_GBK" w:hint="eastAsia"/>
          <w:sz w:val="32"/>
          <w:szCs w:val="32"/>
        </w:rPr>
        <w:t>11</w:t>
      </w:r>
      <w:r w:rsidRPr="00413F3F">
        <w:rPr>
          <w:rFonts w:eastAsia="方正仿宋_GBK" w:hint="eastAsia"/>
          <w:sz w:val="32"/>
          <w:szCs w:val="32"/>
        </w:rPr>
        <w:t>个月</w:t>
      </w:r>
    </w:p>
    <w:p w:rsidR="00413F3F" w:rsidRPr="00413F3F" w:rsidRDefault="00413F3F" w:rsidP="00413F3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Fonts w:eastAsia="方正仿宋_GBK" w:hint="eastAsia"/>
          <w:sz w:val="32"/>
          <w:szCs w:val="32"/>
        </w:rPr>
        <w:t>请据此进一步深化工程设计方案，施工图必须在概算控制数以内实行限额设计。要严格执行相关规定，切实加强工程管理，</w:t>
      </w:r>
      <w:r w:rsidRPr="00413F3F">
        <w:rPr>
          <w:rFonts w:eastAsia="方正仿宋_GBK" w:hint="eastAsia"/>
          <w:sz w:val="32"/>
          <w:szCs w:val="32"/>
        </w:rPr>
        <w:lastRenderedPageBreak/>
        <w:t>确保工程质量和安全，尽快建成投入使用。请将该批复文件依法报区应急管理</w:t>
      </w:r>
      <w:r w:rsidR="006346CB">
        <w:rPr>
          <w:rFonts w:eastAsia="方正仿宋_GBK" w:hint="eastAsia"/>
          <w:sz w:val="32"/>
          <w:szCs w:val="32"/>
        </w:rPr>
        <w:t>局</w:t>
      </w:r>
      <w:bookmarkStart w:id="0" w:name="_GoBack"/>
      <w:bookmarkEnd w:id="0"/>
      <w:r w:rsidRPr="00413F3F">
        <w:rPr>
          <w:rFonts w:eastAsia="方正仿宋_GBK" w:hint="eastAsia"/>
          <w:sz w:val="32"/>
          <w:szCs w:val="32"/>
        </w:rPr>
        <w:t>备案。</w:t>
      </w:r>
    </w:p>
    <w:p w:rsidR="00413F3F" w:rsidRPr="00413F3F" w:rsidRDefault="00413F3F" w:rsidP="00413F3F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13F3F">
        <w:rPr>
          <w:rFonts w:eastAsia="方正仿宋_GBK" w:hint="eastAsia"/>
          <w:sz w:val="32"/>
          <w:szCs w:val="32"/>
        </w:rPr>
        <w:t>本批文有效期为一年，若未在有效期内开工建设，本批文将自然失效。</w:t>
      </w:r>
    </w:p>
    <w:p w:rsidR="00413F3F" w:rsidRPr="00413F3F" w:rsidRDefault="00413F3F" w:rsidP="00413F3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413F3F" w:rsidRPr="00413F3F" w:rsidRDefault="00413F3F" w:rsidP="00413F3F">
      <w:pPr>
        <w:pStyle w:val="a3"/>
        <w:spacing w:line="600" w:lineRule="exact"/>
        <w:ind w:firstLineChars="200" w:firstLine="640"/>
        <w:rPr>
          <w:rFonts w:ascii="方正仿宋_GBK" w:eastAsia="方正仿宋_GBK"/>
          <w:kern w:val="0"/>
          <w:sz w:val="32"/>
          <w:szCs w:val="32"/>
        </w:rPr>
      </w:pPr>
      <w:r w:rsidRPr="00413F3F">
        <w:rPr>
          <w:rFonts w:ascii="方正仿宋_GBK" w:eastAsia="方正仿宋_GBK" w:hint="eastAsia"/>
          <w:sz w:val="32"/>
          <w:szCs w:val="32"/>
        </w:rPr>
        <w:t>附件：站前路延伸段工程总投资概算表</w:t>
      </w:r>
    </w:p>
    <w:p w:rsidR="00B25315" w:rsidRPr="00413F3F" w:rsidRDefault="00B25315" w:rsidP="00C61985">
      <w:pPr>
        <w:pStyle w:val="a3"/>
        <w:spacing w:line="600" w:lineRule="exact"/>
        <w:jc w:val="right"/>
        <w:rPr>
          <w:rStyle w:val="NormalCharacter"/>
          <w:rFonts w:eastAsia="方正仿宋_GBK"/>
          <w:spacing w:val="-6"/>
          <w:sz w:val="32"/>
          <w:szCs w:val="32"/>
        </w:rPr>
      </w:pPr>
    </w:p>
    <w:p w:rsidR="00B25315" w:rsidRPr="00D92B22" w:rsidRDefault="00B25315" w:rsidP="00C61985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880850" w:rsidRPr="00D92B22" w:rsidRDefault="00D217C1" w:rsidP="00C61985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D92B22">
        <w:rPr>
          <w:rFonts w:eastAsia="方正仿宋_GBK"/>
          <w:sz w:val="32"/>
          <w:szCs w:val="32"/>
        </w:rPr>
        <w:t>重庆市江北区发展和改革委员会</w:t>
      </w:r>
    </w:p>
    <w:p w:rsidR="00880850" w:rsidRPr="00D92B22" w:rsidRDefault="00D217C1" w:rsidP="00C61985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D92B22">
        <w:rPr>
          <w:rFonts w:eastAsia="方正仿宋_GBK"/>
          <w:sz w:val="32"/>
          <w:szCs w:val="32"/>
        </w:rPr>
        <w:t>2025</w:t>
      </w:r>
      <w:r w:rsidRPr="00D92B22">
        <w:rPr>
          <w:rFonts w:eastAsia="方正仿宋_GBK"/>
          <w:sz w:val="32"/>
          <w:szCs w:val="32"/>
        </w:rPr>
        <w:t>年</w:t>
      </w:r>
      <w:r w:rsidR="00B25315" w:rsidRPr="00D92B22">
        <w:rPr>
          <w:rFonts w:eastAsia="方正仿宋_GBK"/>
          <w:sz w:val="32"/>
          <w:szCs w:val="32"/>
        </w:rPr>
        <w:t>2</w:t>
      </w:r>
      <w:r w:rsidRPr="00D92B22">
        <w:rPr>
          <w:rFonts w:eastAsia="方正仿宋_GBK"/>
          <w:sz w:val="32"/>
          <w:szCs w:val="32"/>
        </w:rPr>
        <w:t>月</w:t>
      </w:r>
      <w:r w:rsidR="005D3392">
        <w:rPr>
          <w:rFonts w:eastAsia="方正仿宋_GBK"/>
          <w:sz w:val="32"/>
          <w:szCs w:val="32"/>
        </w:rPr>
        <w:t>10</w:t>
      </w:r>
      <w:r w:rsidRPr="00D92B22">
        <w:rPr>
          <w:rFonts w:eastAsia="方正仿宋_GBK"/>
          <w:sz w:val="32"/>
          <w:szCs w:val="32"/>
        </w:rPr>
        <w:t>日</w:t>
      </w:r>
    </w:p>
    <w:p w:rsidR="00B25315" w:rsidRPr="00D92B22" w:rsidRDefault="00B25315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B25315" w:rsidRPr="00D92B22" w:rsidRDefault="00B25315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B25315" w:rsidRPr="00D92B22" w:rsidRDefault="00B25315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B25315" w:rsidRDefault="00B25315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413F3F" w:rsidRDefault="00413F3F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413F3F" w:rsidRDefault="00413F3F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413F3F" w:rsidRDefault="00413F3F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413F3F" w:rsidRDefault="00413F3F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413F3F" w:rsidRPr="00D92B22" w:rsidRDefault="00413F3F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B25315" w:rsidRPr="00D92B22" w:rsidRDefault="00B25315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880850" w:rsidRPr="00D92B22" w:rsidRDefault="00880850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D92B22" w:rsidRPr="00D92B22" w:rsidRDefault="00D92B22">
      <w:pPr>
        <w:pStyle w:val="a3"/>
        <w:spacing w:line="600" w:lineRule="exact"/>
        <w:ind w:rightChars="547" w:right="1641"/>
        <w:jc w:val="right"/>
        <w:rPr>
          <w:rFonts w:eastAsia="方正仿宋_GBK"/>
          <w:sz w:val="32"/>
          <w:szCs w:val="32"/>
        </w:rPr>
      </w:pPr>
    </w:p>
    <w:p w:rsidR="00880850" w:rsidRDefault="00D217C1">
      <w:pPr>
        <w:spacing w:line="600" w:lineRule="exact"/>
        <w:jc w:val="left"/>
        <w:rPr>
          <w:rFonts w:eastAsia="方正黑体_GBK"/>
          <w:kern w:val="32"/>
          <w:szCs w:val="32"/>
        </w:rPr>
      </w:pPr>
      <w:r w:rsidRPr="00D92B22">
        <w:rPr>
          <w:rFonts w:eastAsia="方正黑体_GBK"/>
          <w:kern w:val="32"/>
          <w:szCs w:val="32"/>
        </w:rPr>
        <w:lastRenderedPageBreak/>
        <w:t>附件</w:t>
      </w:r>
    </w:p>
    <w:p w:rsidR="00413F3F" w:rsidRDefault="00413F3F">
      <w:pPr>
        <w:spacing w:line="600" w:lineRule="exact"/>
        <w:jc w:val="left"/>
        <w:rPr>
          <w:rFonts w:eastAsia="方正黑体_GBK"/>
          <w:kern w:val="32"/>
          <w:szCs w:val="32"/>
        </w:rPr>
      </w:pPr>
    </w:p>
    <w:p w:rsidR="00413F3F" w:rsidRDefault="00413F3F" w:rsidP="00413F3F">
      <w:pPr>
        <w:spacing w:line="594" w:lineRule="exact"/>
        <w:jc w:val="center"/>
        <w:rPr>
          <w:rFonts w:eastAsia="方正小标宋_GBK"/>
          <w:kern w:val="32"/>
          <w:sz w:val="44"/>
          <w:szCs w:val="44"/>
        </w:rPr>
      </w:pPr>
      <w:r>
        <w:rPr>
          <w:rFonts w:eastAsia="方正小标宋_GBK" w:hint="eastAsia"/>
          <w:kern w:val="32"/>
          <w:sz w:val="44"/>
          <w:szCs w:val="44"/>
        </w:rPr>
        <w:t>站前路延伸段工程总投资概算表</w:t>
      </w:r>
    </w:p>
    <w:p w:rsidR="00413F3F" w:rsidRDefault="00413F3F" w:rsidP="00413F3F"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>单位：万元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4384"/>
        <w:gridCol w:w="2132"/>
        <w:gridCol w:w="1325"/>
      </w:tblGrid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Cs w:val="30"/>
              </w:rPr>
            </w:pPr>
            <w:r w:rsidRPr="00413F3F">
              <w:rPr>
                <w:rFonts w:eastAsia="方正黑体_GBK"/>
                <w:color w:val="000000"/>
                <w:szCs w:val="30"/>
              </w:rPr>
              <w:t>序号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Cs w:val="30"/>
              </w:rPr>
            </w:pPr>
            <w:r w:rsidRPr="00413F3F">
              <w:rPr>
                <w:rFonts w:eastAsia="方正黑体_GBK"/>
                <w:color w:val="000000"/>
                <w:szCs w:val="30"/>
              </w:rPr>
              <w:t>工程或费用名称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Cs w:val="30"/>
              </w:rPr>
            </w:pPr>
            <w:r w:rsidRPr="00413F3F">
              <w:rPr>
                <w:rFonts w:eastAsia="方正黑体_GBK"/>
                <w:color w:val="000000"/>
                <w:szCs w:val="30"/>
              </w:rPr>
              <w:t>概算金额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Cs w:val="30"/>
              </w:rPr>
            </w:pPr>
            <w:r w:rsidRPr="00413F3F">
              <w:rPr>
                <w:rFonts w:eastAsia="方正黑体_GBK"/>
                <w:color w:val="000000"/>
                <w:szCs w:val="30"/>
              </w:rPr>
              <w:t>备注</w:t>
            </w: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/>
                <w:szCs w:val="30"/>
              </w:rPr>
            </w:pPr>
            <w:proofErr w:type="gramStart"/>
            <w:r w:rsidRPr="00413F3F">
              <w:rPr>
                <w:rFonts w:eastAsia="方正黑体_GBK"/>
                <w:b/>
                <w:bCs/>
                <w:color w:val="000000"/>
                <w:kern w:val="0"/>
                <w:szCs w:val="30"/>
                <w:lang w:bidi="ar"/>
              </w:rPr>
              <w:t>一</w:t>
            </w:r>
            <w:proofErr w:type="gramEnd"/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Cs w:val="30"/>
              </w:rPr>
            </w:pPr>
            <w:r w:rsidRPr="00413F3F">
              <w:rPr>
                <w:rFonts w:eastAsia="方正黑体_GBK"/>
                <w:color w:val="000000"/>
                <w:kern w:val="0"/>
                <w:szCs w:val="30"/>
                <w:lang w:bidi="ar"/>
              </w:rPr>
              <w:t>建筑安装工程费用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黑体_GBK"/>
                <w:color w:val="000000"/>
                <w:kern w:val="0"/>
                <w:szCs w:val="30"/>
                <w:lang w:bidi="ar"/>
              </w:rPr>
              <w:t>5134.28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黑体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新建段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4404.09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1.1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土石方工程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386.53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1.2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道路工程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791.43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1.3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挡墙结构工程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713.02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1.4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桥梁工程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987.48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1.5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建筑工程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41.90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1.6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排水工程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818.12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1.7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交通工程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67.57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1.8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照明工程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126.05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1.9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电力工程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132.61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1.10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通信工程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71.77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1.11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给水工程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57.21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1.12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绿化工程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210.40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2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改造段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730.19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2.1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土石方工程</w:t>
            </w: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54.93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2.2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道路工程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317.41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2.3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排水工程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116.56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lastRenderedPageBreak/>
              <w:t>2.4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交通工程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68.25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2.5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照明工程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24.37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2.6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电力工程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103.12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2.7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通信工程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24.77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2.8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给水工程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20.78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/>
                <w:szCs w:val="30"/>
              </w:rPr>
            </w:pPr>
            <w:r w:rsidRPr="00413F3F">
              <w:rPr>
                <w:rFonts w:eastAsia="方正黑体_GBK"/>
                <w:b/>
                <w:bCs/>
                <w:color w:val="000000"/>
                <w:kern w:val="0"/>
                <w:szCs w:val="30"/>
                <w:lang w:bidi="ar"/>
              </w:rPr>
              <w:t>二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Cs w:val="30"/>
              </w:rPr>
            </w:pPr>
            <w:r w:rsidRPr="00413F3F">
              <w:rPr>
                <w:rFonts w:eastAsia="方正黑体_GBK"/>
                <w:color w:val="000000"/>
                <w:kern w:val="0"/>
                <w:szCs w:val="30"/>
                <w:lang w:bidi="ar"/>
              </w:rPr>
              <w:t>工程建设其他费用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黑体_GBK"/>
                <w:color w:val="000000"/>
                <w:kern w:val="0"/>
                <w:szCs w:val="30"/>
                <w:lang w:bidi="ar"/>
              </w:rPr>
              <w:t>6757.53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黑体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前期工程费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6281.37 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2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与项目建设有关的其他费用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476.16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left"/>
              <w:rPr>
                <w:rFonts w:eastAsia="方正仿宋_GBK"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Cs/>
                <w:szCs w:val="30"/>
              </w:rPr>
            </w:pPr>
            <w:r w:rsidRPr="00413F3F">
              <w:rPr>
                <w:rFonts w:eastAsia="方正黑体_GBK"/>
                <w:b/>
                <w:bCs/>
                <w:color w:val="000000"/>
                <w:kern w:val="0"/>
                <w:szCs w:val="30"/>
                <w:lang w:bidi="ar"/>
              </w:rPr>
              <w:t>三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Cs w:val="30"/>
              </w:rPr>
            </w:pPr>
            <w:r w:rsidRPr="00413F3F">
              <w:rPr>
                <w:rFonts w:eastAsia="方正黑体_GBK"/>
                <w:color w:val="000000"/>
                <w:kern w:val="0"/>
                <w:szCs w:val="30"/>
                <w:lang w:bidi="ar"/>
              </w:rPr>
              <w:t>预备费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黑体_GBK"/>
                <w:color w:val="000000"/>
                <w:kern w:val="0"/>
                <w:szCs w:val="30"/>
                <w:lang w:bidi="ar"/>
              </w:rPr>
              <w:t>183.38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left"/>
              <w:rPr>
                <w:rFonts w:eastAsia="方正黑体_GBK"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1140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Cs w:val="30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</w:t>
            </w:r>
          </w:p>
        </w:tc>
        <w:tc>
          <w:tcPr>
            <w:tcW w:w="4384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Cs w:val="30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基本预备费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仿宋_GBK"/>
                <w:color w:val="000000"/>
                <w:kern w:val="0"/>
                <w:szCs w:val="30"/>
                <w:lang w:bidi="ar"/>
              </w:rPr>
              <w:t>183.38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spacing w:line="0" w:lineRule="atLeast"/>
              <w:jc w:val="left"/>
              <w:rPr>
                <w:rFonts w:eastAsia="方正仿宋_GBK"/>
                <w:szCs w:val="30"/>
              </w:rPr>
            </w:pPr>
          </w:p>
        </w:tc>
      </w:tr>
      <w:tr w:rsidR="00413F3F" w:rsidRPr="00413F3F" w:rsidTr="00413F3F">
        <w:trPr>
          <w:trHeight w:val="567"/>
          <w:jc w:val="center"/>
        </w:trPr>
        <w:tc>
          <w:tcPr>
            <w:tcW w:w="5524" w:type="dxa"/>
            <w:gridSpan w:val="2"/>
            <w:vAlign w:val="center"/>
          </w:tcPr>
          <w:p w:rsidR="00413F3F" w:rsidRPr="00413F3F" w:rsidRDefault="00413F3F" w:rsidP="00413F3F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13F3F">
              <w:rPr>
                <w:rFonts w:eastAsia="方正黑体_GBK"/>
                <w:color w:val="000000"/>
                <w:szCs w:val="30"/>
              </w:rPr>
              <w:t>项目总投资</w:t>
            </w:r>
          </w:p>
        </w:tc>
        <w:tc>
          <w:tcPr>
            <w:tcW w:w="2132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413F3F">
              <w:rPr>
                <w:rFonts w:eastAsia="方正黑体_GBK"/>
                <w:color w:val="000000"/>
                <w:kern w:val="0"/>
                <w:szCs w:val="30"/>
                <w:lang w:bidi="ar"/>
              </w:rPr>
              <w:t>12075.19</w:t>
            </w:r>
          </w:p>
        </w:tc>
        <w:tc>
          <w:tcPr>
            <w:tcW w:w="1325" w:type="dxa"/>
            <w:vAlign w:val="center"/>
          </w:tcPr>
          <w:p w:rsidR="00413F3F" w:rsidRPr="00413F3F" w:rsidRDefault="00413F3F" w:rsidP="00413F3F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</w:p>
        </w:tc>
      </w:tr>
    </w:tbl>
    <w:p w:rsidR="00413F3F" w:rsidRDefault="00413F3F" w:rsidP="00413F3F">
      <w:pPr>
        <w:spacing w:line="600" w:lineRule="exact"/>
        <w:rPr>
          <w:rFonts w:eastAsia="方正仿宋_GBK"/>
          <w:sz w:val="28"/>
          <w:szCs w:val="28"/>
        </w:rPr>
      </w:pPr>
    </w:p>
    <w:p w:rsidR="00413F3F" w:rsidRPr="00D92B22" w:rsidRDefault="00413F3F">
      <w:pPr>
        <w:spacing w:line="600" w:lineRule="exact"/>
        <w:jc w:val="left"/>
        <w:rPr>
          <w:rFonts w:eastAsia="方正黑体_GBK"/>
          <w:kern w:val="32"/>
          <w:szCs w:val="32"/>
        </w:rPr>
      </w:pPr>
    </w:p>
    <w:p w:rsidR="00880850" w:rsidRPr="00D92B22" w:rsidRDefault="00880850">
      <w:pPr>
        <w:spacing w:line="600" w:lineRule="exact"/>
        <w:jc w:val="left"/>
        <w:rPr>
          <w:rFonts w:eastAsia="方正小标宋_GBK"/>
          <w:kern w:val="32"/>
          <w:szCs w:val="32"/>
        </w:rPr>
      </w:pPr>
    </w:p>
    <w:p w:rsidR="00880850" w:rsidRPr="00D92B22" w:rsidRDefault="00880850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880850" w:rsidRPr="00D92B22" w:rsidRDefault="00880850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880850" w:rsidRPr="00D92B22" w:rsidRDefault="00880850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413F3F" w:rsidRPr="00D92B22" w:rsidRDefault="00413F3F" w:rsidP="00413F3F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880850" w:rsidRPr="00D92B22" w:rsidRDefault="00880850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880850" w:rsidRPr="00D92B22" w:rsidRDefault="00880850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880850" w:rsidRPr="00D92B22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D92B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D92B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D92B22">
        <w:rPr>
          <w:rFonts w:eastAsia="方正仿宋_GBK"/>
          <w:sz w:val="28"/>
          <w:szCs w:val="28"/>
        </w:rPr>
        <w:t>重庆市江北区发展和改革委员会办公室</w:t>
      </w:r>
      <w:r w:rsidRPr="00D92B22">
        <w:rPr>
          <w:rFonts w:eastAsia="方正仿宋_GBK"/>
          <w:sz w:val="28"/>
          <w:szCs w:val="28"/>
        </w:rPr>
        <w:t xml:space="preserve">       2025</w:t>
      </w:r>
      <w:r w:rsidRPr="00D92B22">
        <w:rPr>
          <w:rFonts w:eastAsia="方正仿宋_GBK"/>
          <w:sz w:val="28"/>
          <w:szCs w:val="28"/>
        </w:rPr>
        <w:t>年</w:t>
      </w:r>
      <w:r w:rsidR="00B25315" w:rsidRPr="00D92B22">
        <w:rPr>
          <w:rFonts w:eastAsia="方正仿宋_GBK"/>
          <w:sz w:val="28"/>
          <w:szCs w:val="28"/>
        </w:rPr>
        <w:t>2</w:t>
      </w:r>
      <w:r w:rsidRPr="00D92B22">
        <w:rPr>
          <w:rFonts w:eastAsia="方正仿宋_GBK"/>
          <w:sz w:val="28"/>
          <w:szCs w:val="28"/>
        </w:rPr>
        <w:t>月</w:t>
      </w:r>
      <w:r w:rsidR="005D3392">
        <w:rPr>
          <w:rFonts w:eastAsia="方正仿宋_GBK"/>
          <w:sz w:val="28"/>
          <w:szCs w:val="28"/>
        </w:rPr>
        <w:t>10</w:t>
      </w:r>
      <w:r w:rsidRPr="00D92B22">
        <w:rPr>
          <w:rFonts w:eastAsia="方正仿宋_GBK"/>
          <w:sz w:val="28"/>
          <w:szCs w:val="28"/>
        </w:rPr>
        <w:t>日印发</w:t>
      </w:r>
    </w:p>
    <w:p w:rsidR="00880850" w:rsidRPr="00D92B22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D92B22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1AE" w:rsidRDefault="00ED51AE">
      <w:r>
        <w:separator/>
      </w:r>
    </w:p>
  </w:endnote>
  <w:endnote w:type="continuationSeparator" w:id="0">
    <w:p w:rsidR="00ED51AE" w:rsidRDefault="00ED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6346CB" w:rsidRPr="006346CB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6346CB" w:rsidRPr="006346CB">
          <w:rPr>
            <w:rFonts w:asciiTheme="majorEastAsia" w:eastAsiaTheme="majorEastAsia" w:hAnsiTheme="majorEastAsia"/>
            <w:noProof/>
            <w:sz w:val="28"/>
            <w:lang w:val="zh-CN"/>
          </w:rPr>
          <w:t>5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6346CB" w:rsidRPr="006346CB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1AE" w:rsidRDefault="00ED51AE">
      <w:r>
        <w:separator/>
      </w:r>
    </w:p>
  </w:footnote>
  <w:footnote w:type="continuationSeparator" w:id="0">
    <w:p w:rsidR="00ED51AE" w:rsidRDefault="00ED5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55ECF"/>
    <w:rsid w:val="0006539A"/>
    <w:rsid w:val="000765DA"/>
    <w:rsid w:val="00081BAE"/>
    <w:rsid w:val="000845CE"/>
    <w:rsid w:val="000903C0"/>
    <w:rsid w:val="000B3966"/>
    <w:rsid w:val="000C0215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7AAA"/>
    <w:rsid w:val="00186104"/>
    <w:rsid w:val="00191646"/>
    <w:rsid w:val="00194AB9"/>
    <w:rsid w:val="001B0838"/>
    <w:rsid w:val="001B166A"/>
    <w:rsid w:val="001B3A1A"/>
    <w:rsid w:val="001B5F19"/>
    <w:rsid w:val="001C7152"/>
    <w:rsid w:val="001D3118"/>
    <w:rsid w:val="001E1ED5"/>
    <w:rsid w:val="001E2E55"/>
    <w:rsid w:val="001E7300"/>
    <w:rsid w:val="001F55F1"/>
    <w:rsid w:val="00226FF6"/>
    <w:rsid w:val="00235194"/>
    <w:rsid w:val="002419E3"/>
    <w:rsid w:val="0024257E"/>
    <w:rsid w:val="0024495E"/>
    <w:rsid w:val="00272233"/>
    <w:rsid w:val="002759D5"/>
    <w:rsid w:val="00286E3F"/>
    <w:rsid w:val="00295FA3"/>
    <w:rsid w:val="002A1EEC"/>
    <w:rsid w:val="002C291A"/>
    <w:rsid w:val="002C4B30"/>
    <w:rsid w:val="002D0D23"/>
    <w:rsid w:val="002D57E1"/>
    <w:rsid w:val="002E2717"/>
    <w:rsid w:val="00303751"/>
    <w:rsid w:val="00322CC3"/>
    <w:rsid w:val="00322D4E"/>
    <w:rsid w:val="003249CB"/>
    <w:rsid w:val="00334A54"/>
    <w:rsid w:val="00346318"/>
    <w:rsid w:val="0034705B"/>
    <w:rsid w:val="00351E3D"/>
    <w:rsid w:val="00356FB2"/>
    <w:rsid w:val="003652D5"/>
    <w:rsid w:val="00387465"/>
    <w:rsid w:val="00390EE5"/>
    <w:rsid w:val="003925DF"/>
    <w:rsid w:val="00393A74"/>
    <w:rsid w:val="003A31F0"/>
    <w:rsid w:val="003A5AB1"/>
    <w:rsid w:val="003B58EC"/>
    <w:rsid w:val="003C272F"/>
    <w:rsid w:val="003C5218"/>
    <w:rsid w:val="003E2CE9"/>
    <w:rsid w:val="003F066A"/>
    <w:rsid w:val="003F0D59"/>
    <w:rsid w:val="003F5622"/>
    <w:rsid w:val="004038ED"/>
    <w:rsid w:val="00411AB6"/>
    <w:rsid w:val="00413F3F"/>
    <w:rsid w:val="004250E7"/>
    <w:rsid w:val="004532AF"/>
    <w:rsid w:val="00462014"/>
    <w:rsid w:val="00465389"/>
    <w:rsid w:val="004A0976"/>
    <w:rsid w:val="004A5202"/>
    <w:rsid w:val="004A7B04"/>
    <w:rsid w:val="004B345A"/>
    <w:rsid w:val="004C40FE"/>
    <w:rsid w:val="004C5CC1"/>
    <w:rsid w:val="004D3845"/>
    <w:rsid w:val="004F3333"/>
    <w:rsid w:val="005034C0"/>
    <w:rsid w:val="00534253"/>
    <w:rsid w:val="00553C3C"/>
    <w:rsid w:val="005557E5"/>
    <w:rsid w:val="00556115"/>
    <w:rsid w:val="00557A37"/>
    <w:rsid w:val="00563876"/>
    <w:rsid w:val="00570CC8"/>
    <w:rsid w:val="00597524"/>
    <w:rsid w:val="00597C1D"/>
    <w:rsid w:val="00597C9F"/>
    <w:rsid w:val="005C3626"/>
    <w:rsid w:val="005D3392"/>
    <w:rsid w:val="005E0EFA"/>
    <w:rsid w:val="005E4A4F"/>
    <w:rsid w:val="005F414A"/>
    <w:rsid w:val="005F618F"/>
    <w:rsid w:val="00605292"/>
    <w:rsid w:val="0061748D"/>
    <w:rsid w:val="00626623"/>
    <w:rsid w:val="00626695"/>
    <w:rsid w:val="006346CB"/>
    <w:rsid w:val="00637A4C"/>
    <w:rsid w:val="006542B3"/>
    <w:rsid w:val="006557B6"/>
    <w:rsid w:val="006572BD"/>
    <w:rsid w:val="006620E6"/>
    <w:rsid w:val="00674DEE"/>
    <w:rsid w:val="0068202F"/>
    <w:rsid w:val="00696E0E"/>
    <w:rsid w:val="006A2293"/>
    <w:rsid w:val="006C3408"/>
    <w:rsid w:val="006C5977"/>
    <w:rsid w:val="006F566B"/>
    <w:rsid w:val="007049D8"/>
    <w:rsid w:val="00705062"/>
    <w:rsid w:val="007251A9"/>
    <w:rsid w:val="0072738F"/>
    <w:rsid w:val="00732EC7"/>
    <w:rsid w:val="00743ABA"/>
    <w:rsid w:val="00751704"/>
    <w:rsid w:val="00757185"/>
    <w:rsid w:val="00771434"/>
    <w:rsid w:val="00772E17"/>
    <w:rsid w:val="007822DD"/>
    <w:rsid w:val="00785A22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27BD5"/>
    <w:rsid w:val="00836ECC"/>
    <w:rsid w:val="008464A2"/>
    <w:rsid w:val="008509EF"/>
    <w:rsid w:val="008714EE"/>
    <w:rsid w:val="00880850"/>
    <w:rsid w:val="00891CAE"/>
    <w:rsid w:val="008A540D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90F"/>
    <w:rsid w:val="00920C63"/>
    <w:rsid w:val="0092174E"/>
    <w:rsid w:val="0094055C"/>
    <w:rsid w:val="00950CC0"/>
    <w:rsid w:val="009542CA"/>
    <w:rsid w:val="00970ED4"/>
    <w:rsid w:val="00977019"/>
    <w:rsid w:val="009776B5"/>
    <w:rsid w:val="009810AB"/>
    <w:rsid w:val="009914E4"/>
    <w:rsid w:val="00991BEE"/>
    <w:rsid w:val="00995246"/>
    <w:rsid w:val="00995923"/>
    <w:rsid w:val="009A5AEE"/>
    <w:rsid w:val="009B13EF"/>
    <w:rsid w:val="009B77A7"/>
    <w:rsid w:val="009C4C09"/>
    <w:rsid w:val="009C5176"/>
    <w:rsid w:val="009F46A9"/>
    <w:rsid w:val="009F661E"/>
    <w:rsid w:val="00A12036"/>
    <w:rsid w:val="00A205E4"/>
    <w:rsid w:val="00A415F2"/>
    <w:rsid w:val="00A437E9"/>
    <w:rsid w:val="00A57151"/>
    <w:rsid w:val="00A75B03"/>
    <w:rsid w:val="00A946CC"/>
    <w:rsid w:val="00AA2057"/>
    <w:rsid w:val="00AA20BC"/>
    <w:rsid w:val="00AD7E26"/>
    <w:rsid w:val="00AE08B4"/>
    <w:rsid w:val="00AF25F6"/>
    <w:rsid w:val="00B0209D"/>
    <w:rsid w:val="00B0625F"/>
    <w:rsid w:val="00B07702"/>
    <w:rsid w:val="00B07ED1"/>
    <w:rsid w:val="00B25315"/>
    <w:rsid w:val="00B33F77"/>
    <w:rsid w:val="00B45E62"/>
    <w:rsid w:val="00B47399"/>
    <w:rsid w:val="00B501DE"/>
    <w:rsid w:val="00B53A3F"/>
    <w:rsid w:val="00B575E3"/>
    <w:rsid w:val="00B60AB5"/>
    <w:rsid w:val="00B65CFE"/>
    <w:rsid w:val="00B75354"/>
    <w:rsid w:val="00B82212"/>
    <w:rsid w:val="00B86EDD"/>
    <w:rsid w:val="00B95161"/>
    <w:rsid w:val="00BB7E21"/>
    <w:rsid w:val="00BC3B5E"/>
    <w:rsid w:val="00BC6191"/>
    <w:rsid w:val="00BD4A13"/>
    <w:rsid w:val="00BD6BC1"/>
    <w:rsid w:val="00BE540F"/>
    <w:rsid w:val="00BF4B29"/>
    <w:rsid w:val="00C011AB"/>
    <w:rsid w:val="00C0314E"/>
    <w:rsid w:val="00C03E79"/>
    <w:rsid w:val="00C12EE5"/>
    <w:rsid w:val="00C21116"/>
    <w:rsid w:val="00C61985"/>
    <w:rsid w:val="00C779CE"/>
    <w:rsid w:val="00C847F8"/>
    <w:rsid w:val="00C93851"/>
    <w:rsid w:val="00CB531F"/>
    <w:rsid w:val="00CD474D"/>
    <w:rsid w:val="00CD6B05"/>
    <w:rsid w:val="00CE0494"/>
    <w:rsid w:val="00D01A30"/>
    <w:rsid w:val="00D054E6"/>
    <w:rsid w:val="00D12438"/>
    <w:rsid w:val="00D12D9A"/>
    <w:rsid w:val="00D217C1"/>
    <w:rsid w:val="00D22EEB"/>
    <w:rsid w:val="00D35B80"/>
    <w:rsid w:val="00D46522"/>
    <w:rsid w:val="00D50CC8"/>
    <w:rsid w:val="00D53D8F"/>
    <w:rsid w:val="00D54ED2"/>
    <w:rsid w:val="00D553AC"/>
    <w:rsid w:val="00D7256A"/>
    <w:rsid w:val="00D739AF"/>
    <w:rsid w:val="00D75CAF"/>
    <w:rsid w:val="00D77043"/>
    <w:rsid w:val="00D92B22"/>
    <w:rsid w:val="00D94403"/>
    <w:rsid w:val="00DA1386"/>
    <w:rsid w:val="00DA5E5A"/>
    <w:rsid w:val="00DB6280"/>
    <w:rsid w:val="00DC6E03"/>
    <w:rsid w:val="00DD0DD2"/>
    <w:rsid w:val="00DD4CDA"/>
    <w:rsid w:val="00DE1E91"/>
    <w:rsid w:val="00DE4CE3"/>
    <w:rsid w:val="00DF3D26"/>
    <w:rsid w:val="00E0614A"/>
    <w:rsid w:val="00E11B81"/>
    <w:rsid w:val="00E16097"/>
    <w:rsid w:val="00E16339"/>
    <w:rsid w:val="00E27BF4"/>
    <w:rsid w:val="00E31EC6"/>
    <w:rsid w:val="00E71242"/>
    <w:rsid w:val="00E72136"/>
    <w:rsid w:val="00E7230F"/>
    <w:rsid w:val="00E75582"/>
    <w:rsid w:val="00EB3FAA"/>
    <w:rsid w:val="00EC2CC2"/>
    <w:rsid w:val="00ED2BF3"/>
    <w:rsid w:val="00ED51AE"/>
    <w:rsid w:val="00EF0FA4"/>
    <w:rsid w:val="00EF17D2"/>
    <w:rsid w:val="00EF1DFC"/>
    <w:rsid w:val="00EF4F15"/>
    <w:rsid w:val="00EF7A78"/>
    <w:rsid w:val="00F35C4E"/>
    <w:rsid w:val="00F40A48"/>
    <w:rsid w:val="00F45137"/>
    <w:rsid w:val="00F569AC"/>
    <w:rsid w:val="00F71D41"/>
    <w:rsid w:val="00F71F1E"/>
    <w:rsid w:val="00F75E62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33DC"/>
    <w:rsid w:val="00FD6252"/>
    <w:rsid w:val="00FD7847"/>
    <w:rsid w:val="00FE09B3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399677-09BB-40D2-AD96-D87F81FB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5</cp:revision>
  <cp:lastPrinted>2025-01-17T10:08:00Z</cp:lastPrinted>
  <dcterms:created xsi:type="dcterms:W3CDTF">2025-02-10T02:38:00Z</dcterms:created>
  <dcterms:modified xsi:type="dcterms:W3CDTF">2026-01-07T06:27:00Z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