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3E59F6" w:rsidRDefault="00547CA9">
      <w:pPr>
        <w:spacing w:line="500" w:lineRule="exact"/>
        <w:rPr>
          <w:rFonts w:eastAsia="方正小标宋_GBK"/>
          <w:sz w:val="44"/>
          <w:szCs w:val="44"/>
        </w:rPr>
      </w:pPr>
    </w:p>
    <w:p w:rsidR="00547CA9" w:rsidRPr="003E59F6" w:rsidRDefault="00547CA9">
      <w:pPr>
        <w:spacing w:line="500" w:lineRule="exact"/>
        <w:rPr>
          <w:rFonts w:eastAsia="方正小标宋_GBK"/>
          <w:sz w:val="44"/>
          <w:szCs w:val="44"/>
        </w:rPr>
      </w:pPr>
    </w:p>
    <w:p w:rsidR="00547CA9" w:rsidRPr="003E59F6" w:rsidRDefault="00547CA9">
      <w:pPr>
        <w:spacing w:line="500" w:lineRule="exact"/>
        <w:rPr>
          <w:rFonts w:eastAsia="方正小标宋_GBK"/>
          <w:sz w:val="44"/>
          <w:szCs w:val="44"/>
        </w:rPr>
      </w:pPr>
    </w:p>
    <w:p w:rsidR="00547CA9" w:rsidRPr="003E59F6" w:rsidRDefault="00547CA9">
      <w:pPr>
        <w:spacing w:line="500" w:lineRule="exact"/>
        <w:rPr>
          <w:rFonts w:eastAsia="方正小标宋_GBK"/>
          <w:sz w:val="44"/>
          <w:szCs w:val="44"/>
        </w:rPr>
      </w:pPr>
    </w:p>
    <w:p w:rsidR="00547CA9" w:rsidRPr="003E59F6" w:rsidRDefault="00547CA9">
      <w:pPr>
        <w:spacing w:line="500" w:lineRule="exact"/>
        <w:rPr>
          <w:rFonts w:eastAsia="方正小标宋_GBK"/>
          <w:sz w:val="44"/>
          <w:szCs w:val="44"/>
        </w:rPr>
      </w:pPr>
    </w:p>
    <w:p w:rsidR="00547CA9" w:rsidRPr="003E59F6" w:rsidRDefault="00547CA9">
      <w:pPr>
        <w:spacing w:line="500" w:lineRule="exact"/>
        <w:rPr>
          <w:rFonts w:eastAsia="方正小标宋_GBK"/>
          <w:sz w:val="44"/>
          <w:szCs w:val="44"/>
        </w:rPr>
      </w:pPr>
    </w:p>
    <w:p w:rsidR="00547CA9" w:rsidRPr="003E59F6" w:rsidRDefault="00547CA9">
      <w:pPr>
        <w:spacing w:line="440" w:lineRule="exact"/>
        <w:rPr>
          <w:rFonts w:eastAsia="方正小标宋_GBK"/>
          <w:sz w:val="44"/>
          <w:szCs w:val="44"/>
        </w:rPr>
      </w:pPr>
    </w:p>
    <w:p w:rsidR="00547CA9" w:rsidRPr="003E59F6" w:rsidRDefault="00547CA9" w:rsidP="00AD3E2D">
      <w:pPr>
        <w:spacing w:line="200" w:lineRule="exact"/>
        <w:rPr>
          <w:rFonts w:eastAsia="方正小标宋_GBK"/>
          <w:sz w:val="44"/>
          <w:szCs w:val="44"/>
        </w:rPr>
      </w:pPr>
    </w:p>
    <w:p w:rsidR="00547CA9" w:rsidRPr="003E59F6"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3E59F6">
        <w:rPr>
          <w:rFonts w:eastAsia="方正仿宋_GBK"/>
          <w:bCs/>
          <w:sz w:val="32"/>
          <w:szCs w:val="24"/>
        </w:rPr>
        <w:t>江发改</w:t>
      </w:r>
      <w:proofErr w:type="gramEnd"/>
      <w:r w:rsidRPr="003E59F6">
        <w:rPr>
          <w:rFonts w:eastAsia="方正仿宋_GBK"/>
          <w:bCs/>
          <w:sz w:val="32"/>
          <w:szCs w:val="24"/>
        </w:rPr>
        <w:t>投</w:t>
      </w:r>
      <w:r w:rsidRPr="003E59F6">
        <w:rPr>
          <w:rFonts w:eastAsia="方正仿宋_GBK"/>
          <w:sz w:val="32"/>
          <w:szCs w:val="24"/>
        </w:rPr>
        <w:t>〔</w:t>
      </w:r>
      <w:r w:rsidRPr="003E59F6">
        <w:rPr>
          <w:rFonts w:eastAsia="方正仿宋_GBK"/>
          <w:sz w:val="32"/>
          <w:szCs w:val="24"/>
        </w:rPr>
        <w:t>2025</w:t>
      </w:r>
      <w:r w:rsidRPr="003E59F6">
        <w:rPr>
          <w:rFonts w:eastAsia="方正仿宋_GBK"/>
          <w:sz w:val="32"/>
          <w:szCs w:val="24"/>
        </w:rPr>
        <w:t>〕</w:t>
      </w:r>
      <w:r w:rsidR="003E59F6" w:rsidRPr="003E59F6">
        <w:rPr>
          <w:rFonts w:eastAsia="方正仿宋_GBK"/>
          <w:sz w:val="32"/>
          <w:szCs w:val="24"/>
        </w:rPr>
        <w:t>295</w:t>
      </w:r>
      <w:r w:rsidRPr="003E59F6">
        <w:rPr>
          <w:rFonts w:eastAsia="方正仿宋_GBK"/>
          <w:sz w:val="32"/>
          <w:szCs w:val="24"/>
        </w:rPr>
        <w:t>号</w:t>
      </w:r>
    </w:p>
    <w:p w:rsidR="00547CA9" w:rsidRPr="003E59F6" w:rsidRDefault="00547CA9">
      <w:pPr>
        <w:tabs>
          <w:tab w:val="left" w:pos="2835"/>
          <w:tab w:val="left" w:pos="4962"/>
        </w:tabs>
        <w:spacing w:line="420" w:lineRule="exact"/>
        <w:ind w:firstLineChars="47" w:firstLine="150"/>
        <w:jc w:val="right"/>
        <w:rPr>
          <w:rFonts w:eastAsia="方正仿宋_GBK"/>
          <w:sz w:val="32"/>
          <w:szCs w:val="24"/>
        </w:rPr>
      </w:pPr>
    </w:p>
    <w:p w:rsidR="00547CA9" w:rsidRPr="003E59F6" w:rsidRDefault="00547CA9">
      <w:pPr>
        <w:tabs>
          <w:tab w:val="left" w:pos="2835"/>
          <w:tab w:val="left" w:pos="4962"/>
        </w:tabs>
        <w:spacing w:line="420" w:lineRule="exact"/>
        <w:ind w:firstLineChars="47" w:firstLine="150"/>
        <w:jc w:val="right"/>
        <w:rPr>
          <w:rFonts w:eastAsia="方正仿宋_GBK"/>
          <w:bCs/>
          <w:sz w:val="32"/>
          <w:szCs w:val="24"/>
        </w:rPr>
      </w:pPr>
    </w:p>
    <w:p w:rsidR="00547CA9" w:rsidRPr="003E59F6" w:rsidRDefault="00A81595" w:rsidP="007D41BF">
      <w:pPr>
        <w:spacing w:line="600" w:lineRule="exact"/>
        <w:jc w:val="center"/>
        <w:rPr>
          <w:rFonts w:eastAsia="方正小标宋_GBK"/>
          <w:sz w:val="44"/>
          <w:szCs w:val="44"/>
        </w:rPr>
      </w:pPr>
      <w:r w:rsidRPr="003E59F6">
        <w:rPr>
          <w:rFonts w:eastAsia="方正小标宋_GBK" w:hint="eastAsia"/>
          <w:sz w:val="44"/>
          <w:szCs w:val="44"/>
        </w:rPr>
        <w:t>重庆市江北区发展和改革委员会</w:t>
      </w:r>
    </w:p>
    <w:p w:rsidR="003E59F6" w:rsidRPr="003E59F6" w:rsidRDefault="003E59F6" w:rsidP="007D41BF">
      <w:pPr>
        <w:pStyle w:val="a3"/>
        <w:spacing w:line="600" w:lineRule="exact"/>
        <w:jc w:val="center"/>
        <w:rPr>
          <w:rFonts w:eastAsia="方正小标宋_GBK"/>
          <w:bCs/>
          <w:color w:val="000000"/>
          <w:sz w:val="44"/>
          <w:szCs w:val="44"/>
        </w:rPr>
      </w:pPr>
      <w:r w:rsidRPr="003E59F6">
        <w:rPr>
          <w:rFonts w:eastAsia="方正小标宋_GBK" w:hint="eastAsia"/>
          <w:bCs/>
          <w:color w:val="000000"/>
          <w:sz w:val="44"/>
          <w:szCs w:val="44"/>
        </w:rPr>
        <w:t>关于江北区城市排水管网提升工程—红旗河沟</w:t>
      </w:r>
    </w:p>
    <w:p w:rsidR="00020A4A" w:rsidRPr="003E59F6" w:rsidRDefault="003E59F6" w:rsidP="007D41BF">
      <w:pPr>
        <w:pStyle w:val="a3"/>
        <w:spacing w:line="600" w:lineRule="exact"/>
        <w:jc w:val="center"/>
        <w:rPr>
          <w:rFonts w:eastAsia="方正小标宋_GBK"/>
          <w:bCs/>
          <w:color w:val="000000"/>
          <w:sz w:val="44"/>
          <w:szCs w:val="44"/>
        </w:rPr>
      </w:pPr>
      <w:r w:rsidRPr="003E59F6">
        <w:rPr>
          <w:rFonts w:eastAsia="方正小标宋_GBK" w:hint="eastAsia"/>
          <w:bCs/>
          <w:color w:val="000000"/>
          <w:sz w:val="44"/>
          <w:szCs w:val="44"/>
        </w:rPr>
        <w:t>排洪通道改造（一标段）投资概算的批复</w:t>
      </w:r>
    </w:p>
    <w:p w:rsidR="003E59F6" w:rsidRPr="003E59F6" w:rsidRDefault="003E59F6" w:rsidP="007D41BF">
      <w:pPr>
        <w:pStyle w:val="a3"/>
        <w:spacing w:line="600" w:lineRule="exact"/>
        <w:jc w:val="center"/>
        <w:rPr>
          <w:rFonts w:eastAsia="方正仿宋_GBK"/>
          <w:sz w:val="32"/>
        </w:rPr>
      </w:pPr>
    </w:p>
    <w:p w:rsidR="003E59F6" w:rsidRPr="003E59F6" w:rsidRDefault="003E59F6" w:rsidP="003E59F6">
      <w:pPr>
        <w:pStyle w:val="a3"/>
        <w:spacing w:line="600" w:lineRule="exact"/>
        <w:rPr>
          <w:rFonts w:eastAsia="方正仿宋_GBK"/>
          <w:sz w:val="32"/>
          <w:szCs w:val="20"/>
        </w:rPr>
      </w:pPr>
      <w:r w:rsidRPr="003E59F6">
        <w:rPr>
          <w:rFonts w:eastAsia="方正仿宋_GBK" w:hint="eastAsia"/>
          <w:sz w:val="32"/>
          <w:szCs w:val="20"/>
        </w:rPr>
        <w:t>重庆市江北区城镇排水事务中心：</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《关于办理江北区城市排水管网提升工程—红旗河沟排洪通道改造（一标段）概算审批的请示》（江北排水文〔</w:t>
      </w:r>
      <w:r w:rsidRPr="003E59F6">
        <w:rPr>
          <w:rFonts w:eastAsia="方正仿宋_GBK" w:hint="eastAsia"/>
          <w:sz w:val="32"/>
          <w:szCs w:val="20"/>
        </w:rPr>
        <w:t>2025</w:t>
      </w:r>
      <w:r w:rsidRPr="003E59F6">
        <w:rPr>
          <w:rFonts w:eastAsia="方正仿宋_GBK" w:hint="eastAsia"/>
          <w:sz w:val="32"/>
          <w:szCs w:val="20"/>
        </w:rPr>
        <w:t>〕</w:t>
      </w:r>
      <w:r w:rsidRPr="003E59F6">
        <w:rPr>
          <w:rFonts w:eastAsia="方正仿宋_GBK" w:hint="eastAsia"/>
          <w:sz w:val="32"/>
          <w:szCs w:val="20"/>
        </w:rPr>
        <w:t>14</w:t>
      </w:r>
      <w:r w:rsidRPr="003E59F6">
        <w:rPr>
          <w:rFonts w:eastAsia="方正仿宋_GBK" w:hint="eastAsia"/>
          <w:sz w:val="32"/>
          <w:szCs w:val="20"/>
        </w:rPr>
        <w:t>号）和《江北区城市排水管网提升工程—红旗河沟排洪通道改造（一标段）概算报告》等资料已收悉。经委托重庆泓展建设工程咨询有限公司评审并经区第十九届人民政府第</w:t>
      </w:r>
      <w:r w:rsidRPr="003E59F6">
        <w:rPr>
          <w:rFonts w:eastAsia="方正仿宋_GBK" w:hint="eastAsia"/>
          <w:sz w:val="32"/>
          <w:szCs w:val="20"/>
        </w:rPr>
        <w:t>139</w:t>
      </w:r>
      <w:r w:rsidRPr="003E59F6">
        <w:rPr>
          <w:rFonts w:eastAsia="方正仿宋_GBK" w:hint="eastAsia"/>
          <w:sz w:val="32"/>
          <w:szCs w:val="20"/>
        </w:rPr>
        <w:t>次常务会议同意，现将该项目投资概算的有关事宜批复如下：</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t>一、项目名称</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江北区城市排水管网提升工程－红旗河沟排洪通道改造（一标段）</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lastRenderedPageBreak/>
        <w:t>二、项目代码</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2502-500105-04-01-680507</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t>三、项目法人</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重庆市江北区城镇排水事务中心（重庆市江北区城市管线综合管理事务中心）</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t>四、项目建设管理代理机构</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重庆市江北区城市建设发展集团有限公司</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t>五、项目建设地点</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观音桥红旗河沟至北滨路御龙天峰片区</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t>六、建设规模及主要内容</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本项目起点接红旗河沟转盘现状雨水系统，采用长距离曲线机械顶管工艺，铺设总长约</w:t>
      </w:r>
      <w:r w:rsidRPr="003E59F6">
        <w:rPr>
          <w:rFonts w:eastAsia="方正仿宋_GBK" w:hint="eastAsia"/>
          <w:sz w:val="32"/>
          <w:szCs w:val="20"/>
        </w:rPr>
        <w:t>2.7</w:t>
      </w:r>
      <w:r w:rsidRPr="003E59F6">
        <w:rPr>
          <w:rFonts w:eastAsia="方正仿宋_GBK" w:hint="eastAsia"/>
          <w:sz w:val="32"/>
          <w:szCs w:val="20"/>
        </w:rPr>
        <w:t>公里管径</w:t>
      </w:r>
      <w:r w:rsidRPr="003E59F6">
        <w:rPr>
          <w:rFonts w:eastAsia="方正仿宋_GBK" w:hint="eastAsia"/>
          <w:sz w:val="32"/>
          <w:szCs w:val="20"/>
        </w:rPr>
        <w:t>d1200-d2600</w:t>
      </w:r>
      <w:r w:rsidRPr="003E59F6">
        <w:rPr>
          <w:rFonts w:eastAsia="方正仿宋_GBK" w:hint="eastAsia"/>
          <w:sz w:val="32"/>
          <w:szCs w:val="20"/>
        </w:rPr>
        <w:t>的雨水管道，终点接入御龙天峰现状</w:t>
      </w:r>
      <w:r w:rsidRPr="003E59F6">
        <w:rPr>
          <w:rFonts w:eastAsia="方正仿宋_GBK" w:hint="eastAsia"/>
          <w:sz w:val="32"/>
          <w:szCs w:val="20"/>
        </w:rPr>
        <w:t>B</w:t>
      </w:r>
      <w:r w:rsidRPr="003E59F6">
        <w:rPr>
          <w:rFonts w:eastAsia="方正仿宋_GBK" w:hint="eastAsia"/>
          <w:sz w:val="32"/>
          <w:szCs w:val="20"/>
        </w:rPr>
        <w:t>×</w:t>
      </w:r>
      <w:r w:rsidRPr="003E59F6">
        <w:rPr>
          <w:rFonts w:eastAsia="方正仿宋_GBK" w:hint="eastAsia"/>
          <w:sz w:val="32"/>
          <w:szCs w:val="20"/>
        </w:rPr>
        <w:t>H=3</w:t>
      </w:r>
      <w:r w:rsidRPr="003E59F6">
        <w:rPr>
          <w:rFonts w:eastAsia="方正仿宋_GBK" w:hint="eastAsia"/>
          <w:sz w:val="32"/>
          <w:szCs w:val="20"/>
        </w:rPr>
        <w:t>米×</w:t>
      </w:r>
      <w:r w:rsidRPr="003E59F6">
        <w:rPr>
          <w:rFonts w:eastAsia="方正仿宋_GBK" w:hint="eastAsia"/>
          <w:sz w:val="32"/>
          <w:szCs w:val="20"/>
        </w:rPr>
        <w:t>3</w:t>
      </w:r>
      <w:r w:rsidRPr="003E59F6">
        <w:rPr>
          <w:rFonts w:eastAsia="方正仿宋_GBK" w:hint="eastAsia"/>
          <w:sz w:val="32"/>
          <w:szCs w:val="20"/>
        </w:rPr>
        <w:t>米的雨水箱涵，最终通过御龙天峰</w:t>
      </w:r>
      <w:r w:rsidRPr="003E59F6">
        <w:rPr>
          <w:rFonts w:eastAsia="方正仿宋_GBK" w:hint="eastAsia"/>
          <w:sz w:val="32"/>
          <w:szCs w:val="20"/>
        </w:rPr>
        <w:t>2</w:t>
      </w:r>
      <w:r w:rsidRPr="003E59F6">
        <w:rPr>
          <w:rFonts w:eastAsia="方正仿宋_GBK" w:hint="eastAsia"/>
          <w:sz w:val="32"/>
          <w:szCs w:val="20"/>
        </w:rPr>
        <w:t>号雨水排放口排入嘉陵江，管道沿线设置顶管工作井</w:t>
      </w:r>
      <w:r w:rsidRPr="003E59F6">
        <w:rPr>
          <w:rFonts w:eastAsia="方正仿宋_GBK" w:hint="eastAsia"/>
          <w:sz w:val="32"/>
          <w:szCs w:val="20"/>
        </w:rPr>
        <w:t>3</w:t>
      </w:r>
      <w:r w:rsidRPr="003E59F6">
        <w:rPr>
          <w:rFonts w:eastAsia="方正仿宋_GBK" w:hint="eastAsia"/>
          <w:sz w:val="32"/>
          <w:szCs w:val="20"/>
        </w:rPr>
        <w:t>座、顶管接收井</w:t>
      </w:r>
      <w:r w:rsidRPr="003E59F6">
        <w:rPr>
          <w:rFonts w:eastAsia="方正仿宋_GBK" w:hint="eastAsia"/>
          <w:sz w:val="32"/>
          <w:szCs w:val="20"/>
        </w:rPr>
        <w:t>4</w:t>
      </w:r>
      <w:r w:rsidRPr="003E59F6">
        <w:rPr>
          <w:rFonts w:eastAsia="方正仿宋_GBK" w:hint="eastAsia"/>
          <w:sz w:val="32"/>
          <w:szCs w:val="20"/>
        </w:rPr>
        <w:t>座。</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t>七、总投资及资金来源</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项目总投资为</w:t>
      </w:r>
      <w:r w:rsidRPr="003E59F6">
        <w:rPr>
          <w:rFonts w:eastAsia="方正仿宋_GBK" w:hint="eastAsia"/>
          <w:sz w:val="32"/>
          <w:szCs w:val="20"/>
        </w:rPr>
        <w:t>13123.35</w:t>
      </w:r>
      <w:r w:rsidRPr="003E59F6">
        <w:rPr>
          <w:rFonts w:eastAsia="方正仿宋_GBK" w:hint="eastAsia"/>
          <w:sz w:val="32"/>
          <w:szCs w:val="20"/>
        </w:rPr>
        <w:t>万元，其中建安工程费用</w:t>
      </w:r>
      <w:r w:rsidRPr="003E59F6">
        <w:rPr>
          <w:rFonts w:eastAsia="方正仿宋_GBK" w:hint="eastAsia"/>
          <w:sz w:val="32"/>
          <w:szCs w:val="20"/>
        </w:rPr>
        <w:t>9606.62</w:t>
      </w:r>
      <w:r w:rsidRPr="003E59F6">
        <w:rPr>
          <w:rFonts w:eastAsia="方正仿宋_GBK" w:hint="eastAsia"/>
          <w:sz w:val="32"/>
          <w:szCs w:val="20"/>
        </w:rPr>
        <w:t>万元，工程建设其他费用</w:t>
      </w:r>
      <w:r w:rsidRPr="003E59F6">
        <w:rPr>
          <w:rFonts w:eastAsia="方正仿宋_GBK" w:hint="eastAsia"/>
          <w:sz w:val="32"/>
          <w:szCs w:val="20"/>
        </w:rPr>
        <w:t>3134.50</w:t>
      </w:r>
      <w:r w:rsidRPr="003E59F6">
        <w:rPr>
          <w:rFonts w:eastAsia="方正仿宋_GBK" w:hint="eastAsia"/>
          <w:sz w:val="32"/>
          <w:szCs w:val="20"/>
        </w:rPr>
        <w:t>万元，预备费</w:t>
      </w:r>
      <w:r w:rsidRPr="003E59F6">
        <w:rPr>
          <w:rFonts w:eastAsia="方正仿宋_GBK" w:hint="eastAsia"/>
          <w:sz w:val="32"/>
          <w:szCs w:val="20"/>
        </w:rPr>
        <w:t>382.23</w:t>
      </w:r>
      <w:r w:rsidRPr="003E59F6">
        <w:rPr>
          <w:rFonts w:eastAsia="方正仿宋_GBK" w:hint="eastAsia"/>
          <w:sz w:val="32"/>
          <w:szCs w:val="20"/>
        </w:rPr>
        <w:t>万元。</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建设资金来源为超长期特别国债和区级财政资金。</w:t>
      </w:r>
    </w:p>
    <w:p w:rsidR="003E59F6" w:rsidRPr="003E59F6" w:rsidRDefault="003E59F6" w:rsidP="003E59F6">
      <w:pPr>
        <w:pStyle w:val="a3"/>
        <w:spacing w:line="600" w:lineRule="exact"/>
        <w:ind w:firstLineChars="200" w:firstLine="640"/>
        <w:rPr>
          <w:rFonts w:eastAsia="方正黑体_GBK"/>
          <w:sz w:val="32"/>
          <w:szCs w:val="20"/>
        </w:rPr>
      </w:pPr>
      <w:r w:rsidRPr="003E59F6">
        <w:rPr>
          <w:rFonts w:eastAsia="方正黑体_GBK" w:hint="eastAsia"/>
          <w:sz w:val="32"/>
          <w:szCs w:val="20"/>
        </w:rPr>
        <w:t>八、建设工期</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建设工期</w:t>
      </w:r>
      <w:r w:rsidRPr="003E59F6">
        <w:rPr>
          <w:rFonts w:eastAsia="方正仿宋_GBK" w:hint="eastAsia"/>
          <w:sz w:val="32"/>
          <w:szCs w:val="20"/>
        </w:rPr>
        <w:t>18</w:t>
      </w:r>
      <w:r w:rsidRPr="003E59F6">
        <w:rPr>
          <w:rFonts w:eastAsia="方正仿宋_GBK" w:hint="eastAsia"/>
          <w:sz w:val="32"/>
          <w:szCs w:val="20"/>
        </w:rPr>
        <w:t>个月</w:t>
      </w: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请据此进一步深化工程设计方案，施工图必须在概算控制数以</w:t>
      </w:r>
      <w:r w:rsidRPr="003E59F6">
        <w:rPr>
          <w:rFonts w:eastAsia="方正仿宋_GBK" w:hint="eastAsia"/>
          <w:sz w:val="32"/>
          <w:szCs w:val="20"/>
        </w:rPr>
        <w:lastRenderedPageBreak/>
        <w:t>内实行限额设计。要严格执行相关规定，切实加强工程管理，确保工程质量和安全，尽快建成投入使用。请将该批复文件依法报区应急管理</w:t>
      </w:r>
      <w:r w:rsidR="003A2BC4">
        <w:rPr>
          <w:rFonts w:eastAsia="方正仿宋_GBK" w:hint="eastAsia"/>
          <w:sz w:val="32"/>
          <w:szCs w:val="20"/>
        </w:rPr>
        <w:t>局</w:t>
      </w:r>
      <w:bookmarkStart w:id="0" w:name="_GoBack"/>
      <w:bookmarkEnd w:id="0"/>
      <w:r w:rsidRPr="003E59F6">
        <w:rPr>
          <w:rFonts w:eastAsia="方正仿宋_GBK" w:hint="eastAsia"/>
          <w:sz w:val="32"/>
          <w:szCs w:val="20"/>
        </w:rPr>
        <w:t>备案。</w:t>
      </w:r>
    </w:p>
    <w:p w:rsidR="003E59F6" w:rsidRPr="003E59F6" w:rsidRDefault="003E59F6" w:rsidP="003E59F6">
      <w:pPr>
        <w:pStyle w:val="a3"/>
        <w:spacing w:line="600" w:lineRule="exact"/>
        <w:ind w:firstLineChars="200" w:firstLine="640"/>
        <w:rPr>
          <w:rFonts w:eastAsia="方正仿宋_GBK"/>
          <w:sz w:val="32"/>
          <w:szCs w:val="20"/>
        </w:rPr>
      </w:pPr>
    </w:p>
    <w:p w:rsidR="003E59F6" w:rsidRPr="003E59F6" w:rsidRDefault="003E59F6" w:rsidP="003E59F6">
      <w:pPr>
        <w:pStyle w:val="a3"/>
        <w:spacing w:line="600" w:lineRule="exact"/>
        <w:ind w:firstLineChars="200" w:firstLine="640"/>
        <w:rPr>
          <w:rFonts w:eastAsia="方正仿宋_GBK"/>
          <w:sz w:val="32"/>
          <w:szCs w:val="20"/>
        </w:rPr>
      </w:pPr>
      <w:r w:rsidRPr="003E59F6">
        <w:rPr>
          <w:rFonts w:eastAsia="方正仿宋_GBK" w:hint="eastAsia"/>
          <w:sz w:val="32"/>
          <w:szCs w:val="20"/>
        </w:rPr>
        <w:t>附件：江北区城市排水管网提升工程—红旗河沟排洪通道改造</w:t>
      </w:r>
    </w:p>
    <w:p w:rsidR="0085232D" w:rsidRPr="003E59F6" w:rsidRDefault="003E59F6" w:rsidP="003E59F6">
      <w:pPr>
        <w:pStyle w:val="a3"/>
        <w:spacing w:line="600" w:lineRule="exact"/>
        <w:ind w:firstLineChars="500" w:firstLine="1600"/>
        <w:rPr>
          <w:rFonts w:eastAsia="方正仿宋_GBK"/>
          <w:sz w:val="32"/>
          <w:szCs w:val="20"/>
        </w:rPr>
      </w:pPr>
      <w:r w:rsidRPr="003E59F6">
        <w:rPr>
          <w:rFonts w:eastAsia="方正仿宋_GBK" w:hint="eastAsia"/>
          <w:sz w:val="32"/>
          <w:szCs w:val="20"/>
        </w:rPr>
        <w:t>（一标段）总投资概算表</w:t>
      </w:r>
    </w:p>
    <w:p w:rsidR="003E59F6" w:rsidRPr="003E59F6" w:rsidRDefault="003E59F6" w:rsidP="003E59F6">
      <w:pPr>
        <w:pStyle w:val="a3"/>
        <w:spacing w:line="600" w:lineRule="exact"/>
        <w:jc w:val="right"/>
        <w:rPr>
          <w:rFonts w:eastAsia="方正仿宋_GBK"/>
          <w:sz w:val="32"/>
          <w:szCs w:val="32"/>
        </w:rPr>
      </w:pPr>
    </w:p>
    <w:p w:rsidR="004A28CB" w:rsidRPr="003E59F6" w:rsidRDefault="004A28CB" w:rsidP="007D41BF">
      <w:pPr>
        <w:pStyle w:val="a3"/>
        <w:spacing w:line="600" w:lineRule="exact"/>
        <w:jc w:val="right"/>
        <w:rPr>
          <w:rFonts w:eastAsia="方正仿宋_GBK"/>
          <w:sz w:val="32"/>
          <w:szCs w:val="32"/>
        </w:rPr>
      </w:pPr>
    </w:p>
    <w:p w:rsidR="00547CA9" w:rsidRPr="003E59F6" w:rsidRDefault="00A81595" w:rsidP="007D41BF">
      <w:pPr>
        <w:pStyle w:val="a3"/>
        <w:spacing w:line="600" w:lineRule="exact"/>
        <w:ind w:rightChars="169" w:right="507"/>
        <w:jc w:val="right"/>
        <w:rPr>
          <w:rFonts w:eastAsia="方正仿宋_GBK"/>
          <w:sz w:val="32"/>
          <w:szCs w:val="32"/>
        </w:rPr>
      </w:pPr>
      <w:r w:rsidRPr="003E59F6">
        <w:rPr>
          <w:rFonts w:eastAsia="方正仿宋_GBK"/>
          <w:sz w:val="32"/>
          <w:szCs w:val="32"/>
        </w:rPr>
        <w:t>重庆市江北区发展和改革委员会</w:t>
      </w:r>
    </w:p>
    <w:p w:rsidR="00547CA9" w:rsidRPr="003E59F6" w:rsidRDefault="00A81595" w:rsidP="007D41BF">
      <w:pPr>
        <w:pStyle w:val="a3"/>
        <w:spacing w:line="600" w:lineRule="exact"/>
        <w:ind w:rightChars="453" w:right="1359"/>
        <w:jc w:val="right"/>
        <w:rPr>
          <w:rFonts w:eastAsia="方正仿宋_GBK"/>
          <w:sz w:val="32"/>
          <w:szCs w:val="32"/>
        </w:rPr>
      </w:pPr>
      <w:r w:rsidRPr="003E59F6">
        <w:rPr>
          <w:rFonts w:eastAsia="方正仿宋_GBK"/>
          <w:sz w:val="32"/>
          <w:szCs w:val="32"/>
        </w:rPr>
        <w:t>2025</w:t>
      </w:r>
      <w:r w:rsidRPr="003E59F6">
        <w:rPr>
          <w:rFonts w:eastAsia="方正仿宋_GBK"/>
          <w:sz w:val="32"/>
          <w:szCs w:val="32"/>
        </w:rPr>
        <w:t>年</w:t>
      </w:r>
      <w:r w:rsidR="00241DA5" w:rsidRPr="003E59F6">
        <w:rPr>
          <w:rFonts w:eastAsia="方正仿宋_GBK"/>
          <w:sz w:val="32"/>
          <w:szCs w:val="32"/>
        </w:rPr>
        <w:t>9</w:t>
      </w:r>
      <w:r w:rsidRPr="003E59F6">
        <w:rPr>
          <w:rFonts w:eastAsia="方正仿宋_GBK"/>
          <w:sz w:val="32"/>
          <w:szCs w:val="32"/>
        </w:rPr>
        <w:t>月</w:t>
      </w:r>
      <w:r w:rsidR="003E59F6" w:rsidRPr="003E59F6">
        <w:rPr>
          <w:rFonts w:eastAsia="方正仿宋_GBK"/>
          <w:sz w:val="32"/>
          <w:szCs w:val="32"/>
        </w:rPr>
        <w:t>28</w:t>
      </w:r>
      <w:r w:rsidRPr="003E59F6">
        <w:rPr>
          <w:rFonts w:eastAsia="方正仿宋_GBK"/>
          <w:sz w:val="32"/>
          <w:szCs w:val="32"/>
        </w:rPr>
        <w:t>日</w:t>
      </w: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3E59F6" w:rsidRPr="003E59F6" w:rsidRDefault="003E59F6" w:rsidP="007D41BF">
      <w:pPr>
        <w:pStyle w:val="a3"/>
        <w:spacing w:line="600" w:lineRule="exact"/>
        <w:ind w:rightChars="453" w:right="1359"/>
        <w:jc w:val="right"/>
        <w:rPr>
          <w:rFonts w:eastAsia="方正仿宋_GBK"/>
          <w:sz w:val="32"/>
          <w:szCs w:val="32"/>
        </w:rPr>
      </w:pPr>
    </w:p>
    <w:p w:rsidR="009C6F36" w:rsidRPr="003E59F6" w:rsidRDefault="009C6F36" w:rsidP="003E59F6">
      <w:pPr>
        <w:tabs>
          <w:tab w:val="left" w:pos="3402"/>
        </w:tabs>
        <w:spacing w:line="600" w:lineRule="exact"/>
        <w:ind w:rightChars="630" w:right="1890"/>
        <w:jc w:val="left"/>
        <w:rPr>
          <w:rFonts w:eastAsia="方正黑体_GBK" w:cs="方正黑体_GBK"/>
          <w:kern w:val="0"/>
          <w:sz w:val="32"/>
          <w:szCs w:val="32"/>
        </w:rPr>
      </w:pPr>
      <w:r w:rsidRPr="003E59F6">
        <w:rPr>
          <w:rFonts w:eastAsia="方正黑体_GBK" w:cs="方正黑体_GBK" w:hint="eastAsia"/>
          <w:kern w:val="0"/>
          <w:sz w:val="32"/>
          <w:szCs w:val="32"/>
        </w:rPr>
        <w:lastRenderedPageBreak/>
        <w:t>附件</w:t>
      </w:r>
    </w:p>
    <w:p w:rsidR="003E59F6" w:rsidRPr="003E59F6" w:rsidRDefault="003E59F6" w:rsidP="003E59F6">
      <w:pPr>
        <w:tabs>
          <w:tab w:val="left" w:pos="3402"/>
        </w:tabs>
        <w:spacing w:line="600" w:lineRule="exact"/>
        <w:ind w:rightChars="630" w:right="1890"/>
        <w:jc w:val="left"/>
        <w:rPr>
          <w:rFonts w:eastAsia="方正黑体_GBK" w:cs="方正黑体_GBK"/>
          <w:kern w:val="0"/>
          <w:sz w:val="32"/>
          <w:szCs w:val="32"/>
        </w:rPr>
      </w:pPr>
    </w:p>
    <w:p w:rsidR="003E59F6" w:rsidRPr="003E59F6" w:rsidRDefault="003E59F6" w:rsidP="003E59F6">
      <w:pPr>
        <w:spacing w:line="600" w:lineRule="exact"/>
        <w:jc w:val="center"/>
        <w:rPr>
          <w:rFonts w:eastAsia="方正小标宋_GBK"/>
          <w:kern w:val="32"/>
          <w:sz w:val="44"/>
          <w:szCs w:val="44"/>
        </w:rPr>
      </w:pPr>
      <w:r w:rsidRPr="003E59F6">
        <w:rPr>
          <w:rFonts w:eastAsia="方正小标宋_GBK" w:hint="eastAsia"/>
          <w:kern w:val="32"/>
          <w:sz w:val="44"/>
          <w:szCs w:val="44"/>
        </w:rPr>
        <w:t>江北区城市排水管网提升工程—红旗河沟排洪通道改造（一标段）总投资概算表</w:t>
      </w:r>
    </w:p>
    <w:p w:rsidR="003E59F6" w:rsidRPr="003E59F6" w:rsidRDefault="003E59F6" w:rsidP="003E59F6">
      <w:pPr>
        <w:spacing w:line="600" w:lineRule="exact"/>
        <w:ind w:right="320"/>
        <w:jc w:val="right"/>
        <w:rPr>
          <w:rFonts w:eastAsia="方正仿宋_GBK"/>
          <w:sz w:val="32"/>
          <w:szCs w:val="32"/>
        </w:rPr>
      </w:pPr>
      <w:r w:rsidRPr="003E59F6">
        <w:rPr>
          <w:rFonts w:eastAsia="方正仿宋_GBK"/>
          <w:sz w:val="32"/>
          <w:szCs w:val="32"/>
        </w:rPr>
        <w:t>单位：万元</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94"/>
        <w:gridCol w:w="2126"/>
        <w:gridCol w:w="1588"/>
      </w:tblGrid>
      <w:tr w:rsidR="003E59F6" w:rsidRPr="003E59F6" w:rsidTr="003E59F6">
        <w:trPr>
          <w:trHeight w:val="567"/>
          <w:jc w:val="center"/>
        </w:trPr>
        <w:tc>
          <w:tcPr>
            <w:tcW w:w="1418" w:type="dxa"/>
            <w:vAlign w:val="center"/>
          </w:tcPr>
          <w:p w:rsidR="003E59F6" w:rsidRPr="003E59F6" w:rsidRDefault="003E59F6" w:rsidP="003E59F6">
            <w:pPr>
              <w:autoSpaceDE w:val="0"/>
              <w:autoSpaceDN w:val="0"/>
              <w:spacing w:line="0" w:lineRule="atLeast"/>
              <w:jc w:val="center"/>
              <w:rPr>
                <w:rFonts w:eastAsia="方正黑体_GBK"/>
                <w:color w:val="000000"/>
                <w:szCs w:val="30"/>
              </w:rPr>
            </w:pPr>
            <w:r w:rsidRPr="003E59F6">
              <w:rPr>
                <w:rFonts w:eastAsia="方正黑体_GBK" w:hint="eastAsia"/>
                <w:color w:val="000000"/>
                <w:szCs w:val="30"/>
              </w:rPr>
              <w:t>序号</w:t>
            </w:r>
          </w:p>
        </w:tc>
        <w:tc>
          <w:tcPr>
            <w:tcW w:w="4394" w:type="dxa"/>
            <w:vAlign w:val="center"/>
          </w:tcPr>
          <w:p w:rsidR="003E59F6" w:rsidRPr="003E59F6" w:rsidRDefault="003E59F6" w:rsidP="003E59F6">
            <w:pPr>
              <w:autoSpaceDE w:val="0"/>
              <w:autoSpaceDN w:val="0"/>
              <w:spacing w:line="0" w:lineRule="atLeast"/>
              <w:jc w:val="center"/>
              <w:rPr>
                <w:rFonts w:eastAsia="方正黑体_GBK"/>
                <w:color w:val="000000"/>
                <w:szCs w:val="30"/>
              </w:rPr>
            </w:pPr>
            <w:r w:rsidRPr="003E59F6">
              <w:rPr>
                <w:rFonts w:eastAsia="方正黑体_GBK" w:hint="eastAsia"/>
                <w:color w:val="000000"/>
                <w:szCs w:val="30"/>
              </w:rPr>
              <w:t>工程或费用名称</w:t>
            </w:r>
          </w:p>
        </w:tc>
        <w:tc>
          <w:tcPr>
            <w:tcW w:w="2126" w:type="dxa"/>
            <w:vAlign w:val="center"/>
          </w:tcPr>
          <w:p w:rsidR="003E59F6" w:rsidRPr="003E59F6" w:rsidRDefault="003E59F6" w:rsidP="003E59F6">
            <w:pPr>
              <w:autoSpaceDE w:val="0"/>
              <w:autoSpaceDN w:val="0"/>
              <w:spacing w:line="0" w:lineRule="atLeast"/>
              <w:jc w:val="center"/>
              <w:rPr>
                <w:rFonts w:eastAsia="方正黑体_GBK"/>
                <w:color w:val="000000"/>
                <w:szCs w:val="30"/>
              </w:rPr>
            </w:pPr>
            <w:r w:rsidRPr="003E59F6">
              <w:rPr>
                <w:rFonts w:eastAsia="方正黑体_GBK" w:hint="eastAsia"/>
                <w:color w:val="000000"/>
                <w:szCs w:val="30"/>
              </w:rPr>
              <w:t>概算金额</w:t>
            </w:r>
          </w:p>
        </w:tc>
        <w:tc>
          <w:tcPr>
            <w:tcW w:w="1588" w:type="dxa"/>
            <w:vAlign w:val="center"/>
          </w:tcPr>
          <w:p w:rsidR="003E59F6" w:rsidRPr="003E59F6" w:rsidRDefault="003E59F6" w:rsidP="003E59F6">
            <w:pPr>
              <w:autoSpaceDE w:val="0"/>
              <w:autoSpaceDN w:val="0"/>
              <w:spacing w:line="0" w:lineRule="atLeast"/>
              <w:jc w:val="center"/>
              <w:rPr>
                <w:rFonts w:eastAsia="方正黑体_GBK"/>
                <w:color w:val="000000"/>
                <w:szCs w:val="30"/>
              </w:rPr>
            </w:pPr>
            <w:r w:rsidRPr="003E59F6">
              <w:rPr>
                <w:rFonts w:eastAsia="方正黑体_GBK" w:hint="eastAsia"/>
                <w:color w:val="000000"/>
                <w:szCs w:val="30"/>
              </w:rPr>
              <w:t>备注</w:t>
            </w: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黑体_GBK"/>
                <w:b/>
                <w:szCs w:val="30"/>
              </w:rPr>
            </w:pPr>
            <w:proofErr w:type="gramStart"/>
            <w:r w:rsidRPr="003E59F6">
              <w:rPr>
                <w:rFonts w:eastAsia="方正黑体_GBK" w:hint="eastAsia"/>
                <w:b/>
                <w:bCs/>
                <w:color w:val="000000"/>
                <w:kern w:val="0"/>
                <w:szCs w:val="30"/>
                <w:lang w:bidi="ar"/>
              </w:rPr>
              <w:t>一</w:t>
            </w:r>
            <w:proofErr w:type="gramEnd"/>
          </w:p>
        </w:tc>
        <w:tc>
          <w:tcPr>
            <w:tcW w:w="4394" w:type="dxa"/>
            <w:vAlign w:val="center"/>
          </w:tcPr>
          <w:p w:rsidR="003E59F6" w:rsidRPr="003E59F6" w:rsidRDefault="003E59F6" w:rsidP="003E59F6">
            <w:pPr>
              <w:widowControl/>
              <w:spacing w:line="0" w:lineRule="atLeast"/>
              <w:jc w:val="center"/>
              <w:textAlignment w:val="center"/>
              <w:rPr>
                <w:rFonts w:eastAsia="方正黑体_GBK"/>
                <w:szCs w:val="30"/>
              </w:rPr>
            </w:pPr>
            <w:r w:rsidRPr="003E59F6">
              <w:rPr>
                <w:rFonts w:eastAsia="方正黑体_GBK" w:hint="eastAsia"/>
                <w:color w:val="000000"/>
                <w:kern w:val="0"/>
                <w:szCs w:val="30"/>
                <w:lang w:bidi="ar"/>
              </w:rPr>
              <w:t>建筑安装工程费用</w:t>
            </w:r>
          </w:p>
        </w:tc>
        <w:tc>
          <w:tcPr>
            <w:tcW w:w="2126" w:type="dxa"/>
            <w:vAlign w:val="center"/>
          </w:tcPr>
          <w:p w:rsidR="003E59F6" w:rsidRPr="003E59F6" w:rsidRDefault="003E59F6" w:rsidP="003E59F6">
            <w:pPr>
              <w:widowControl/>
              <w:spacing w:line="0" w:lineRule="atLeast"/>
              <w:jc w:val="center"/>
              <w:textAlignment w:val="center"/>
              <w:rPr>
                <w:rFonts w:eastAsia="方正黑体_GBK"/>
                <w:color w:val="000000"/>
                <w:kern w:val="0"/>
                <w:szCs w:val="30"/>
                <w:lang w:bidi="ar"/>
              </w:rPr>
            </w:pPr>
            <w:r w:rsidRPr="003E59F6">
              <w:rPr>
                <w:rFonts w:eastAsia="方正黑体_GBK" w:hint="eastAsia"/>
                <w:color w:val="000000"/>
                <w:kern w:val="0"/>
                <w:szCs w:val="30"/>
                <w:lang w:bidi="ar"/>
              </w:rPr>
              <w:t xml:space="preserve">9606.62 </w:t>
            </w:r>
          </w:p>
        </w:tc>
        <w:tc>
          <w:tcPr>
            <w:tcW w:w="1588" w:type="dxa"/>
            <w:vAlign w:val="center"/>
          </w:tcPr>
          <w:p w:rsidR="003E59F6" w:rsidRPr="003E59F6" w:rsidRDefault="003E59F6" w:rsidP="003E59F6">
            <w:pPr>
              <w:spacing w:line="0" w:lineRule="atLeast"/>
              <w:jc w:val="center"/>
              <w:rPr>
                <w:rFonts w:eastAsia="方正黑体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土石方工程</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403.22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排水工程</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8720.59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3</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还建工程</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130.17</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4</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绿化工程</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48.81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5</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交通组织</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303.83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黑体_GBK"/>
                <w:b/>
                <w:szCs w:val="30"/>
              </w:rPr>
            </w:pPr>
            <w:r w:rsidRPr="003E59F6">
              <w:rPr>
                <w:rFonts w:eastAsia="方正黑体_GBK" w:hint="eastAsia"/>
                <w:b/>
                <w:bCs/>
                <w:color w:val="000000"/>
                <w:kern w:val="0"/>
                <w:szCs w:val="30"/>
                <w:lang w:bidi="ar"/>
              </w:rPr>
              <w:t>二</w:t>
            </w:r>
          </w:p>
        </w:tc>
        <w:tc>
          <w:tcPr>
            <w:tcW w:w="4394" w:type="dxa"/>
            <w:vAlign w:val="center"/>
          </w:tcPr>
          <w:p w:rsidR="003E59F6" w:rsidRPr="003E59F6" w:rsidRDefault="003E59F6" w:rsidP="003E59F6">
            <w:pPr>
              <w:widowControl/>
              <w:spacing w:line="0" w:lineRule="atLeast"/>
              <w:jc w:val="center"/>
              <w:textAlignment w:val="center"/>
              <w:rPr>
                <w:rFonts w:eastAsia="方正黑体_GBK"/>
                <w:szCs w:val="30"/>
              </w:rPr>
            </w:pPr>
            <w:r w:rsidRPr="003E59F6">
              <w:rPr>
                <w:rFonts w:eastAsia="方正黑体_GBK" w:hint="eastAsia"/>
                <w:color w:val="000000"/>
                <w:kern w:val="0"/>
                <w:szCs w:val="30"/>
                <w:lang w:bidi="ar"/>
              </w:rPr>
              <w:t>工程建设其他费用</w:t>
            </w:r>
          </w:p>
        </w:tc>
        <w:tc>
          <w:tcPr>
            <w:tcW w:w="2126" w:type="dxa"/>
            <w:vAlign w:val="center"/>
          </w:tcPr>
          <w:p w:rsidR="003E59F6" w:rsidRPr="003E59F6" w:rsidRDefault="003E59F6" w:rsidP="003E59F6">
            <w:pPr>
              <w:widowControl/>
              <w:spacing w:line="0" w:lineRule="atLeast"/>
              <w:jc w:val="center"/>
              <w:textAlignment w:val="center"/>
              <w:rPr>
                <w:rFonts w:eastAsia="方正黑体_GBK"/>
                <w:color w:val="000000"/>
                <w:kern w:val="0"/>
                <w:szCs w:val="30"/>
                <w:lang w:bidi="ar"/>
              </w:rPr>
            </w:pPr>
            <w:r w:rsidRPr="003E59F6">
              <w:rPr>
                <w:rFonts w:eastAsia="方正黑体_GBK" w:hint="eastAsia"/>
                <w:color w:val="000000"/>
                <w:kern w:val="0"/>
                <w:szCs w:val="30"/>
                <w:lang w:bidi="ar"/>
              </w:rPr>
              <w:t>3134.5</w:t>
            </w:r>
          </w:p>
        </w:tc>
        <w:tc>
          <w:tcPr>
            <w:tcW w:w="1588" w:type="dxa"/>
            <w:vAlign w:val="center"/>
          </w:tcPr>
          <w:p w:rsidR="003E59F6" w:rsidRPr="003E59F6" w:rsidRDefault="003E59F6" w:rsidP="003E59F6">
            <w:pPr>
              <w:spacing w:line="0" w:lineRule="atLeast"/>
              <w:jc w:val="center"/>
              <w:rPr>
                <w:rFonts w:eastAsia="方正黑体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前期工程费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1308.74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1.1</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绿化补偿费及移植费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17.50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1.2</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临时</w:t>
            </w:r>
            <w:proofErr w:type="gramStart"/>
            <w:r w:rsidRPr="003E59F6">
              <w:rPr>
                <w:rFonts w:eastAsia="方正仿宋_GBK" w:hint="eastAsia"/>
                <w:color w:val="000000"/>
                <w:kern w:val="0"/>
                <w:szCs w:val="30"/>
                <w:lang w:bidi="ar"/>
              </w:rPr>
              <w:t>占绿费</w:t>
            </w:r>
            <w:proofErr w:type="gramEnd"/>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526.50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1.3</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永久</w:t>
            </w:r>
            <w:proofErr w:type="gramStart"/>
            <w:r w:rsidRPr="003E59F6">
              <w:rPr>
                <w:rFonts w:eastAsia="方正仿宋_GBK" w:hint="eastAsia"/>
                <w:color w:val="000000"/>
                <w:kern w:val="0"/>
                <w:szCs w:val="30"/>
                <w:lang w:bidi="ar"/>
              </w:rPr>
              <w:t>占绿费</w:t>
            </w:r>
            <w:proofErr w:type="gramEnd"/>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12.50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1.4</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临时用地及用地协调费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10.00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1.5</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临时交通设计费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30.80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1.6</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城市道路占用</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51.44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1.7</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管网迁改费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660.00 </w:t>
            </w:r>
          </w:p>
        </w:tc>
        <w:tc>
          <w:tcPr>
            <w:tcW w:w="1588" w:type="dxa"/>
            <w:vAlign w:val="center"/>
          </w:tcPr>
          <w:p w:rsidR="003E59F6" w:rsidRPr="003E59F6" w:rsidRDefault="003E59F6" w:rsidP="003E59F6">
            <w:pPr>
              <w:spacing w:line="0" w:lineRule="atLeast"/>
              <w:jc w:val="center"/>
              <w:rPr>
                <w:rFonts w:eastAsia="方正仿宋_GBK"/>
                <w:b/>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与项目建设有关的其他费用</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1825.76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场地准备及临时设施费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100.87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lastRenderedPageBreak/>
              <w:t>2.2</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建设单位管理费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116.05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2.3</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工程建设监理费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164.36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2.4</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招标代理服务费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25.30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2.5</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招标交易服务费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14.41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2.6</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可行性研究报告编制费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26.18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2.7</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社会稳定风险评估费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11.78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2.8</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水土保持评估费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5.00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2.9</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概算编制费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10.62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2.10</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工程勘察费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77.57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2.11</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工程测量费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50.00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2.12</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勘察成果见证费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11.84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2.13</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勘察成果审查费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4.65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2.14</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设计费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279.77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2.15</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施工图审查费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29.38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2.16</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工程量清单</w:t>
            </w:r>
            <w:proofErr w:type="gramStart"/>
            <w:r w:rsidRPr="003E59F6">
              <w:rPr>
                <w:rFonts w:eastAsia="方正仿宋_GBK" w:hint="eastAsia"/>
                <w:color w:val="000000"/>
                <w:kern w:val="0"/>
                <w:szCs w:val="30"/>
                <w:lang w:bidi="ar"/>
              </w:rPr>
              <w:t>及组价编制</w:t>
            </w:r>
            <w:proofErr w:type="gramEnd"/>
            <w:r w:rsidRPr="003E59F6">
              <w:rPr>
                <w:rFonts w:eastAsia="方正仿宋_GBK" w:hint="eastAsia"/>
                <w:color w:val="000000"/>
                <w:kern w:val="0"/>
                <w:szCs w:val="30"/>
                <w:lang w:bidi="ar"/>
              </w:rPr>
              <w:t>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15.51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2.17</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工程量清单</w:t>
            </w:r>
            <w:proofErr w:type="gramStart"/>
            <w:r w:rsidRPr="003E59F6">
              <w:rPr>
                <w:rFonts w:eastAsia="方正仿宋_GBK" w:hint="eastAsia"/>
                <w:color w:val="000000"/>
                <w:kern w:val="0"/>
                <w:szCs w:val="30"/>
                <w:lang w:bidi="ar"/>
              </w:rPr>
              <w:t>及组价审核</w:t>
            </w:r>
            <w:proofErr w:type="gramEnd"/>
            <w:r w:rsidRPr="003E59F6">
              <w:rPr>
                <w:rFonts w:eastAsia="方正仿宋_GBK" w:hint="eastAsia"/>
                <w:color w:val="000000"/>
                <w:kern w:val="0"/>
                <w:szCs w:val="30"/>
                <w:lang w:bidi="ar"/>
              </w:rPr>
              <w:t>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15.51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2.18</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施工阶段全过程造价控制</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60.32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2.19</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施工图预算审核</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15.51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2.20</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安全生产保障费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100.87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2.21</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工程保险费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30.26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2.22</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技术咨询服务费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230.00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2.23</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摸排费用</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10.00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2.24</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监测费用</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370.00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lastRenderedPageBreak/>
              <w:t>2.25</w:t>
            </w:r>
          </w:p>
        </w:tc>
        <w:tc>
          <w:tcPr>
            <w:tcW w:w="4394"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文物保护费用</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50.00 </w:t>
            </w:r>
          </w:p>
        </w:tc>
        <w:tc>
          <w:tcPr>
            <w:tcW w:w="1588"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黑体_GBK"/>
                <w:bCs/>
                <w:szCs w:val="30"/>
              </w:rPr>
            </w:pPr>
            <w:r w:rsidRPr="003E59F6">
              <w:rPr>
                <w:rFonts w:eastAsia="方正黑体_GBK" w:hint="eastAsia"/>
                <w:b/>
                <w:bCs/>
                <w:color w:val="000000"/>
                <w:kern w:val="0"/>
                <w:szCs w:val="30"/>
                <w:lang w:bidi="ar"/>
              </w:rPr>
              <w:t>三</w:t>
            </w:r>
          </w:p>
        </w:tc>
        <w:tc>
          <w:tcPr>
            <w:tcW w:w="4394" w:type="dxa"/>
            <w:vAlign w:val="center"/>
          </w:tcPr>
          <w:p w:rsidR="003E59F6" w:rsidRPr="003E59F6" w:rsidRDefault="003E59F6" w:rsidP="003E59F6">
            <w:pPr>
              <w:widowControl/>
              <w:spacing w:line="0" w:lineRule="atLeast"/>
              <w:jc w:val="center"/>
              <w:textAlignment w:val="center"/>
              <w:rPr>
                <w:rFonts w:eastAsia="方正黑体_GBK"/>
                <w:szCs w:val="30"/>
              </w:rPr>
            </w:pPr>
            <w:r w:rsidRPr="003E59F6">
              <w:rPr>
                <w:rFonts w:eastAsia="方正黑体_GBK" w:hint="eastAsia"/>
                <w:color w:val="000000"/>
                <w:kern w:val="0"/>
                <w:szCs w:val="30"/>
                <w:lang w:bidi="ar"/>
              </w:rPr>
              <w:t>预备费</w:t>
            </w:r>
          </w:p>
        </w:tc>
        <w:tc>
          <w:tcPr>
            <w:tcW w:w="2126" w:type="dxa"/>
            <w:vAlign w:val="center"/>
          </w:tcPr>
          <w:p w:rsidR="003E59F6" w:rsidRPr="003E59F6" w:rsidRDefault="003E59F6" w:rsidP="003E59F6">
            <w:pPr>
              <w:widowControl/>
              <w:spacing w:line="0" w:lineRule="atLeast"/>
              <w:jc w:val="center"/>
              <w:textAlignment w:val="center"/>
              <w:rPr>
                <w:rFonts w:eastAsia="方正黑体_GBK"/>
                <w:color w:val="000000"/>
                <w:kern w:val="0"/>
                <w:szCs w:val="30"/>
                <w:lang w:bidi="ar"/>
              </w:rPr>
            </w:pPr>
            <w:r w:rsidRPr="003E59F6">
              <w:rPr>
                <w:rFonts w:eastAsia="方正黑体_GBK" w:hint="eastAsia"/>
                <w:color w:val="000000"/>
                <w:kern w:val="0"/>
                <w:szCs w:val="30"/>
                <w:lang w:bidi="ar"/>
              </w:rPr>
              <w:t xml:space="preserve">382.23 </w:t>
            </w:r>
          </w:p>
        </w:tc>
        <w:tc>
          <w:tcPr>
            <w:tcW w:w="1588" w:type="dxa"/>
            <w:vAlign w:val="center"/>
          </w:tcPr>
          <w:p w:rsidR="003E59F6" w:rsidRPr="003E59F6" w:rsidRDefault="003E59F6" w:rsidP="003E59F6">
            <w:pPr>
              <w:spacing w:line="0" w:lineRule="atLeast"/>
              <w:jc w:val="left"/>
              <w:rPr>
                <w:rFonts w:eastAsia="方正黑体_GBK"/>
                <w:szCs w:val="30"/>
              </w:rPr>
            </w:pPr>
          </w:p>
        </w:tc>
      </w:tr>
      <w:tr w:rsidR="003E59F6" w:rsidRPr="003E59F6" w:rsidTr="003E59F6">
        <w:trPr>
          <w:trHeight w:val="567"/>
          <w:jc w:val="center"/>
        </w:trPr>
        <w:tc>
          <w:tcPr>
            <w:tcW w:w="1418" w:type="dxa"/>
            <w:vAlign w:val="center"/>
          </w:tcPr>
          <w:p w:rsidR="003E59F6" w:rsidRPr="003E59F6" w:rsidRDefault="003E59F6" w:rsidP="003E59F6">
            <w:pPr>
              <w:widowControl/>
              <w:spacing w:line="0" w:lineRule="atLeast"/>
              <w:jc w:val="center"/>
              <w:textAlignment w:val="center"/>
              <w:rPr>
                <w:rFonts w:eastAsia="方正仿宋_GBK"/>
                <w:bCs/>
                <w:szCs w:val="30"/>
              </w:rPr>
            </w:pPr>
            <w:r w:rsidRPr="003E59F6">
              <w:rPr>
                <w:rFonts w:eastAsia="方正仿宋_GBK" w:hint="eastAsia"/>
                <w:color w:val="000000"/>
                <w:kern w:val="0"/>
                <w:szCs w:val="30"/>
                <w:lang w:bidi="ar"/>
              </w:rPr>
              <w:t>1</w:t>
            </w:r>
          </w:p>
        </w:tc>
        <w:tc>
          <w:tcPr>
            <w:tcW w:w="4394" w:type="dxa"/>
            <w:vAlign w:val="center"/>
          </w:tcPr>
          <w:p w:rsidR="003E59F6" w:rsidRPr="003E59F6" w:rsidRDefault="003E59F6" w:rsidP="003E59F6">
            <w:pPr>
              <w:widowControl/>
              <w:spacing w:line="0" w:lineRule="atLeast"/>
              <w:jc w:val="center"/>
              <w:textAlignment w:val="center"/>
              <w:rPr>
                <w:rFonts w:eastAsia="方正仿宋_GBK"/>
                <w:bCs/>
                <w:szCs w:val="30"/>
              </w:rPr>
            </w:pPr>
            <w:r w:rsidRPr="003E59F6">
              <w:rPr>
                <w:rFonts w:eastAsia="方正仿宋_GBK" w:hint="eastAsia"/>
                <w:color w:val="000000"/>
                <w:kern w:val="0"/>
                <w:szCs w:val="30"/>
                <w:lang w:bidi="ar"/>
              </w:rPr>
              <w:t>基本预备费</w:t>
            </w:r>
          </w:p>
        </w:tc>
        <w:tc>
          <w:tcPr>
            <w:tcW w:w="2126" w:type="dxa"/>
            <w:vAlign w:val="center"/>
          </w:tcPr>
          <w:p w:rsidR="003E59F6" w:rsidRPr="003E59F6" w:rsidRDefault="003E59F6" w:rsidP="003E59F6">
            <w:pPr>
              <w:widowControl/>
              <w:spacing w:line="0" w:lineRule="atLeast"/>
              <w:jc w:val="center"/>
              <w:textAlignment w:val="center"/>
              <w:rPr>
                <w:rFonts w:eastAsia="方正仿宋_GBK"/>
                <w:color w:val="000000"/>
                <w:kern w:val="0"/>
                <w:szCs w:val="30"/>
                <w:lang w:bidi="ar"/>
              </w:rPr>
            </w:pPr>
            <w:r w:rsidRPr="003E59F6">
              <w:rPr>
                <w:rFonts w:eastAsia="方正仿宋_GBK" w:hint="eastAsia"/>
                <w:color w:val="000000"/>
                <w:kern w:val="0"/>
                <w:szCs w:val="30"/>
                <w:lang w:bidi="ar"/>
              </w:rPr>
              <w:t xml:space="preserve">382.23 </w:t>
            </w:r>
          </w:p>
        </w:tc>
        <w:tc>
          <w:tcPr>
            <w:tcW w:w="1588" w:type="dxa"/>
            <w:vAlign w:val="center"/>
          </w:tcPr>
          <w:p w:rsidR="003E59F6" w:rsidRPr="003E59F6" w:rsidRDefault="003E59F6" w:rsidP="003E59F6">
            <w:pPr>
              <w:spacing w:line="0" w:lineRule="atLeast"/>
              <w:jc w:val="left"/>
              <w:rPr>
                <w:rFonts w:eastAsia="方正仿宋_GBK"/>
                <w:szCs w:val="30"/>
              </w:rPr>
            </w:pPr>
          </w:p>
        </w:tc>
      </w:tr>
      <w:tr w:rsidR="003E59F6" w:rsidRPr="003E59F6" w:rsidTr="003E59F6">
        <w:trPr>
          <w:trHeight w:val="567"/>
          <w:jc w:val="center"/>
        </w:trPr>
        <w:tc>
          <w:tcPr>
            <w:tcW w:w="5812" w:type="dxa"/>
            <w:gridSpan w:val="2"/>
            <w:vAlign w:val="center"/>
          </w:tcPr>
          <w:p w:rsidR="003E59F6" w:rsidRPr="003E59F6" w:rsidRDefault="003E59F6" w:rsidP="003E59F6">
            <w:pPr>
              <w:widowControl/>
              <w:spacing w:line="0" w:lineRule="atLeast"/>
              <w:jc w:val="center"/>
              <w:textAlignment w:val="center"/>
              <w:rPr>
                <w:rFonts w:eastAsia="方正黑体_GBK"/>
                <w:szCs w:val="30"/>
              </w:rPr>
            </w:pPr>
            <w:r w:rsidRPr="003E59F6">
              <w:rPr>
                <w:rFonts w:eastAsia="方正黑体_GBK" w:hint="eastAsia"/>
                <w:color w:val="000000"/>
                <w:kern w:val="0"/>
                <w:szCs w:val="30"/>
                <w:lang w:bidi="ar"/>
              </w:rPr>
              <w:t>项目总投资</w:t>
            </w:r>
          </w:p>
        </w:tc>
        <w:tc>
          <w:tcPr>
            <w:tcW w:w="2126" w:type="dxa"/>
            <w:vAlign w:val="center"/>
          </w:tcPr>
          <w:p w:rsidR="003E59F6" w:rsidRPr="003E59F6" w:rsidRDefault="003E59F6" w:rsidP="003E59F6">
            <w:pPr>
              <w:widowControl/>
              <w:spacing w:line="0" w:lineRule="atLeast"/>
              <w:jc w:val="center"/>
              <w:textAlignment w:val="center"/>
              <w:rPr>
                <w:rFonts w:eastAsia="方正黑体_GBK"/>
                <w:color w:val="000000"/>
                <w:kern w:val="0"/>
                <w:szCs w:val="30"/>
                <w:lang w:bidi="ar"/>
              </w:rPr>
            </w:pPr>
            <w:r w:rsidRPr="003E59F6">
              <w:rPr>
                <w:rFonts w:eastAsia="方正黑体_GBK" w:hint="eastAsia"/>
                <w:color w:val="000000"/>
                <w:kern w:val="0"/>
                <w:szCs w:val="30"/>
                <w:lang w:bidi="ar"/>
              </w:rPr>
              <w:t xml:space="preserve">13123.35 </w:t>
            </w:r>
          </w:p>
        </w:tc>
        <w:tc>
          <w:tcPr>
            <w:tcW w:w="1588" w:type="dxa"/>
            <w:vAlign w:val="center"/>
          </w:tcPr>
          <w:p w:rsidR="003E59F6" w:rsidRPr="003E59F6" w:rsidRDefault="003E59F6" w:rsidP="003E59F6">
            <w:pPr>
              <w:widowControl/>
              <w:spacing w:line="0" w:lineRule="atLeast"/>
              <w:jc w:val="center"/>
              <w:textAlignment w:val="center"/>
              <w:rPr>
                <w:rFonts w:eastAsia="方正黑体_GBK"/>
                <w:color w:val="000000"/>
                <w:kern w:val="0"/>
                <w:szCs w:val="30"/>
                <w:lang w:bidi="ar"/>
              </w:rPr>
            </w:pPr>
          </w:p>
        </w:tc>
      </w:tr>
    </w:tbl>
    <w:p w:rsidR="003E59F6" w:rsidRPr="003E59F6" w:rsidRDefault="003E59F6" w:rsidP="003E59F6">
      <w:pPr>
        <w:spacing w:line="20" w:lineRule="exact"/>
        <w:ind w:rightChars="548" w:right="1644"/>
        <w:jc w:val="left"/>
        <w:rPr>
          <w:rFonts w:eastAsia="方正仿宋_GBK"/>
          <w:sz w:val="32"/>
          <w:szCs w:val="32"/>
        </w:rPr>
      </w:pPr>
    </w:p>
    <w:p w:rsidR="003E59F6" w:rsidRPr="003E59F6" w:rsidRDefault="003E59F6" w:rsidP="009C6F36">
      <w:pPr>
        <w:tabs>
          <w:tab w:val="left" w:pos="3402"/>
        </w:tabs>
        <w:spacing w:line="560" w:lineRule="exact"/>
        <w:ind w:rightChars="630" w:right="1890"/>
        <w:jc w:val="left"/>
        <w:rPr>
          <w:rFonts w:eastAsia="方正黑体_GBK" w:cs="方正黑体_GBK"/>
          <w:kern w:val="0"/>
          <w:sz w:val="32"/>
          <w:szCs w:val="32"/>
        </w:rPr>
      </w:pPr>
    </w:p>
    <w:p w:rsidR="003E59F6" w:rsidRPr="003E59F6" w:rsidRDefault="003E59F6" w:rsidP="009C6F36">
      <w:pPr>
        <w:tabs>
          <w:tab w:val="left" w:pos="3402"/>
        </w:tabs>
        <w:spacing w:line="560" w:lineRule="exact"/>
        <w:ind w:rightChars="630" w:right="1890"/>
        <w:jc w:val="left"/>
        <w:rPr>
          <w:rFonts w:eastAsia="方正黑体_GBK" w:cs="方正黑体_GBK"/>
          <w:kern w:val="0"/>
          <w:sz w:val="32"/>
          <w:szCs w:val="32"/>
        </w:rPr>
      </w:pPr>
    </w:p>
    <w:p w:rsidR="003E59F6" w:rsidRPr="003E59F6" w:rsidRDefault="003E59F6" w:rsidP="009C6F36">
      <w:pPr>
        <w:tabs>
          <w:tab w:val="left" w:pos="3402"/>
        </w:tabs>
        <w:spacing w:line="560" w:lineRule="exact"/>
        <w:ind w:rightChars="630" w:right="1890"/>
        <w:jc w:val="left"/>
        <w:rPr>
          <w:rFonts w:eastAsia="方正黑体_GBK" w:cs="方正黑体_GBK"/>
          <w:kern w:val="0"/>
          <w:sz w:val="32"/>
          <w:szCs w:val="32"/>
        </w:rPr>
      </w:pPr>
    </w:p>
    <w:p w:rsidR="004A28CB" w:rsidRPr="003E59F6" w:rsidRDefault="004A28CB" w:rsidP="009C6F36">
      <w:pPr>
        <w:tabs>
          <w:tab w:val="left" w:pos="3402"/>
        </w:tabs>
        <w:spacing w:line="560" w:lineRule="exact"/>
        <w:ind w:rightChars="630" w:right="1890"/>
        <w:jc w:val="left"/>
        <w:rPr>
          <w:rFonts w:eastAsia="方正黑体_GBK" w:cs="方正黑体_GBK"/>
          <w:kern w:val="0"/>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4A28CB" w:rsidRPr="003E59F6" w:rsidRDefault="004A28CB" w:rsidP="00020A4A">
      <w:pPr>
        <w:pStyle w:val="a3"/>
        <w:spacing w:line="200" w:lineRule="exact"/>
        <w:ind w:rightChars="453" w:right="1359"/>
        <w:jc w:val="right"/>
        <w:rPr>
          <w:rFonts w:eastAsia="方正仿宋_GBK"/>
          <w:sz w:val="32"/>
          <w:szCs w:val="32"/>
        </w:rPr>
      </w:pPr>
    </w:p>
    <w:p w:rsidR="00020A4A" w:rsidRPr="003E59F6" w:rsidRDefault="00020A4A" w:rsidP="00020A4A">
      <w:pPr>
        <w:pStyle w:val="a3"/>
        <w:spacing w:line="200" w:lineRule="exact"/>
        <w:ind w:rightChars="453" w:right="1359"/>
        <w:jc w:val="right"/>
        <w:rPr>
          <w:rFonts w:eastAsia="方正仿宋_GBK"/>
          <w:sz w:val="32"/>
          <w:szCs w:val="32"/>
        </w:rPr>
      </w:pPr>
    </w:p>
    <w:p w:rsidR="00020A4A" w:rsidRPr="003E59F6" w:rsidRDefault="00020A4A" w:rsidP="00020A4A">
      <w:pPr>
        <w:pStyle w:val="a3"/>
        <w:spacing w:line="200" w:lineRule="exact"/>
        <w:ind w:rightChars="453" w:right="1359"/>
        <w:jc w:val="right"/>
        <w:rPr>
          <w:rFonts w:eastAsia="方正仿宋_GBK"/>
          <w:sz w:val="32"/>
          <w:szCs w:val="32"/>
        </w:rPr>
      </w:pPr>
    </w:p>
    <w:p w:rsidR="00547CA9" w:rsidRPr="003E59F6" w:rsidRDefault="00547CA9">
      <w:pPr>
        <w:pStyle w:val="a3"/>
        <w:spacing w:line="20" w:lineRule="exact"/>
        <w:ind w:rightChars="453" w:right="1359"/>
        <w:jc w:val="right"/>
        <w:rPr>
          <w:rFonts w:eastAsia="方正仿宋_GBK"/>
          <w:sz w:val="32"/>
          <w:szCs w:val="32"/>
        </w:rPr>
      </w:pPr>
    </w:p>
    <w:p w:rsidR="00547CA9" w:rsidRPr="003E59F6" w:rsidRDefault="00A81595">
      <w:pPr>
        <w:spacing w:line="600" w:lineRule="exact"/>
        <w:ind w:firstLineChars="59" w:firstLine="177"/>
        <w:jc w:val="left"/>
        <w:rPr>
          <w:rFonts w:eastAsia="方正仿宋_GBK"/>
          <w:sz w:val="28"/>
          <w:szCs w:val="28"/>
        </w:rPr>
      </w:pPr>
      <w:r w:rsidRPr="003E59F6">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3E59F6">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3E59F6">
        <w:rPr>
          <w:rFonts w:eastAsia="方正仿宋_GBK"/>
          <w:sz w:val="28"/>
          <w:szCs w:val="28"/>
        </w:rPr>
        <w:t>重庆市江北区发展和改革委员会办公室</w:t>
      </w:r>
      <w:r w:rsidRPr="003E59F6">
        <w:rPr>
          <w:rFonts w:eastAsia="方正仿宋_GBK"/>
          <w:sz w:val="28"/>
          <w:szCs w:val="28"/>
        </w:rPr>
        <w:t xml:space="preserve">         2025</w:t>
      </w:r>
      <w:r w:rsidRPr="003E59F6">
        <w:rPr>
          <w:rFonts w:eastAsia="方正仿宋_GBK"/>
          <w:sz w:val="28"/>
          <w:szCs w:val="28"/>
        </w:rPr>
        <w:t>年</w:t>
      </w:r>
      <w:r w:rsidR="00241DA5" w:rsidRPr="003E59F6">
        <w:rPr>
          <w:rFonts w:eastAsia="方正仿宋_GBK"/>
          <w:sz w:val="28"/>
          <w:szCs w:val="28"/>
        </w:rPr>
        <w:t>9</w:t>
      </w:r>
      <w:r w:rsidRPr="003E59F6">
        <w:rPr>
          <w:rFonts w:eastAsia="方正仿宋_GBK"/>
          <w:sz w:val="28"/>
          <w:szCs w:val="28"/>
        </w:rPr>
        <w:t>月</w:t>
      </w:r>
      <w:r w:rsidR="003E59F6" w:rsidRPr="003E59F6">
        <w:rPr>
          <w:rFonts w:eastAsia="方正仿宋_GBK"/>
          <w:sz w:val="28"/>
          <w:szCs w:val="28"/>
        </w:rPr>
        <w:t>28</w:t>
      </w:r>
      <w:r w:rsidRPr="003E59F6">
        <w:rPr>
          <w:rFonts w:eastAsia="方正仿宋_GBK"/>
          <w:sz w:val="28"/>
          <w:szCs w:val="28"/>
        </w:rPr>
        <w:t>日印发</w:t>
      </w:r>
    </w:p>
    <w:p w:rsidR="00547CA9" w:rsidRPr="003E59F6" w:rsidRDefault="00547CA9">
      <w:pPr>
        <w:spacing w:line="20" w:lineRule="exact"/>
        <w:ind w:rightChars="548" w:right="1644"/>
        <w:jc w:val="left"/>
        <w:rPr>
          <w:rFonts w:eastAsia="方正仿宋_GBK"/>
          <w:sz w:val="32"/>
          <w:szCs w:val="32"/>
        </w:rPr>
      </w:pPr>
    </w:p>
    <w:sectPr w:rsidR="00547CA9" w:rsidRPr="003E59F6">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A69" w:rsidRDefault="00D95A69">
      <w:r>
        <w:separator/>
      </w:r>
    </w:p>
  </w:endnote>
  <w:endnote w:type="continuationSeparator" w:id="0">
    <w:p w:rsidR="00D95A69" w:rsidRDefault="00D9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3A2BC4" w:rsidRPr="003A2BC4">
          <w:rPr>
            <w:rFonts w:asciiTheme="majorEastAsia" w:eastAsiaTheme="majorEastAsia" w:hAnsiTheme="majorEastAsia"/>
            <w:noProof/>
            <w:sz w:val="28"/>
            <w:lang w:val="zh-CN"/>
          </w:rPr>
          <w:t>6</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3A2BC4" w:rsidRPr="003A2BC4">
          <w:rPr>
            <w:rFonts w:asciiTheme="majorEastAsia" w:eastAsiaTheme="majorEastAsia" w:hAnsiTheme="majorEastAsia"/>
            <w:noProof/>
            <w:sz w:val="28"/>
            <w:lang w:val="zh-CN"/>
          </w:rPr>
          <w:t>5</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3A2BC4" w:rsidRPr="003A2BC4">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A69" w:rsidRDefault="00D95A69">
      <w:r>
        <w:separator/>
      </w:r>
    </w:p>
  </w:footnote>
  <w:footnote w:type="continuationSeparator" w:id="0">
    <w:p w:rsidR="00D95A69" w:rsidRDefault="00D95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1AB"/>
    <w:rsid w:val="000114EB"/>
    <w:rsid w:val="00020A4A"/>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236A"/>
    <w:rsid w:val="001668F8"/>
    <w:rsid w:val="00166E3F"/>
    <w:rsid w:val="00167AAA"/>
    <w:rsid w:val="0017122F"/>
    <w:rsid w:val="00184419"/>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6502F"/>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176"/>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977A5"/>
    <w:rsid w:val="003A2BC4"/>
    <w:rsid w:val="003A31F0"/>
    <w:rsid w:val="003A5AB1"/>
    <w:rsid w:val="003B0712"/>
    <w:rsid w:val="003B27AC"/>
    <w:rsid w:val="003B58EC"/>
    <w:rsid w:val="003B64AF"/>
    <w:rsid w:val="003C272F"/>
    <w:rsid w:val="003C5218"/>
    <w:rsid w:val="003D2EE0"/>
    <w:rsid w:val="003D5CAC"/>
    <w:rsid w:val="003E2C14"/>
    <w:rsid w:val="003E2CE9"/>
    <w:rsid w:val="003E59F6"/>
    <w:rsid w:val="003E681A"/>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1298"/>
    <w:rsid w:val="00462014"/>
    <w:rsid w:val="004637DA"/>
    <w:rsid w:val="00465389"/>
    <w:rsid w:val="00474480"/>
    <w:rsid w:val="004773B5"/>
    <w:rsid w:val="00483363"/>
    <w:rsid w:val="00485299"/>
    <w:rsid w:val="00485E35"/>
    <w:rsid w:val="004878A4"/>
    <w:rsid w:val="00494D40"/>
    <w:rsid w:val="004953CF"/>
    <w:rsid w:val="004A0976"/>
    <w:rsid w:val="004A28CB"/>
    <w:rsid w:val="004A49FD"/>
    <w:rsid w:val="004A5202"/>
    <w:rsid w:val="004A7B04"/>
    <w:rsid w:val="004B345A"/>
    <w:rsid w:val="004B77A2"/>
    <w:rsid w:val="004C40FE"/>
    <w:rsid w:val="004C5A91"/>
    <w:rsid w:val="004C5CC1"/>
    <w:rsid w:val="004D3845"/>
    <w:rsid w:val="004D7961"/>
    <w:rsid w:val="004E5C52"/>
    <w:rsid w:val="004F12CF"/>
    <w:rsid w:val="004F1EB0"/>
    <w:rsid w:val="004F3333"/>
    <w:rsid w:val="004F470D"/>
    <w:rsid w:val="004F6A5F"/>
    <w:rsid w:val="005034C0"/>
    <w:rsid w:val="00515CFE"/>
    <w:rsid w:val="00520CB9"/>
    <w:rsid w:val="00521949"/>
    <w:rsid w:val="0053084E"/>
    <w:rsid w:val="00534253"/>
    <w:rsid w:val="00541A6F"/>
    <w:rsid w:val="0054246B"/>
    <w:rsid w:val="00542CFB"/>
    <w:rsid w:val="005439BB"/>
    <w:rsid w:val="00547CA9"/>
    <w:rsid w:val="00553C3C"/>
    <w:rsid w:val="00554B94"/>
    <w:rsid w:val="005557E5"/>
    <w:rsid w:val="00555E8C"/>
    <w:rsid w:val="00556115"/>
    <w:rsid w:val="00557A37"/>
    <w:rsid w:val="00563876"/>
    <w:rsid w:val="00563A0D"/>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17F4E"/>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3B8B"/>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4A2"/>
    <w:rsid w:val="00796C68"/>
    <w:rsid w:val="007A0F09"/>
    <w:rsid w:val="007A4734"/>
    <w:rsid w:val="007A49CA"/>
    <w:rsid w:val="007B19C5"/>
    <w:rsid w:val="007B65FC"/>
    <w:rsid w:val="007B7CCF"/>
    <w:rsid w:val="007C329F"/>
    <w:rsid w:val="007C5F86"/>
    <w:rsid w:val="007C66CA"/>
    <w:rsid w:val="007D0240"/>
    <w:rsid w:val="007D41BF"/>
    <w:rsid w:val="007D60BA"/>
    <w:rsid w:val="007E19B4"/>
    <w:rsid w:val="007E20F7"/>
    <w:rsid w:val="007F360E"/>
    <w:rsid w:val="00802A39"/>
    <w:rsid w:val="0080527F"/>
    <w:rsid w:val="00813788"/>
    <w:rsid w:val="008144A9"/>
    <w:rsid w:val="00814664"/>
    <w:rsid w:val="00814DDA"/>
    <w:rsid w:val="00817F50"/>
    <w:rsid w:val="0082038E"/>
    <w:rsid w:val="008242B2"/>
    <w:rsid w:val="00825ED3"/>
    <w:rsid w:val="008268C1"/>
    <w:rsid w:val="00827BD5"/>
    <w:rsid w:val="00830A4A"/>
    <w:rsid w:val="00832393"/>
    <w:rsid w:val="00832D1C"/>
    <w:rsid w:val="00834346"/>
    <w:rsid w:val="00836ECC"/>
    <w:rsid w:val="00842F91"/>
    <w:rsid w:val="008464A2"/>
    <w:rsid w:val="008509EF"/>
    <w:rsid w:val="0085232D"/>
    <w:rsid w:val="00862B35"/>
    <w:rsid w:val="008714EE"/>
    <w:rsid w:val="00871B93"/>
    <w:rsid w:val="00873FE8"/>
    <w:rsid w:val="008779A0"/>
    <w:rsid w:val="00880850"/>
    <w:rsid w:val="00883FCC"/>
    <w:rsid w:val="00884202"/>
    <w:rsid w:val="00886FBB"/>
    <w:rsid w:val="0089188B"/>
    <w:rsid w:val="00891CAE"/>
    <w:rsid w:val="00892CB1"/>
    <w:rsid w:val="00894B47"/>
    <w:rsid w:val="008950C9"/>
    <w:rsid w:val="008955F4"/>
    <w:rsid w:val="0089679D"/>
    <w:rsid w:val="0089692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35FD8"/>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0E0"/>
    <w:rsid w:val="009B13EF"/>
    <w:rsid w:val="009B3053"/>
    <w:rsid w:val="009B77A7"/>
    <w:rsid w:val="009B79C7"/>
    <w:rsid w:val="009C4C09"/>
    <w:rsid w:val="009C5176"/>
    <w:rsid w:val="009C59F2"/>
    <w:rsid w:val="009C5E83"/>
    <w:rsid w:val="009C6F36"/>
    <w:rsid w:val="009F2C55"/>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B7605"/>
    <w:rsid w:val="00AC3306"/>
    <w:rsid w:val="00AD14FC"/>
    <w:rsid w:val="00AD3217"/>
    <w:rsid w:val="00AD3E2D"/>
    <w:rsid w:val="00AD5BD7"/>
    <w:rsid w:val="00AD7E26"/>
    <w:rsid w:val="00AE08B4"/>
    <w:rsid w:val="00AE2CF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0D1F"/>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B0DD7"/>
    <w:rsid w:val="00BB3730"/>
    <w:rsid w:val="00BB77CB"/>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07D4F"/>
    <w:rsid w:val="00C11334"/>
    <w:rsid w:val="00C12EE5"/>
    <w:rsid w:val="00C21116"/>
    <w:rsid w:val="00C26141"/>
    <w:rsid w:val="00C27093"/>
    <w:rsid w:val="00C274BD"/>
    <w:rsid w:val="00C3011E"/>
    <w:rsid w:val="00C308DD"/>
    <w:rsid w:val="00C32446"/>
    <w:rsid w:val="00C341E2"/>
    <w:rsid w:val="00C40FFA"/>
    <w:rsid w:val="00C46282"/>
    <w:rsid w:val="00C61985"/>
    <w:rsid w:val="00C63B73"/>
    <w:rsid w:val="00C649F2"/>
    <w:rsid w:val="00C706CF"/>
    <w:rsid w:val="00C75B62"/>
    <w:rsid w:val="00C76547"/>
    <w:rsid w:val="00C7718C"/>
    <w:rsid w:val="00C779CE"/>
    <w:rsid w:val="00C81CA2"/>
    <w:rsid w:val="00C81E4B"/>
    <w:rsid w:val="00C847F8"/>
    <w:rsid w:val="00C86A18"/>
    <w:rsid w:val="00C927A8"/>
    <w:rsid w:val="00C93851"/>
    <w:rsid w:val="00CA2850"/>
    <w:rsid w:val="00CA6779"/>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804"/>
    <w:rsid w:val="00D92B22"/>
    <w:rsid w:val="00D94403"/>
    <w:rsid w:val="00D95A69"/>
    <w:rsid w:val="00DA1386"/>
    <w:rsid w:val="00DA564B"/>
    <w:rsid w:val="00DA5AB9"/>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16369"/>
    <w:rsid w:val="00E207D8"/>
    <w:rsid w:val="00E26287"/>
    <w:rsid w:val="00E27BF4"/>
    <w:rsid w:val="00E31EC6"/>
    <w:rsid w:val="00E35ACF"/>
    <w:rsid w:val="00E37111"/>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B5D3E"/>
    <w:rsid w:val="00EC2CC2"/>
    <w:rsid w:val="00EC5913"/>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 w:type="character" w:styleId="ad">
    <w:name w:val="annotation reference"/>
    <w:basedOn w:val="a0"/>
    <w:rsid w:val="00515CFE"/>
    <w:rPr>
      <w:sz w:val="21"/>
      <w:szCs w:val="21"/>
    </w:rPr>
  </w:style>
  <w:style w:type="paragraph" w:styleId="ae">
    <w:name w:val="annotation text"/>
    <w:basedOn w:val="a"/>
    <w:link w:val="Char8"/>
    <w:rsid w:val="00515CFE"/>
    <w:pPr>
      <w:jc w:val="left"/>
    </w:pPr>
  </w:style>
  <w:style w:type="character" w:customStyle="1" w:styleId="Char8">
    <w:name w:val="批注文字 Char"/>
    <w:basedOn w:val="a0"/>
    <w:link w:val="ae"/>
    <w:rsid w:val="00515CFE"/>
    <w:rPr>
      <w:rFonts w:eastAsia="仿宋_GB2312"/>
      <w:kern w:val="2"/>
      <w:sz w:val="30"/>
    </w:rPr>
  </w:style>
  <w:style w:type="paragraph" w:styleId="af">
    <w:name w:val="annotation subject"/>
    <w:basedOn w:val="ae"/>
    <w:next w:val="ae"/>
    <w:link w:val="Char9"/>
    <w:rsid w:val="00515CFE"/>
    <w:rPr>
      <w:b/>
      <w:bCs/>
    </w:rPr>
  </w:style>
  <w:style w:type="character" w:customStyle="1" w:styleId="Char9">
    <w:name w:val="批注主题 Char"/>
    <w:basedOn w:val="Char8"/>
    <w:link w:val="af"/>
    <w:rsid w:val="00515CFE"/>
    <w:rPr>
      <w:rFonts w:eastAsia="仿宋_GB2312"/>
      <w:b/>
      <w:bCs/>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845F2-10DA-45B9-AEC1-E22B5D2C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4</cp:revision>
  <cp:lastPrinted>2025-09-16T06:35:00Z</cp:lastPrinted>
  <dcterms:created xsi:type="dcterms:W3CDTF">2025-09-28T03:15:00Z</dcterms:created>
  <dcterms:modified xsi:type="dcterms:W3CDTF">2025-10-21T02:10:00Z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