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050" w:leftChars="500" w:right="1050" w:rightChars="500"/>
        <w:jc w:val="center"/>
        <w:rPr>
          <w:rFonts w:hint="eastAsia" w:ascii="方正仿宋_GBK" w:hAnsi="华文宋体" w:eastAsia="方正仿宋_GBK"/>
          <w:sz w:val="32"/>
          <w:szCs w:val="32"/>
        </w:rPr>
      </w:pPr>
      <w:bookmarkStart w:id="0" w:name="_GoBack"/>
      <w:bookmarkEnd w:id="0"/>
      <w:r>
        <w:rPr>
          <w:rFonts w:hint="eastAsia" w:ascii="方正仿宋_GBK" w:hAnsi="华文宋体" w:eastAsia="方正仿宋_GBK"/>
          <w:sz w:val="32"/>
          <w:szCs w:val="32"/>
        </w:rPr>
        <w:t>渝公江规</w:t>
      </w:r>
      <w:r>
        <w:rPr>
          <w:rFonts w:hint="eastAsia" w:ascii="方正仿宋_GBK" w:eastAsia="方正仿宋_GBK"/>
          <w:sz w:val="32"/>
          <w:szCs w:val="32"/>
        </w:rPr>
        <w:t>〔2022〕1号</w:t>
      </w:r>
    </w:p>
    <w:p>
      <w:pPr>
        <w:spacing w:line="580" w:lineRule="exact"/>
        <w:jc w:val="center"/>
        <w:rPr>
          <w:rFonts w:hint="eastAsia" w:ascii="方正小标宋_GBK" w:eastAsia="方正小标宋_GBK"/>
          <w:sz w:val="44"/>
          <w:szCs w:val="44"/>
        </w:r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重庆市公安局江北区分局 重庆市江北区交通局 重庆市江北区经济和信息化委员会 重庆市江北区商务委员会 重庆市江北区生态环境局 重庆市江北区应急管理局 重庆市江北区市场监督管理局关于加强全区危险货物道路运输通行管理工作的通告</w:t>
      </w:r>
    </w:p>
    <w:p>
      <w:pPr>
        <w:spacing w:line="600" w:lineRule="exact"/>
        <w:ind w:firstLine="640" w:firstLineChars="200"/>
        <w:rPr>
          <w:rFonts w:hint="eastAsia" w:ascii="方正仿宋_GBK" w:eastAsia="方正仿宋_GBK"/>
          <w:sz w:val="32"/>
          <w:szCs w:val="32"/>
        </w:rPr>
      </w:pPr>
    </w:p>
    <w:p>
      <w:pPr>
        <w:spacing w:line="560" w:lineRule="exact"/>
        <w:ind w:firstLine="640" w:firstLineChars="200"/>
        <w:rPr>
          <w:rFonts w:hint="eastAsia" w:ascii="方正仿宋_GBK" w:hAnsi="宋体" w:eastAsia="方正仿宋_GBK"/>
          <w:sz w:val="32"/>
          <w:szCs w:val="32"/>
        </w:rPr>
      </w:pPr>
      <w:r>
        <w:rPr>
          <w:rFonts w:hint="eastAsia" w:ascii="方正仿宋_GBK" w:eastAsia="方正仿宋_GBK"/>
          <w:sz w:val="32"/>
          <w:szCs w:val="32"/>
        </w:rPr>
        <w:t>为进一步加强我区危险货物道路运输安全管理、预防道路运输安全事故，根据《中华人民共和国道路交通安全法》、《危险化学品安全管理条例》、《危险货物道路运输安全管理办法》等法律、法规规定，经报区政府同意，现将全区危险货物道路运输车辆通行管理工作</w:t>
      </w:r>
      <w:r>
        <w:rPr>
          <w:rFonts w:hint="eastAsia" w:ascii="方正仿宋_GBK" w:hAnsi="宋体" w:eastAsia="方正仿宋_GBK"/>
          <w:sz w:val="32"/>
          <w:szCs w:val="32"/>
        </w:rPr>
        <w:t>通告如下：</w:t>
      </w:r>
    </w:p>
    <w:p>
      <w:pPr>
        <w:spacing w:line="56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一、危险货物道路运输车辆实行通行证管理</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全区内所有道路均为危险货物运输车辆限行道路。危险货物运输车辆如需通行须事前向重庆市公安局江北区分局交巡警支队申请办理《危险货物运输车通行证》（跨区运输需向重庆市公安局交通管理局申请办理），并按照指定的时间、路线通行。</w:t>
      </w:r>
    </w:p>
    <w:p>
      <w:pPr>
        <w:spacing w:line="560" w:lineRule="exact"/>
        <w:ind w:firstLine="640" w:firstLineChars="200"/>
        <w:rPr>
          <w:rFonts w:eastAsia="方正仿宋_GBK"/>
          <w:sz w:val="32"/>
          <w:szCs w:val="32"/>
        </w:rPr>
      </w:pPr>
      <w:r>
        <w:rPr>
          <w:rFonts w:eastAsia="方正仿宋_GBK"/>
          <w:sz w:val="32"/>
          <w:szCs w:val="32"/>
        </w:rPr>
        <w:t>《危险货物运输车通行证》实行A、B证分类管理， A类通行证适用于24小时限行路段通行,有效期原则上为1天， B类通行证适用于24小时限行路段以外的道路通行，有效期最长不超过一个月。</w:t>
      </w:r>
    </w:p>
    <w:p>
      <w:pPr>
        <w:spacing w:line="56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二、禁限行时间及路段</w:t>
      </w:r>
    </w:p>
    <w:p>
      <w:pPr>
        <w:spacing w:line="560" w:lineRule="exact"/>
        <w:ind w:firstLine="640" w:firstLineChars="200"/>
        <w:rPr>
          <w:rFonts w:eastAsia="方正仿宋_GBK"/>
          <w:sz w:val="32"/>
          <w:szCs w:val="32"/>
        </w:rPr>
      </w:pPr>
      <w:r>
        <w:rPr>
          <w:rFonts w:eastAsia="方正仿宋_GBK"/>
          <w:sz w:val="32"/>
          <w:szCs w:val="32"/>
        </w:rPr>
        <w:t>（一）24小时限行路段：建新南路、建新北路、渝澳大道、观音桥商圈环道、北城天街及其以内道路、北滨一路滨石路路口至宏滨路盘桂路口。</w:t>
      </w:r>
    </w:p>
    <w:p>
      <w:pPr>
        <w:spacing w:line="560" w:lineRule="exact"/>
        <w:ind w:firstLine="640" w:firstLineChars="200"/>
        <w:rPr>
          <w:rFonts w:eastAsia="方正仿宋_GBK"/>
          <w:sz w:val="32"/>
          <w:szCs w:val="32"/>
        </w:rPr>
      </w:pPr>
      <w:r>
        <w:rPr>
          <w:rFonts w:eastAsia="方正仿宋_GBK"/>
          <w:sz w:val="32"/>
          <w:szCs w:val="32"/>
        </w:rPr>
        <w:t>（二）7时至22时限行路段：江北辖区内除本通告24小时限行路段以外的路段。</w:t>
      </w:r>
    </w:p>
    <w:p>
      <w:pPr>
        <w:spacing w:line="560" w:lineRule="exact"/>
        <w:ind w:firstLine="640" w:firstLineChars="200"/>
        <w:rPr>
          <w:rFonts w:eastAsia="方正仿宋_GBK"/>
          <w:sz w:val="32"/>
          <w:szCs w:val="32"/>
        </w:rPr>
      </w:pPr>
      <w:r>
        <w:rPr>
          <w:rFonts w:eastAsia="方正仿宋_GBK"/>
          <w:sz w:val="32"/>
          <w:szCs w:val="32"/>
        </w:rPr>
        <w:t>在禁限行区域内从事危险货物运输的车辆需持公安交通管理机关颁发的通行证通行。危化品运输车辆必须按照通行证规定的时间、线路、区域通行。</w:t>
      </w:r>
    </w:p>
    <w:p>
      <w:pPr>
        <w:spacing w:line="560" w:lineRule="exact"/>
        <w:ind w:firstLine="640" w:firstLineChars="200"/>
        <w:rPr>
          <w:rFonts w:eastAsia="方正黑体_GBK"/>
          <w:sz w:val="32"/>
          <w:szCs w:val="32"/>
        </w:rPr>
      </w:pPr>
      <w:r>
        <w:rPr>
          <w:rFonts w:eastAsia="方正黑体_GBK"/>
          <w:sz w:val="32"/>
          <w:szCs w:val="32"/>
        </w:rPr>
        <w:t>三、本通告中涉及的危险货物及危险货物运输车辆</w:t>
      </w:r>
    </w:p>
    <w:p>
      <w:pPr>
        <w:spacing w:line="560" w:lineRule="exact"/>
        <w:ind w:firstLine="640" w:firstLineChars="200"/>
        <w:jc w:val="left"/>
        <w:rPr>
          <w:rFonts w:eastAsia="方正仿宋_GBK"/>
          <w:sz w:val="32"/>
          <w:szCs w:val="32"/>
        </w:rPr>
      </w:pPr>
      <w:r>
        <w:rPr>
          <w:rFonts w:eastAsia="方正仿宋_GBK"/>
          <w:sz w:val="32"/>
          <w:szCs w:val="32"/>
        </w:rPr>
        <w:t>（一）本通告所指“危险货物”是指列入《危险货物道路运输规则》（JT/T617），具有爆炸、易燃、毒害、感染、腐蚀、放射性等危险特性的物质或物品。涉及民生的液化气、汽柴油、涉医物资等危险品的运输按相关部门的规定执行。</w:t>
      </w:r>
    </w:p>
    <w:p>
      <w:pPr>
        <w:spacing w:line="560" w:lineRule="exact"/>
        <w:ind w:firstLine="640" w:firstLineChars="200"/>
        <w:jc w:val="left"/>
        <w:rPr>
          <w:rFonts w:eastAsia="方正仿宋_GBK"/>
          <w:sz w:val="32"/>
          <w:szCs w:val="32"/>
        </w:rPr>
      </w:pPr>
      <w:r>
        <w:rPr>
          <w:rFonts w:eastAsia="方正仿宋_GBK"/>
          <w:sz w:val="32"/>
          <w:szCs w:val="32"/>
        </w:rPr>
        <w:t>（二）本通告所指“危险货物运输车辆”是指满足特定技术条件和要求，从事道路危险货物运输的载货汽车。</w:t>
      </w:r>
    </w:p>
    <w:p>
      <w:pPr>
        <w:spacing w:line="560" w:lineRule="exact"/>
        <w:ind w:firstLine="640" w:firstLineChars="200"/>
        <w:jc w:val="left"/>
        <w:rPr>
          <w:rFonts w:eastAsia="方正黑体_GBK"/>
          <w:sz w:val="32"/>
          <w:szCs w:val="32"/>
        </w:rPr>
      </w:pPr>
      <w:r>
        <w:rPr>
          <w:rFonts w:eastAsia="方正黑体_GBK"/>
          <w:sz w:val="32"/>
          <w:szCs w:val="32"/>
        </w:rPr>
        <w:t>四、违法行为处理</w:t>
      </w:r>
    </w:p>
    <w:p>
      <w:pPr>
        <w:spacing w:line="560" w:lineRule="exact"/>
        <w:ind w:firstLine="640" w:firstLineChars="200"/>
        <w:rPr>
          <w:rFonts w:eastAsia="方正仿宋_GBK"/>
          <w:sz w:val="32"/>
          <w:szCs w:val="32"/>
        </w:rPr>
      </w:pPr>
      <w:r>
        <w:rPr>
          <w:rFonts w:eastAsia="方正仿宋_GBK"/>
          <w:sz w:val="32"/>
          <w:szCs w:val="32"/>
        </w:rPr>
        <w:t>对违反本通告规定的，由重庆市公安局江北区分局、重庆市江北区交通局、重庆市江北区经济和信息化委员会、重庆市江北区商务委员会、重庆市江北区生态环境局、重庆市江北区应急管理局、重庆市江北区市场监督管理局按照各自职责依法予以处罚；阻碍国家机关工作人员依法执行职务的，由江北区公安分局依照《中华人民共和国治安管理处罚法》规定处理，构成犯罪的，依法追究刑事责任。</w:t>
      </w:r>
    </w:p>
    <w:p>
      <w:pPr>
        <w:spacing w:line="560" w:lineRule="exact"/>
        <w:ind w:firstLine="640" w:firstLineChars="200"/>
        <w:jc w:val="left"/>
        <w:rPr>
          <w:rFonts w:eastAsia="方正黑体_GBK"/>
          <w:sz w:val="32"/>
          <w:szCs w:val="32"/>
        </w:rPr>
      </w:pPr>
      <w:r>
        <w:rPr>
          <w:rFonts w:eastAsia="方正黑体_GBK"/>
          <w:sz w:val="32"/>
          <w:szCs w:val="32"/>
        </w:rPr>
        <w:t>五、本通告自2022年3月</w:t>
      </w:r>
      <w:r>
        <w:rPr>
          <w:rFonts w:hint="eastAsia" w:eastAsia="方正黑体_GBK"/>
          <w:sz w:val="32"/>
          <w:szCs w:val="32"/>
        </w:rPr>
        <w:t>3</w:t>
      </w:r>
      <w:r>
        <w:rPr>
          <w:rFonts w:eastAsia="方正黑体_GBK"/>
          <w:sz w:val="32"/>
          <w:szCs w:val="32"/>
        </w:rPr>
        <w:t>1日起施行。</w:t>
      </w:r>
    </w:p>
    <w:p>
      <w:pPr>
        <w:spacing w:line="560" w:lineRule="exact"/>
        <w:ind w:firstLine="640" w:firstLineChars="200"/>
        <w:rPr>
          <w:rFonts w:eastAsia="方正仿宋_GBK"/>
          <w:sz w:val="32"/>
          <w:szCs w:val="32"/>
        </w:rPr>
      </w:pPr>
      <w:r>
        <w:rPr>
          <w:rFonts w:eastAsia="方正仿宋_GBK"/>
          <w:sz w:val="32"/>
          <w:szCs w:val="32"/>
        </w:rPr>
        <w:t>本通告实施前的其它规定与本通告不一致的，以本通告为准。本通告由重庆市公安局江北区分局、重庆市江北区交通局、重庆市江北区经济和信息化委员会、重庆市江北区商务委员会、重庆市江北区生态环境局、重庆市江北区应急管理局、重庆市江北区市场监督管理局负责解释。</w:t>
      </w:r>
    </w:p>
    <w:p>
      <w:pPr>
        <w:spacing w:line="560" w:lineRule="exact"/>
        <w:ind w:firstLine="640" w:firstLineChars="200"/>
        <w:rPr>
          <w:rFonts w:eastAsia="方正仿宋_GBK"/>
          <w:sz w:val="32"/>
          <w:szCs w:val="32"/>
        </w:rPr>
      </w:pPr>
      <w:r>
        <w:rPr>
          <w:rFonts w:eastAsia="方正仿宋_GBK"/>
          <w:sz w:val="32"/>
          <w:szCs w:val="32"/>
        </w:rPr>
        <w:t xml:space="preserve">特此通告。 </w:t>
      </w:r>
    </w:p>
    <w:p>
      <w:pPr>
        <w:spacing w:line="560" w:lineRule="exact"/>
        <w:rPr>
          <w:rFonts w:eastAsia="方正仿宋_GBK"/>
          <w:sz w:val="32"/>
          <w:szCs w:val="32"/>
        </w:rPr>
      </w:pPr>
    </w:p>
    <w:p>
      <w:pPr>
        <w:spacing w:line="560" w:lineRule="exact"/>
        <w:ind w:firstLine="480" w:firstLineChars="150"/>
        <w:rPr>
          <w:rFonts w:eastAsia="方正仿宋_GBK"/>
          <w:sz w:val="32"/>
          <w:szCs w:val="32"/>
        </w:rPr>
      </w:pPr>
      <w:r>
        <w:rPr>
          <w:rFonts w:eastAsia="方正仿宋_GBK"/>
          <w:sz w:val="32"/>
          <w:szCs w:val="32"/>
        </w:rPr>
        <w:t>重庆市公安局江北区分局          重庆市江北区交通局</w:t>
      </w:r>
    </w:p>
    <w:p>
      <w:pPr>
        <w:spacing w:line="560" w:lineRule="exact"/>
        <w:ind w:firstLine="480" w:firstLineChars="150"/>
        <w:rPr>
          <w:rFonts w:eastAsia="方正仿宋_GBK"/>
          <w:sz w:val="32"/>
          <w:szCs w:val="32"/>
        </w:rPr>
      </w:pPr>
    </w:p>
    <w:p>
      <w:pPr>
        <w:spacing w:line="560" w:lineRule="exact"/>
        <w:ind w:firstLine="480" w:firstLineChars="150"/>
        <w:rPr>
          <w:rFonts w:eastAsia="方正仿宋_GBK"/>
          <w:sz w:val="32"/>
          <w:szCs w:val="32"/>
        </w:rPr>
      </w:pPr>
    </w:p>
    <w:p>
      <w:pPr>
        <w:spacing w:line="560" w:lineRule="exact"/>
        <w:rPr>
          <w:rFonts w:eastAsia="方正仿宋_GBK"/>
          <w:sz w:val="32"/>
          <w:szCs w:val="32"/>
        </w:rPr>
      </w:pPr>
      <w:r>
        <w:rPr>
          <w:rFonts w:eastAsia="方正仿宋_GBK"/>
          <w:sz w:val="32"/>
          <w:szCs w:val="32"/>
        </w:rPr>
        <w:t>重庆市江北区经济和信息化委员会   重庆市江北区商务委员会</w:t>
      </w:r>
    </w:p>
    <w:p>
      <w:pPr>
        <w:spacing w:line="560" w:lineRule="exact"/>
        <w:ind w:firstLine="480" w:firstLineChars="150"/>
        <w:rPr>
          <w:rFonts w:eastAsia="方正仿宋_GBK"/>
          <w:sz w:val="32"/>
          <w:szCs w:val="32"/>
        </w:rPr>
      </w:pPr>
    </w:p>
    <w:p>
      <w:pPr>
        <w:spacing w:line="560" w:lineRule="exact"/>
        <w:ind w:firstLine="480" w:firstLineChars="150"/>
        <w:rPr>
          <w:rFonts w:hint="eastAsia" w:eastAsia="方正仿宋_GBK"/>
          <w:sz w:val="32"/>
          <w:szCs w:val="32"/>
        </w:rPr>
      </w:pPr>
    </w:p>
    <w:p>
      <w:pPr>
        <w:spacing w:line="560" w:lineRule="exact"/>
        <w:ind w:firstLine="480" w:firstLineChars="150"/>
        <w:rPr>
          <w:rFonts w:hint="eastAsia" w:eastAsia="方正仿宋_GBK"/>
          <w:sz w:val="32"/>
          <w:szCs w:val="32"/>
        </w:rPr>
      </w:pPr>
    </w:p>
    <w:p>
      <w:pPr>
        <w:spacing w:line="560" w:lineRule="exact"/>
        <w:ind w:firstLine="160" w:firstLineChars="50"/>
        <w:rPr>
          <w:rFonts w:eastAsia="方正仿宋_GBK"/>
          <w:sz w:val="32"/>
          <w:szCs w:val="32"/>
        </w:rPr>
      </w:pPr>
      <w:r>
        <w:rPr>
          <w:rFonts w:eastAsia="方正仿宋_GBK"/>
          <w:sz w:val="32"/>
          <w:szCs w:val="32"/>
        </w:rPr>
        <w:t>重庆市江北区生态环境局       重庆市江北区应急管理局</w:t>
      </w:r>
    </w:p>
    <w:p>
      <w:pPr>
        <w:spacing w:line="560" w:lineRule="exact"/>
        <w:ind w:firstLine="4640" w:firstLineChars="1450"/>
        <w:rPr>
          <w:rFonts w:hint="eastAsia" w:eastAsia="方正仿宋_GBK"/>
          <w:sz w:val="32"/>
          <w:szCs w:val="32"/>
        </w:rPr>
      </w:pPr>
    </w:p>
    <w:p>
      <w:pPr>
        <w:spacing w:line="560" w:lineRule="exact"/>
        <w:ind w:firstLine="4640" w:firstLineChars="1450"/>
        <w:rPr>
          <w:rFonts w:hint="eastAsia" w:eastAsia="方正仿宋_GBK"/>
          <w:sz w:val="32"/>
          <w:szCs w:val="32"/>
        </w:rPr>
      </w:pPr>
    </w:p>
    <w:p>
      <w:pPr>
        <w:spacing w:line="560" w:lineRule="exact"/>
        <w:ind w:firstLine="4640" w:firstLineChars="1450"/>
        <w:rPr>
          <w:rFonts w:hint="eastAsia" w:eastAsia="方正仿宋_GBK"/>
          <w:sz w:val="32"/>
          <w:szCs w:val="32"/>
        </w:rPr>
      </w:pPr>
    </w:p>
    <w:p>
      <w:pPr>
        <w:spacing w:line="560" w:lineRule="exact"/>
        <w:rPr>
          <w:rFonts w:hint="eastAsia" w:eastAsia="方正仿宋_GBK"/>
          <w:sz w:val="32"/>
          <w:szCs w:val="32"/>
        </w:rPr>
      </w:pPr>
      <w:r>
        <w:rPr>
          <w:rFonts w:hint="eastAsia" w:eastAsia="方正仿宋_GBK"/>
          <w:sz w:val="32"/>
          <w:szCs w:val="32"/>
        </w:rPr>
        <w:t xml:space="preserve">                            </w:t>
      </w:r>
      <w:r>
        <w:rPr>
          <w:rFonts w:eastAsia="方正仿宋_GBK"/>
          <w:sz w:val="32"/>
          <w:szCs w:val="32"/>
        </w:rPr>
        <w:t xml:space="preserve">重庆市江北区市场监督管理局                      </w:t>
      </w: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hint="eastAsia" w:eastAsia="方正仿宋_GBK"/>
          <w:sz w:val="32"/>
          <w:szCs w:val="32"/>
        </w:rPr>
      </w:pPr>
    </w:p>
    <w:p>
      <w:pPr>
        <w:spacing w:line="560" w:lineRule="exact"/>
        <w:rPr>
          <w:rFonts w:eastAsia="方正仿宋_GBK"/>
          <w:sz w:val="32"/>
          <w:szCs w:val="32"/>
        </w:rPr>
      </w:pPr>
      <w:r>
        <w:rPr>
          <w:rFonts w:eastAsia="方正仿宋_GBK"/>
          <w:sz w:val="32"/>
          <w:szCs w:val="32"/>
        </w:rPr>
        <w:t xml:space="preserve"> </w:t>
      </w:r>
    </w:p>
    <w:p>
      <w:pPr>
        <w:spacing w:line="560" w:lineRule="exact"/>
        <w:ind w:firstLine="5536" w:firstLineChars="1730"/>
        <w:rPr>
          <w:rFonts w:hint="eastAsia" w:eastAsia="方正仿宋_GBK"/>
          <w:sz w:val="32"/>
          <w:szCs w:val="32"/>
        </w:rPr>
      </w:pPr>
      <w:r>
        <w:rPr>
          <w:rFonts w:eastAsia="方正仿宋_GBK"/>
          <w:sz w:val="32"/>
          <w:szCs w:val="32"/>
        </w:rPr>
        <w:t>202</w:t>
      </w:r>
      <w:r>
        <w:rPr>
          <w:rFonts w:hint="eastAsia" w:eastAsia="方正仿宋_GBK"/>
          <w:sz w:val="32"/>
          <w:szCs w:val="32"/>
        </w:rPr>
        <w:t>2</w:t>
      </w:r>
      <w:r>
        <w:rPr>
          <w:rFonts w:eastAsia="方正仿宋_GBK"/>
          <w:sz w:val="32"/>
          <w:szCs w:val="32"/>
        </w:rPr>
        <w:t>年</w:t>
      </w:r>
      <w:r>
        <w:rPr>
          <w:rFonts w:hint="eastAsia" w:eastAsia="方正仿宋_GBK"/>
          <w:sz w:val="32"/>
          <w:szCs w:val="32"/>
        </w:rPr>
        <w:t>2</w:t>
      </w:r>
      <w:r>
        <w:rPr>
          <w:rFonts w:eastAsia="方正仿宋_GBK"/>
          <w:sz w:val="32"/>
          <w:szCs w:val="32"/>
        </w:rPr>
        <w:t>月</w:t>
      </w:r>
      <w:r>
        <w:rPr>
          <w:rFonts w:hint="eastAsia" w:eastAsia="方正仿宋_GBK"/>
          <w:sz w:val="32"/>
          <w:szCs w:val="32"/>
        </w:rPr>
        <w:t>18</w:t>
      </w:r>
      <w:r>
        <w:rPr>
          <w:rFonts w:eastAsia="方正仿宋_GBK"/>
          <w:sz w:val="32"/>
          <w:szCs w:val="32"/>
        </w:rPr>
        <w:t>日</w:t>
      </w: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p>
      <w:pPr>
        <w:spacing w:line="560" w:lineRule="exact"/>
        <w:ind w:firstLine="5536" w:firstLineChars="1730"/>
        <w:rPr>
          <w:rFonts w:hint="eastAsia" w:eastAsia="方正仿宋_GBK"/>
          <w:sz w:val="32"/>
          <w:szCs w:val="32"/>
        </w:rPr>
      </w:pPr>
    </w:p>
    <w:tbl>
      <w:tblPr>
        <w:tblStyle w:val="5"/>
        <w:tblW w:w="90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12"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4" w:space="0"/>
            <w:insideV w:val="single" w:color="auto" w:sz="12" w:space="0"/>
          </w:tblBorders>
          <w:tblLayout w:type="fixed"/>
          <w:tblCellMar>
            <w:top w:w="0" w:type="dxa"/>
            <w:left w:w="108" w:type="dxa"/>
            <w:bottom w:w="0" w:type="dxa"/>
            <w:right w:w="108" w:type="dxa"/>
          </w:tblCellMar>
        </w:tblPrEx>
        <w:tc>
          <w:tcPr>
            <w:tcW w:w="9060" w:type="dxa"/>
            <w:vAlign w:val="top"/>
          </w:tcPr>
          <w:p>
            <w:pPr>
              <w:adjustRightInd w:val="0"/>
              <w:snapToGrid w:val="0"/>
              <w:spacing w:line="560" w:lineRule="exact"/>
              <w:ind w:firstLine="140" w:firstLineChars="50"/>
              <w:rPr>
                <w:rFonts w:hint="eastAsia" w:eastAsia="方正黑体_GBK"/>
                <w:szCs w:val="32"/>
              </w:rPr>
            </w:pPr>
            <w:r>
              <w:rPr>
                <w:rFonts w:eastAsia="方正仿宋_GBK"/>
                <w:sz w:val="28"/>
                <w:szCs w:val="28"/>
              </w:rPr>
              <w:t>重庆市公安局江北区分局警令处</w:t>
            </w:r>
            <w:r>
              <w:rPr>
                <w:rFonts w:hint="eastAsia" w:eastAsia="方正仿宋_GBK"/>
                <w:sz w:val="28"/>
                <w:szCs w:val="28"/>
              </w:rPr>
              <w:t xml:space="preserve">              </w:t>
            </w:r>
            <w:r>
              <w:rPr>
                <w:rFonts w:eastAsia="方正仿宋_GBK"/>
                <w:sz w:val="28"/>
                <w:szCs w:val="28"/>
              </w:rPr>
              <w:t>20</w:t>
            </w:r>
            <w:r>
              <w:rPr>
                <w:rFonts w:hint="eastAsia" w:eastAsia="方正仿宋_GBK"/>
                <w:sz w:val="28"/>
                <w:szCs w:val="28"/>
              </w:rPr>
              <w:t>22</w:t>
            </w:r>
            <w:r>
              <w:rPr>
                <w:rFonts w:eastAsia="方正仿宋_GBK"/>
                <w:sz w:val="28"/>
                <w:szCs w:val="28"/>
              </w:rPr>
              <w:t>年</w:t>
            </w:r>
            <w:r>
              <w:rPr>
                <w:rFonts w:hint="eastAsia" w:eastAsia="方正仿宋_GBK"/>
                <w:sz w:val="28"/>
                <w:szCs w:val="28"/>
              </w:rPr>
              <w:t>2</w:t>
            </w:r>
            <w:r>
              <w:rPr>
                <w:rFonts w:eastAsia="方正仿宋_GBK"/>
                <w:sz w:val="28"/>
                <w:szCs w:val="28"/>
              </w:rPr>
              <w:t>月</w:t>
            </w:r>
            <w:r>
              <w:rPr>
                <w:rFonts w:hint="eastAsia" w:eastAsia="方正仿宋_GBK"/>
                <w:sz w:val="28"/>
                <w:szCs w:val="28"/>
              </w:rPr>
              <w:t>18</w:t>
            </w:r>
            <w:r>
              <w:rPr>
                <w:rFonts w:eastAsia="方正仿宋_GBK"/>
                <w:sz w:val="28"/>
                <w:szCs w:val="28"/>
              </w:rPr>
              <w:t>日印发</w:t>
            </w:r>
          </w:p>
        </w:tc>
      </w:tr>
    </w:tbl>
    <w:p>
      <w:pPr>
        <w:spacing w:line="240" w:lineRule="exact"/>
        <w:ind w:firstLine="3633" w:firstLineChars="1730"/>
        <w:rPr>
          <w:rFonts w:hint="eastAsia"/>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eastAsia="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01C03"/>
    <w:rsid w:val="710D2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zhb</cp:lastModifiedBy>
  <dcterms:modified xsi:type="dcterms:W3CDTF">2022-02-28T10:55:37Z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