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b w:val="0"/>
          <w:sz w:val="32"/>
          <w:szCs w:val="32"/>
        </w:rPr>
        <w:t>渝经信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中小〔</w:t>
      </w:r>
      <w:r>
        <w:rPr>
          <w:rFonts w:hint="default" w:ascii="Times New Roman" w:hAnsi="Times New Roman" w:cs="Times New Roman"/>
          <w:b w:val="0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〕5号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  <w:shd w:val="clear" w:fill="FFFFFF"/>
        </w:rPr>
        <w:t>重庆市经济和信息化委员会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shd w:val="clear" w:fill="FFFFFF"/>
        </w:rPr>
        <w:t>关于2022年市级“专精特新”中小企业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shd w:val="clear" w:fill="FFFFFF"/>
        </w:rPr>
        <w:t>申报工作的补充通知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各区县（自治县）经济信息委，两江新区、重庆高新区、万盛经开区经信部门，有关企业：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为深入贯彻落实2022年全市工业和信息化、大数据应用发展、招商投资促进工作会议精神，进一步加大“专精特新”中小企业培育力度，经研究，现将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年市级“专精特新”中小企业申报工作补充通知如下：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  <w:shd w:val="clear" w:fill="FFFFFF"/>
        </w:rPr>
        <w:t>一、申报时间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企业系统申报及提交申报资料到区县中小企业主管部门时间延长至2022年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20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日，区县中小企业主管部门报送资料时间延长至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shd w:val="clear" w:fill="FFFFFF"/>
        </w:rPr>
        <w:t>二、申报条件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综合考虑近年来受疫情、原材料价格上涨等因素影响，对申报条件中基本条件第2条调整如下：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企业上年度研发投入占营业收入比重达到</w:t>
      </w:r>
      <w:r>
        <w:rPr>
          <w:rFonts w:hint="default" w:ascii="Times New Roman" w:hAnsi="Times New Roman" w:cs="Times New Roman"/>
          <w:b w:val="0"/>
          <w:sz w:val="32"/>
          <w:szCs w:val="32"/>
        </w:rPr>
        <w:t>2%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及以上，且至少满足下列2项条件：上年度营业收入总额在2000万元及以上，近两年营业收入或净利润平均增长率达到5</w:t>
      </w:r>
      <w:r>
        <w:rPr>
          <w:rFonts w:hint="default" w:ascii="Times New Roman" w:hAnsi="Times New Roman" w:cs="Times New Roman"/>
          <w:b w:val="0"/>
          <w:sz w:val="32"/>
          <w:szCs w:val="32"/>
        </w:rPr>
        <w:t>%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及以上，上年度资产负债率不高于80%。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三、其他事项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其他要求仍按《关于开展2022年市级“专精特新”中小企业申报工作的通知》（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渝经信中小〔</w:t>
      </w:r>
      <w:r>
        <w:rPr>
          <w:rFonts w:hint="default" w:ascii="Times New Roman" w:hAnsi="Times New Roman" w:cs="Times New Roman"/>
          <w:b w:val="0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2〕4号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）执行。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各区县中小企业主管部门、园区要高度重视，认真梳理分析规上企业、生产性服务业等企业指标情况，帮助其完善研发经费统计口径。要进一步加强政策宣传，组织发动符合条件的企业积极申报，确保辖区内符合条件的企业应报尽报。同时，要加强数据资料的真实性审核把关，对所有申报企业的数据和材料要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逐一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</w:rPr>
        <w:t>进行审核确认（可代替企业的佐证资料），</w:t>
      </w:r>
      <w:r>
        <w:rPr>
          <w:rFonts w:hint="default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并在真实性审查报告中列出每个企业最终审查确认数据（同时要求企业调整申报数据）。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299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   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right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               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</w:rPr>
        <w:t>              重庆市经济和信息化委员会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2790"/>
        <w:jc w:val="right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        2022年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月6日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3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sz w:val="32"/>
          <w:szCs w:val="32"/>
        </w:rPr>
        <w:t>（此件公开发布）</w:t>
      </w:r>
    </w:p>
    <w:sectPr>
      <w:pgSz w:w="11906" w:h="16838"/>
      <w:pgMar w:top="1984" w:right="1417" w:bottom="164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07F5D"/>
    <w:rsid w:val="14BE1E14"/>
    <w:rsid w:val="32B342C3"/>
    <w:rsid w:val="486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2023-06-16T02:07:00Z</dcterms:created>
  <dc:creator>HP</dc:creator>
  <cp:lastModifiedBy>HP</cp:lastModifiedBy>
  <dcterms:modified xsi:type="dcterms:W3CDTF">2023-06-16T02:48:12Z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