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/>
        <w:jc w:val="both"/>
        <w:textAlignment w:val="auto"/>
        <w:rPr>
          <w:rFonts w:hint="default" w:ascii="Times New Roman" w:hAnsi="Times New Roman" w:eastAsia="思源黑体 Medium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思源黑体 Medium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before="0" w:beforeAutospacing="0" w:after="0" w:afterAutospacing="0"/>
        <w:rPr>
          <w:rFonts w:hint="eastAsia"/>
          <w:lang w:val="en-US" w:eastAsia="zh-CN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600" w:lineRule="exact"/>
        <w:ind w:left="0" w:right="0" w:firstLine="0"/>
        <w:jc w:val="center"/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专精特新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“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小巨人</w:t>
      </w:r>
      <w:r>
        <w:rPr>
          <w:rFonts w:hint="eastAsia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”</w:t>
      </w:r>
      <w:r>
        <w:rPr>
          <w:rFonts w:hint="default" w:ascii="Times New Roman" w:hAnsi="Times New Roman" w:eastAsia="方正小标宋_GBK" w:cs="Times New Roman"/>
          <w:b w:val="0"/>
          <w:i w:val="0"/>
          <w:caps w:val="0"/>
          <w:color w:val="auto"/>
          <w:spacing w:val="0"/>
          <w:kern w:val="2"/>
          <w:sz w:val="44"/>
          <w:szCs w:val="44"/>
          <w:shd w:val="clear" w:color="auto" w:fill="auto"/>
          <w:lang w:val="en-US" w:eastAsia="zh-CN" w:bidi="ar"/>
        </w:rPr>
        <w:t>企业认定标准</w:t>
      </w:r>
    </w:p>
    <w:bookmarkEnd w:id="0"/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专精特新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小巨人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企业认定需同时满足专、精、特、新、链、品六个方面指标。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一、专业化指标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坚持专业化发展道路，长期专注并深耕于产业链某一环节或某一产品。截至上年末，企业从事特定细分市场时间达到3年以上，主营业务收入总额占营业收入总额比重不低于70%，近2年主营业务收入平均增长率不低于5%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二、精细化指标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重视并实施长期发展战略，公司治理规范、信誉良好、社会责任感强，生产技术、工艺及产品质量性能国内领先，注重数字化、绿色化发展，在研发设计、生产制造、供应链管理等环节，至少1项核心业务采用信息系统支撑。取得相关管理体系认证，或产品通过发达国家和地区产品认证（国际标准协会行业认证）。截至上年末，企业资产负债率不高于70%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三、特色化指标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技术和产品有自身独特优势，主导产品在全国细分市场占有率达到10%以上，且享有较高知名度和影响力。拥有直接面向市场并具有竞争优势的自主品牌。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四、创新能力指标满足一般性条件或创新直通条件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（一）一般性条件。需同时满足以下三项：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上年度营业收入总额在1亿元以上的企业，近2年研发费用总额占营业收入总额比重均不低于3%；上年度营业收入总额在5000万元—1亿元的企业，近2年研发费用总额占营业收入总额比重均不低于6%；上年度营业收入总额在5000万元以下的企业，同时满足近2年新增股权融资总额（合格机构投资者的实缴额）8000万元以上，且研发费用总额3000万元以上、研发人员占企业职工总数比重50%以上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2.自建或与高等院校、科研机构联合建立研发机构，设立技术研究院、企业技术中心、企业工程中心、院士专家工作站、博士后工作站等。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3.拥有2项以上与主导产品相关的Ⅰ类知识产权，且实际应用并已产生经济效益。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（二）创新直通条件。满足以下一项即可：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1.近三年获得国家级科技奖励，并在获奖单位中排名前三。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2.近三年进入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创客中国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中小企业创新创业大赛全国50强企业组名单。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五、产业链配套指标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位于产业链关键环节，围绕重点产业链实现关键基础技术和产品的产业化应用，发挥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补短板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锻长板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填空白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等重要作用。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before="0" w:beforeAutospacing="0" w:after="0" w:afterAutospacing="0" w:line="578" w:lineRule="atLeas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六、主导产品所属领域指标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adjustRightInd w:val="0"/>
        <w:snapToGrid w:val="0"/>
        <w:spacing w:line="578" w:lineRule="atLeas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导产品原则上属于以下重点领域：从事细分产品市场属于制造业核心基础零部件、元器件、关键软件、先进基础工艺、关键基础材料和产业技术基础；或符合制造强国战略十大重点产业领域；或属于网络强国建设的信息基础设施、关键核心技术、网络安全、数据安全领域等产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思源黑体 Medium">
    <w:altName w:val="黑体"/>
    <w:panose1 w:val="020B0600000000000000"/>
    <w:charset w:val="00"/>
    <w:family w:val="auto"/>
    <w:pitch w:val="default"/>
    <w:sig w:usb0="00000000" w:usb1="0000000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267F6"/>
    <w:rsid w:val="2A92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2024-12-26T09:37:00Z</dcterms:created>
  <dc:creator>HP</dc:creator>
  <cp:lastModifiedBy>HP</cp:lastModifiedBy>
  <dcterms:modified xsi:type="dcterms:W3CDTF">2024-12-26T09:39:02Z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