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重庆市江北区经济和信息化委员会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spacing w:val="165"/>
          <w:kern w:val="0"/>
          <w:sz w:val="44"/>
          <w:szCs w:val="44"/>
          <w:shd w:val="clear" w:color="auto" w:fill="FFFFFF"/>
          <w:fitText w:val="6600" w:id="225474267"/>
          <w:lang w:val="en-US" w:eastAsia="zh-CN" w:bidi="ar-SA"/>
        </w:rPr>
        <w:t>江北区消防救援支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spacing w:val="0"/>
          <w:kern w:val="0"/>
          <w:sz w:val="44"/>
          <w:szCs w:val="44"/>
          <w:shd w:val="clear" w:color="auto" w:fill="FFFFFF"/>
          <w:fitText w:val="6600" w:id="225474267"/>
          <w:lang w:val="en-US" w:eastAsia="zh-CN" w:bidi="ar-SA"/>
        </w:rPr>
        <w:t>队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关于印发全区工业厂房库房消防安全专项整治工作方案的通知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江北经信〔2021〕106号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各镇人民政府、街道办事处，工业园区，有关部门，有关企业：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《全区工业厂房库房消防安全专项整治工作方案》已经区政府同意，现印发给你们，请认真组织实施。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>重庆市江北区经济和信息化委员会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江北区消防救援支队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315" w:firstLineChars="1661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2021年6月30日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全区工业厂房库房消防安全专项整治工作方案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为深刻汲取今年北碚区“3·13”荣特物流有限公司、重庆经开区“4·30”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利盈贸易有限公司</w:t>
      </w:r>
      <w:r>
        <w:rPr>
          <w:rFonts w:hint="default" w:ascii="Times New Roman" w:hAnsi="Times New Roman" w:eastAsia="方正仿宋_GBK" w:cs="Times New Roman"/>
          <w:sz w:val="32"/>
        </w:rPr>
        <w:t>和江津区“6·5”鼎茂再生资源有限公司厂房库房火灾事故教训，认真贯彻落实《江北区安全生产专项整治三年行动工作方案》，坚决防范化解消防安全重大风险，根据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重庆市经济和信息化委员会、重庆市消防救援总队《关于印发全市工业厂房库房消防安全专项整治工作方案的通知》（渝经信发〔2021〕39号）文件精神和区政府领导批示要求，</w:t>
      </w:r>
      <w:r>
        <w:rPr>
          <w:rFonts w:hint="default" w:ascii="Times New Roman" w:hAnsi="Times New Roman" w:eastAsia="方正仿宋_GBK" w:cs="Times New Roman"/>
          <w:sz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经济信息和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消防救援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支</w:t>
      </w:r>
      <w:r>
        <w:rPr>
          <w:rFonts w:hint="default" w:ascii="Times New Roman" w:hAnsi="Times New Roman" w:eastAsia="方正仿宋_GBK" w:cs="Times New Roman"/>
          <w:sz w:val="32"/>
        </w:rPr>
        <w:t>队研究，决定在全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集中开展工业厂房库房消防安全专项整治，特制定本工作方案。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一、整治目标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通过排查整治，全面摸清我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工业厂房库房消防安全现状，着力整治一批重大火灾隐患和消防安全突出问题，督促企业单位落实消防安全主体责任，建立消防安全监管长效机制，提升全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工业厂房库房火灾防控能力。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二、整治范围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（一）工业园区内的工业厂房库房（由各园区管委会组织实施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（二）工业园区外规模以上企业的工业厂房库房（由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区经济信息委</w:t>
      </w:r>
      <w:r>
        <w:rPr>
          <w:rFonts w:hint="default" w:ascii="Times New Roman" w:hAnsi="Times New Roman" w:eastAsia="方正仿宋_GBK" w:cs="Times New Roman"/>
          <w:sz w:val="32"/>
        </w:rPr>
        <w:t>组织实施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区消防救援支队配合</w:t>
      </w:r>
      <w:r>
        <w:rPr>
          <w:rFonts w:hint="default" w:ascii="Times New Roman" w:hAnsi="Times New Roman" w:eastAsia="方正仿宋_GBK" w:cs="Times New Roman"/>
          <w:sz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（三）工业园区外规模以下企业的工业厂房库房（由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街镇</w:t>
      </w:r>
      <w:r>
        <w:rPr>
          <w:rFonts w:hint="default" w:ascii="Times New Roman" w:hAnsi="Times New Roman" w:eastAsia="方正仿宋_GBK" w:cs="Times New Roman"/>
          <w:sz w:val="32"/>
        </w:rPr>
        <w:t>参照本方案自行组织整治）。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三、整治重点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（一）建筑使用性质。</w:t>
      </w:r>
      <w:r>
        <w:rPr>
          <w:rFonts w:hint="default" w:ascii="Times New Roman" w:hAnsi="Times New Roman" w:eastAsia="方正仿宋_GBK" w:cs="Times New Roman"/>
          <w:sz w:val="32"/>
        </w:rPr>
        <w:t>厂房库房是否未经消防验收合格擅自投入使用；是否违规改变建筑使用性质，特别是擅自将丁戊类厂房库房改为丙类及以上厂房库房。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（二）消防安全管理。</w:t>
      </w:r>
      <w:r>
        <w:rPr>
          <w:rFonts w:hint="default" w:ascii="Times New Roman" w:hAnsi="Times New Roman" w:eastAsia="方正仿宋_GBK" w:cs="Times New Roman"/>
          <w:sz w:val="32"/>
        </w:rPr>
        <w:t>是否明确消防安全责任人、管理人；消防控制室人员是否持证上岗；自动消防设施是否按规定定期维护保养、检测；火灾高危单位是否按规定开展消防安全评估；是否组织开展消防安全培训；是否依法建立专职消防队、微型消防站或志愿消防队，并定期开展灭火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（三）火灾危险源。</w:t>
      </w:r>
      <w:r>
        <w:rPr>
          <w:rFonts w:hint="default" w:ascii="Times New Roman" w:hAnsi="Times New Roman" w:eastAsia="方正仿宋_GBK" w:cs="Times New Roman"/>
          <w:sz w:val="32"/>
        </w:rPr>
        <w:t>电气线路是否存在敷设不规范或私拉乱接的情况；电气设备是否存在违规操作的情况；是否违规存放易燃易爆危险品；是否存在违规施工、违章动火动焊的情况；厂房库房内不同火灾危险性的物品是否按要求分类储存；供油、供气设施是否符合要求；铅酸、锂、氢等新能源电池存放方式是否符合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（四）建筑防火。</w:t>
      </w:r>
      <w:r>
        <w:rPr>
          <w:rFonts w:hint="default" w:ascii="Times New Roman" w:hAnsi="Times New Roman" w:eastAsia="方正仿宋_GBK" w:cs="Times New Roman"/>
          <w:sz w:val="32"/>
        </w:rPr>
        <w:t>建筑防火分隔是否符合要求；消防车道、消防救援场地、疏散通道、疏散楼梯、安全出口是否符合规范要求，是否被堵塞或占用；生产、储存、经营易燃易爆危险品的场所与居住场所是否设置在同一建筑内；厂房仓库内是否违规设置办公室、休息室、员工宿舍、中间仓库；是否存在防火间距不足或被占用的情况；是否使用易燃可燃彩钢板搭建建筑；防爆、泄爆措施是否完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（五）消防设施。</w:t>
      </w:r>
      <w:r>
        <w:rPr>
          <w:rFonts w:hint="default" w:ascii="Times New Roman" w:hAnsi="Times New Roman" w:eastAsia="方正仿宋_GBK" w:cs="Times New Roman"/>
          <w:sz w:val="32"/>
        </w:rPr>
        <w:t>消防水源是否满足规范要求；室内外消火栓、火灾报警、自动喷淋、防排烟、泡沫灭火、气体灭火、应急照明和疏散标志等系统是否按规范设置并保持完好有效；灭火器、消防沙池等消防器材配件是否齐全。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四、整治步骤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（一）部署发动（即日起至2021年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楷体_GBK" w:cs="Times New Roman"/>
          <w:sz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制定工作方案，召开会议进行专题部署，明确整治目标、任务和措施，明确工作职责，落实整治责任。分级分批组织工业园区消防管理人员、企业消防安全责任人及管理人开展培训，制作并张贴《关于开展工业厂房库房消防安全专项整治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（二）排查检查（2021年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</w:rPr>
        <w:t>0日至2021年8月31日）。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</w:rPr>
        <w:t>企业自查（7月20日前）。各工业厂房库房相关企业组织开展消防安全自查，填写《工业厂房库房消防安全检查记录表》（附件1），将发现的隐患及整改措施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向对应责任分工单位报送备查（</w:t>
      </w:r>
      <w:r>
        <w:rPr>
          <w:rFonts w:hint="default" w:ascii="Times New Roman" w:hAnsi="Times New Roman" w:eastAsia="方正仿宋_GBK" w:cs="Times New Roman"/>
          <w:sz w:val="32"/>
        </w:rPr>
        <w:t>工业园区内的工业厂房库房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报园区管委会，</w:t>
      </w:r>
      <w:r>
        <w:rPr>
          <w:rFonts w:hint="default" w:ascii="Times New Roman" w:hAnsi="Times New Roman" w:eastAsia="方正仿宋_GBK" w:cs="Times New Roman"/>
          <w:sz w:val="32"/>
        </w:rPr>
        <w:t>工业园区外规模以上企业的工业厂房库房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报区经济信息委，</w:t>
      </w:r>
      <w:r>
        <w:rPr>
          <w:rFonts w:hint="default" w:ascii="Times New Roman" w:hAnsi="Times New Roman" w:eastAsia="方正仿宋_GBK" w:cs="Times New Roman"/>
          <w:sz w:val="32"/>
        </w:rPr>
        <w:t>工业园区外规模以下企业的工业厂房库房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报所在街镇）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</w:rPr>
        <w:t>部门核查（8月31日前）。结合企业自查情况，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按照分级管理原则，由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对厂房库房开展拉网式核查，切实查清底数，建立清单台账。可采取政府购买服务方式，聘请专家或第三方安全服务机构进行核查，核查信息及时录入“工业厂房库房消防安全专项整治信息系统”（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按照附件3链接和二维码手机下载APP</w:t>
      </w:r>
      <w:r>
        <w:rPr>
          <w:rFonts w:hint="default" w:ascii="Times New Roman" w:hAnsi="Times New Roman" w:eastAsia="方正仿宋_GBK" w:cs="Times New Roman"/>
          <w:sz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Cs/>
          <w:sz w:val="32"/>
        </w:rPr>
      </w:pPr>
      <w:r>
        <w:rPr>
          <w:rFonts w:hint="default" w:ascii="Times New Roman" w:hAnsi="Times New Roman" w:eastAsia="方正楷体_GBK" w:cs="Times New Roman"/>
          <w:bCs/>
          <w:sz w:val="32"/>
        </w:rPr>
        <w:t>（三）隐患整改（2021年9月1日至2022年8月31日）。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针对排查发现的问题，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</w:rPr>
        <w:t>分类建立火灾隐患清单，实行“清单化、台账式”管理，明确整改措施，限期销号，形成闭环管理。要加大火灾隐患督改力度，保持执法高压态势，发现弄虚作假或者存在突出风险隐患的，用足用好执法手段，依法从严从重处罚，督促单位整改完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总结提升（2022年9月1日至2022年9月30日）。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对专项整治情况进行全面分析，开展自查自评，总结经验，查找不足，查漏补缺，巩固排查整治工作成效，建立完善长效管理机制，坚决防止隐患问题反弹。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五、整治措施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（一）督查督办。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级层面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成立专项督查组</w:t>
      </w:r>
      <w:r>
        <w:rPr>
          <w:rFonts w:hint="default" w:ascii="Times New Roman" w:hAnsi="Times New Roman" w:eastAsia="方正仿宋_GBK" w:cs="Times New Roman"/>
          <w:sz w:val="32"/>
        </w:rPr>
        <w:t>，对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我区</w:t>
      </w:r>
      <w:r>
        <w:rPr>
          <w:rFonts w:hint="default" w:ascii="Times New Roman" w:hAnsi="Times New Roman" w:eastAsia="方正仿宋_GBK" w:cs="Times New Roman"/>
          <w:sz w:val="32"/>
        </w:rPr>
        <w:t>排查整治情况不定期进行明察暗访并适时通报明察暗访情况。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务必认真组织实施本次专项整治工作，及时排查整治各类工业厂房库房消防安全隐患，</w:t>
      </w:r>
      <w:r>
        <w:rPr>
          <w:rFonts w:hint="default" w:ascii="Times New Roman" w:hAnsi="Times New Roman" w:eastAsia="方正仿宋_GBK" w:cs="Times New Roman"/>
          <w:sz w:val="32"/>
        </w:rPr>
        <w:t>对构成重大火灾隐患的工业厂房库房，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各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单位要报请区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政府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实施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挂牌督办，</w:t>
      </w:r>
      <w:r>
        <w:rPr>
          <w:rFonts w:hint="default" w:ascii="Times New Roman" w:hAnsi="Times New Roman" w:eastAsia="方正仿宋_GBK" w:cs="Times New Roman"/>
          <w:sz w:val="32"/>
        </w:rPr>
        <w:t>明确整改责任、措施和时限，并利用类媒体进行集中曝光，通过舆论监督倒逼隐患整改。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（二）警示约谈。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要重点约谈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火灾隐患突出的</w:t>
      </w:r>
      <w:r>
        <w:rPr>
          <w:rFonts w:hint="default" w:ascii="Times New Roman" w:hAnsi="Times New Roman" w:eastAsia="方正仿宋_GBK" w:cs="Times New Roman"/>
          <w:sz w:val="32"/>
        </w:rPr>
        <w:t>工业厂房库房负责人，讲清责任、讲明风险、讲透危害，督促隐患单位签订承诺书、落实整改责任。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（三）通报抄告。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在排查中发现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涉及消防安全行政处罚的要向区消防救援支队统一抄告；涉及</w:t>
      </w:r>
      <w:r>
        <w:rPr>
          <w:rFonts w:hint="default" w:ascii="Times New Roman" w:hAnsi="Times New Roman" w:eastAsia="方正仿宋_GBK" w:cs="Times New Roman"/>
          <w:sz w:val="32"/>
        </w:rPr>
        <w:t>工业厂房库房未经消防验收擅自投入使用的，要将排查情况向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区住房城乡建委</w:t>
      </w:r>
      <w:r>
        <w:rPr>
          <w:rFonts w:hint="default" w:ascii="Times New Roman" w:hAnsi="Times New Roman" w:eastAsia="方正仿宋_GBK" w:cs="Times New Roman"/>
          <w:sz w:val="32"/>
        </w:rPr>
        <w:t>统一抄告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</w:rPr>
        <w:t>属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于口岸物流、科技部门主管的工业厂房库房，要将排查情况通报相应主管部门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（四）联查联治。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要结合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我区安全生产专项整治三年行动中</w:t>
      </w:r>
      <w:r>
        <w:rPr>
          <w:rFonts w:hint="default" w:ascii="Times New Roman" w:hAnsi="Times New Roman" w:eastAsia="方正仿宋_GBK" w:cs="Times New Roman"/>
          <w:sz w:val="32"/>
        </w:rPr>
        <w:t>工业园区等功能区和消防安全专项整治的统一安排部署，厘清相关主管部门对工业园区的消防监管责任，完善会商研判、信息共享、移送抄告、联合执法等长效机制，合力攻坚整治工业厂房库房火灾隐患。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要充分认识此次专项整治的重要性，坚持人民至上、生命至上，坚持红线思维、底线思维，切实加强组织领导，统筹开展工业厂房库房消防安全专项整治各项工作，形成整治工作合力。要结合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本辖区、本行业</w:t>
      </w:r>
      <w:r>
        <w:rPr>
          <w:rFonts w:hint="default" w:ascii="Times New Roman" w:hAnsi="Times New Roman" w:eastAsia="方正仿宋_GBK" w:cs="Times New Roman"/>
          <w:sz w:val="32"/>
        </w:rPr>
        <w:t>实际，认真分析研判，制定针对性的实施方案，明确目标任务，细化工作措施，层层传导压力，逐级压实责任。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（二）齐抓共管，形成合力。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要各司其职、各负其责，分工负责抓好工业厂房库房消防安全专项整治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牢固树立“一盘棋”的思想，对存在职能交叉、多头管理的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</w:rPr>
        <w:t>加强统筹协调，理顺管理职责，落实管理责任，防止推诿扯皮和失控漏管。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</w:rPr>
        <w:t>（三）落实责任，追责问效。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要坚持党政同责、一岗双责、齐抓共管、失职追责，切实落实专项整治工作责任。要严格按照隐患排查不彻底不放过、隐患整治不到位不放过、事故责任不追究不放过要求，全面落实专项整治责任。对部署不及时、措施不到位、整改不彻底，尤其是整治期间发生火灾事故的，要敢于动真碰硬，严肃追究责任，确保整治措施落实到位。工业厂房库房相关企业要落实企业主体责任，分级分类压实企业法人、分管负责人、安全管理人员的责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val="en"/>
        </w:rPr>
      </w:pPr>
      <w:r>
        <w:rPr>
          <w:rFonts w:hint="default" w:ascii="Times New Roman" w:hAnsi="Times New Roman" w:eastAsia="方正楷体_GBK" w:cs="Times New Roman"/>
          <w:sz w:val="32"/>
        </w:rPr>
        <w:t>（四）加强调度，畅通信息。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各街镇（园区）、有关部门</w:t>
      </w:r>
      <w:r>
        <w:rPr>
          <w:rFonts w:hint="default" w:ascii="Times New Roman" w:hAnsi="Times New Roman" w:eastAsia="方正仿宋_GBK" w:cs="Times New Roman"/>
          <w:sz w:val="32"/>
        </w:rPr>
        <w:t>于2021年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前报送</w:t>
      </w:r>
      <w:r>
        <w:rPr>
          <w:rFonts w:hint="default" w:ascii="Times New Roman" w:hAnsi="Times New Roman" w:eastAsia="方正仿宋_GBK" w:cs="Times New Roman"/>
          <w:sz w:val="32"/>
        </w:rPr>
        <w:t>工作方案和动员部署情况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</w:rPr>
        <w:t>每月2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日前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报送已签字盖章的</w:t>
      </w:r>
      <w:r>
        <w:rPr>
          <w:rFonts w:hint="default" w:ascii="Times New Roman" w:hAnsi="Times New Roman" w:eastAsia="方正仿宋_GBK" w:cs="Times New Roman"/>
          <w:sz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全区</w:t>
      </w:r>
      <w:r>
        <w:rPr>
          <w:rFonts w:hint="default" w:ascii="Times New Roman" w:hAnsi="Times New Roman" w:eastAsia="方正仿宋_GBK" w:cs="Times New Roman"/>
          <w:sz w:val="32"/>
        </w:rPr>
        <w:t>工业厂房库房消防安全专项整治工作情况统计表》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附件2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）；</w:t>
      </w:r>
      <w:r>
        <w:rPr>
          <w:rFonts w:hint="default" w:ascii="Times New Roman" w:hAnsi="Times New Roman" w:eastAsia="方正仿宋_GBK" w:cs="Times New Roman"/>
          <w:sz w:val="32"/>
        </w:rPr>
        <w:t>2021年12月20日、2022年9月20日前分别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报送</w:t>
      </w:r>
      <w:r>
        <w:rPr>
          <w:rFonts w:hint="default" w:ascii="Times New Roman" w:hAnsi="Times New Roman" w:eastAsia="方正仿宋_GBK" w:cs="Times New Roman"/>
          <w:sz w:val="32"/>
        </w:rPr>
        <w:t>工作总结。上述相关情况统一报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消防救援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支</w:t>
      </w:r>
      <w:r>
        <w:rPr>
          <w:rFonts w:hint="default" w:ascii="Times New Roman" w:hAnsi="Times New Roman" w:eastAsia="方正仿宋_GBK" w:cs="Times New Roman"/>
          <w:sz w:val="32"/>
        </w:rPr>
        <w:t>队，抄送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</w:rPr>
        <w:t>经济信息委。联系人：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消防救援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支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队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廖婧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，联系电话：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18996107697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，邮箱：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instrText xml:space="preserve">HYPERLINK "mailto:cqxfzbc@163.com。"</w:instrTex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751850462@qq.com；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经济信息委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李兴鑫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，联系电话：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13368288919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</w:rPr>
        <w:t>，邮箱：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jbjxaq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"/>
        </w:rPr>
        <w:t>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附件：1.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工业厂房库房消防安全检查记录表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pacing w:val="-11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.</w:t>
      </w:r>
      <w:r>
        <w:rPr>
          <w:rFonts w:hint="default" w:ascii="Times New Roman" w:hAnsi="Times New Roman" w:eastAsia="方正仿宋_GBK" w:cs="Times New Roman"/>
          <w:spacing w:val="-11"/>
          <w:sz w:val="32"/>
        </w:rPr>
        <w:t>全</w:t>
      </w:r>
      <w:r>
        <w:rPr>
          <w:rFonts w:hint="default" w:ascii="Times New Roman" w:hAnsi="Times New Roman" w:eastAsia="方正仿宋_GBK" w:cs="Times New Roman"/>
          <w:spacing w:val="-11"/>
          <w:sz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pacing w:val="-11"/>
          <w:sz w:val="32"/>
        </w:rPr>
        <w:t>工业厂房库房消防安全专项整治工作情况统计表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</w:rPr>
        <w:t>3.工业厂房库房消防安全专项整治信息系统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600" w:firstLineChars="5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4.工业厂房库房排查账号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spacing w:line="560" w:lineRule="exact"/>
        <w:rPr>
          <w:rFonts w:hint="eastAsia" w:ascii="Times New Roman" w:hAnsi="Times New Roman" w:eastAsia="方正黑体_GBK" w:cs="Times New Roman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lang w:val="en-US" w:eastAsia="zh-CN"/>
        </w:rPr>
        <w:t>1</w:t>
      </w:r>
    </w:p>
    <w:tbl>
      <w:tblPr>
        <w:tblStyle w:val="9"/>
        <w:tblW w:w="136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8"/>
        <w:gridCol w:w="2211"/>
        <w:gridCol w:w="4040"/>
        <w:gridCol w:w="4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工业厂房库房消防安全检查记录表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（18位）</w:t>
            </w:r>
          </w:p>
        </w:tc>
        <w:tc>
          <w:tcPr>
            <w:tcW w:w="4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软件实现营业执照二维码扫描带出企业全称及统一社会信用代码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是否规上（年营业额2000万以上）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是/否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所属区县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所属镇街（园区）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是否与其他厂房共用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是/否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管理单位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主要性质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生产/储存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所属类别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食品/汽车/电器/机械/电子/纺织/制衣制鞋/家具/木材/造纸和纸制品/化工/医药/橡胶和塑料制品/电力与燃气/其他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投产时间（年月）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单位列管情况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火灾高危单位、消防安全重点单位、派出所列管单位、一般单位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主要产品名称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主要产品储量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总建筑面积（平米）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最大生产厂房或库房建筑面积（平方米）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厂房数量（座）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库房数量（座）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企业总人数（人）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同一时间车间最大总人数（人）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是否有危化品库房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是/否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最高火灾危险性（危化品库房除外）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甲、乙、丙、丁、戊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消防安全责任人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消防安全责任人手机号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消防安全管理人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消防安全管理人手机号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检查内容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检查标准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检查情况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建筑使用性质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1、建筑是否未经消防验收合格擅自投入使用；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2、是否违规改变建筑使用性质，特别是擅自将丁戊类厂房库房改为丙类及以上厂房库房；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消防安全管理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3、是否明确消防安全责任人、管理人；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4、消防控制室人员是否持证上岗；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5、自动消防设施是否按照规定定期维护保养、检测；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6、火灾高危单位是否按规定开展消防安全评估；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7、是否组织开展消防安全培训；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8、是否依法建立专职消防队、微型消防站或志愿消防队，并定期开展灭火疏散演练；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火灾危险源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9、电气线路是否存在敷设不规范或私拉乱接的情况；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10、电气设备是否存在违规操作的情况；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11、是否违规存放易燃易爆危险品；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12、是否存在违规施工、违章动火动焊的情况；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13、厂房库房内不同火灾危险性的物品是否按要求分类储存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14、供油、供气设施是否符合要求；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15、铅酸、锂、氢等新能源电池存放方式是否符合规定；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建筑防火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16、建筑内防火分隔是否符合要求；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17、疏散通道、疏散楼梯、安全出口、消防车道、消防救援场地是否符合规范要求；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18、疏散通道、疏散楼梯、安全出口、消防车道、消防救援场地是否存在被堵塞或占用的情况；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19、是否存在生产、储存、经营与住宿设置在同一建筑内的“多合一”现象；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20、厂房仓库内是否违规设置办公室、休息室、员工宿舍、中间仓库；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21、是否存在防火间距不足或被占用的情况；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22、是否使用易燃可燃彩钢板搭建建筑；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23、防爆、泄爆措施是否完好有效；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消防设施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24、消防水源是否满足规范要求；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25、室内、外消火栓系统是否按规范设置并保持完好有效；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26、火灾自动报警系统是否按规范设置并保持完好有效；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27、自动喷水灭火系统是否按规范设置并保持完好有效；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28、防排烟系统是否按规范设置并保持完好有效；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29、泡沫灭火系统、气体灭火系统等是否按规范设置并保持完好有效；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30、消防应急照明和疏散指示标志是否按规范设置并保持完好有效；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31、灭火器等消防器材配件是否按规范设置并保持完好有效；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32、是否存在其他消防安全违法违规行为。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025"/>
              </w:tabs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注：现场核查时，需采集下列图片：单位大门、主要生产现场、消防验收意见书、消防维保合同、室内外消火栓压力测试、火灾报警主机、喷淋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附件2</w:t>
      </w:r>
    </w:p>
    <w:tbl>
      <w:tblPr>
        <w:tblStyle w:val="9"/>
        <w:tblW w:w="149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778"/>
        <w:gridCol w:w="850"/>
        <w:gridCol w:w="896"/>
        <w:gridCol w:w="905"/>
        <w:gridCol w:w="904"/>
        <w:gridCol w:w="905"/>
        <w:gridCol w:w="822"/>
        <w:gridCol w:w="1013"/>
        <w:gridCol w:w="1395"/>
        <w:gridCol w:w="795"/>
        <w:gridCol w:w="1011"/>
        <w:gridCol w:w="1284"/>
        <w:gridCol w:w="810"/>
        <w:gridCol w:w="684"/>
        <w:gridCol w:w="703"/>
        <w:gridCol w:w="6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4928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全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工业厂房库房消防安全专项整治工作情况统计表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4928" w:type="dxa"/>
            <w:gridSpan w:val="17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填报单位（盖章）：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 xml:space="preserve">  填报时间：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序</w:t>
            </w:r>
          </w:p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 w:bidi="ar"/>
              </w:rPr>
              <w:t>部门、街镇、园区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检查企业数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7"/>
                <w:kern w:val="0"/>
                <w:sz w:val="24"/>
                <w:lang w:bidi="ar"/>
              </w:rPr>
              <w:t>检查工业厂房数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7"/>
                <w:kern w:val="0"/>
                <w:sz w:val="24"/>
                <w:lang w:bidi="ar"/>
              </w:rPr>
              <w:t>检查工业库房数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7"/>
                <w:kern w:val="0"/>
                <w:sz w:val="24"/>
                <w:lang w:bidi="ar"/>
              </w:rPr>
              <w:t>发现火灾隐患数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7"/>
                <w:kern w:val="0"/>
                <w:sz w:val="24"/>
                <w:lang w:bidi="ar"/>
              </w:rPr>
              <w:t>整改火灾隐患数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投入整改资金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确立重大火灾隐患个数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是否聘请三方技术服务机构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聘请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专家数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增配消防设施器材情况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1"/>
                <w:kern w:val="0"/>
                <w:sz w:val="24"/>
                <w:lang w:bidi="ar"/>
              </w:rPr>
              <w:t>新建消防站/专职队情况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开展约谈次数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隐患曝光次数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隐患曝光条数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培训人数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9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49"/>
              </w:tabs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备注：</w:t>
            </w:r>
          </w:p>
          <w:p>
            <w:pPr>
              <w:tabs>
                <w:tab w:val="left" w:pos="3349"/>
              </w:tabs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1﹒此表由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街镇（园区）、有关部门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每月2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日前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报区消防救援支队并抄送区经济信息委，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务必确保信息准确，格式统一。</w:t>
            </w:r>
          </w:p>
          <w:p>
            <w:pPr>
              <w:tabs>
                <w:tab w:val="left" w:pos="3349"/>
              </w:tabs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2﹒表内数据均为累计数据，统计时间从2021年6月22日起。</w:t>
            </w:r>
          </w:p>
          <w:p>
            <w:pPr>
              <w:tabs>
                <w:tab w:val="left" w:pos="3349"/>
              </w:tabs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3﹒联系人：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消防救援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廖婧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，电话：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18996107697，邮箱：751850462@qq.com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经济信息委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李兴鑫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，电话：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13368288919，邮箱：jbjxaq@163.com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。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sectPr>
          <w:headerReference r:id="rId5" w:type="default"/>
          <w:footerReference r:id="rId6" w:type="default"/>
          <w:pgSz w:w="16838" w:h="11906" w:orient="landscape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审核人：                              填报人：                            联系电话：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附件3</w:t>
      </w:r>
    </w:p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小标宋_GBK" w:cs="Times New Roman"/>
          <w:b w:val="0"/>
          <w:kern w:val="2"/>
          <w:szCs w:val="44"/>
          <w:lang w:val="en-US" w:eastAsia="zh-CN"/>
        </w:rPr>
      </w:pPr>
    </w:p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小标宋_GBK" w:cs="Times New Roman"/>
          <w:b w:val="0"/>
          <w:kern w:val="2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kern w:val="2"/>
          <w:szCs w:val="44"/>
          <w:lang w:val="en-US"/>
        </w:rPr>
        <w:t>工业厂房库房消防安全专项整治</w:t>
      </w:r>
    </w:p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kern w:val="2"/>
          <w:szCs w:val="44"/>
          <w:lang w:val="en-US"/>
        </w:rPr>
        <w:t>信息</w:t>
      </w:r>
      <w:r>
        <w:rPr>
          <w:rFonts w:hint="default" w:ascii="Times New Roman" w:hAnsi="Times New Roman" w:eastAsia="方正小标宋_GBK" w:cs="Times New Roman"/>
          <w:b w:val="0"/>
          <w:kern w:val="2"/>
          <w:szCs w:val="44"/>
          <w:lang w:val="en-US" w:eastAsia="zh-CN"/>
        </w:rPr>
        <w:t>系统链接</w:t>
      </w:r>
    </w:p>
    <w:p>
      <w:pPr>
        <w:pStyle w:val="3"/>
        <w:spacing w:before="0" w:after="0" w:line="560" w:lineRule="exact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APP下载地址:</w:t>
      </w:r>
    </w:p>
    <w:p>
      <w:pPr>
        <w:pStyle w:val="3"/>
        <w:spacing w:before="0" w:after="0" w:line="560" w:lineRule="exact"/>
        <w:jc w:val="left"/>
        <w:rPr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"http://183.66.101.54:9999/appdownload/index.html" </w:instrText>
      </w:r>
      <w:r>
        <w:rPr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http://183.66.101.54:9999/appdownload/index.html</w:t>
      </w:r>
      <w:r>
        <w:rPr>
          <w:rFonts w:hint="default" w:ascii="Times New Roman" w:hAnsi="Times New Roman" w:eastAsia="方正仿宋_GBK" w:cs="Times New Roman"/>
          <w:b w:val="0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spacing w:line="0" w:lineRule="atLeast"/>
        <w:jc w:val="both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或扫描二维码下载：</w:t>
      </w:r>
    </w:p>
    <w:p>
      <w:pPr>
        <w:widowControl w:val="0"/>
        <w:spacing w:line="0" w:lineRule="atLeast"/>
        <w:jc w:val="center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drawing>
          <wp:inline distT="0" distB="0" distL="114300" distR="114300">
            <wp:extent cx="2476500" cy="2476500"/>
            <wp:effectExtent l="0" t="0" r="0" b="0"/>
            <wp:docPr id="18" name="图片 1" descr="109372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10937273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0" w:lineRule="atLeast"/>
        <w:jc w:val="center"/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（安卓端）</w:t>
      </w:r>
    </w:p>
    <w:p>
      <w:pPr>
        <w:widowControl w:val="0"/>
        <w:spacing w:line="0" w:lineRule="atLeast"/>
        <w:jc w:val="center"/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drawing>
          <wp:inline distT="0" distB="0" distL="114300" distR="114300">
            <wp:extent cx="2476500" cy="2476500"/>
            <wp:effectExtent l="0" t="0" r="0" b="0"/>
            <wp:docPr id="19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webwxgetmsgim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0" w:lineRule="atLeast"/>
        <w:jc w:val="center"/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sectPr>
          <w:headerReference r:id="rId7" w:type="default"/>
          <w:footerReference r:id="rId8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（ios端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13899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685"/>
        <w:gridCol w:w="3116"/>
        <w:gridCol w:w="3015"/>
        <w:gridCol w:w="3132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工业厂房库房排查账号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9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三级权限：区县部门账号（各区县经信、消防、园区，能填报及查看各自所属范围内的数据）：账号见下表，初始密码均为：123456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区县经信账号（三级）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区县消防账号（三级）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港城园区账号（三级）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鱼复工业园账号（三级）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jbjx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jbxf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gcyq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yfgyy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9" w:type="default"/>
      <w:footerReference r:id="rId10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重庆市江北区经济和信息化委员会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3360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5615940" cy="3810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.3pt;width:442.2pt;z-index:251666432;mso-width-relative:page;mso-height-relative:page;" filled="f" stroked="t" coordsize="21600,21600" o:gfxdata="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U7cJ&#10;1QAAAAgBAAAPAAAAAAAAAAEAIAAAACIAAABkcnMvZG93bnJldi54bWxQSwECFAAUAAAACACHTuJA&#10;3faN9+sBAAC3AwAADgAAAAAAAAABACAAAAAkAQAAZHJzL2Uyb0RvYy54bWxQSwUGAAAAAAYABgBZ&#10;AQAAg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7385" cy="635"/>
              <wp:effectExtent l="0" t="10795" r="18415" b="17145"/>
              <wp:wrapNone/>
              <wp:docPr id="25" name="直接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7385" cy="6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.05pt;width:652.55pt;z-index:251669504;mso-width-relative:page;mso-height-relative:page;" filled="f" stroked="t" coordsize="21600,21600" o:gfxdata="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Y3OZ9QA&#10;AAAJAQAADwAAAAAAAAABACAAAAAiAAAAZHJzL2Rvd25yZXYueG1sUEsBAhQAFAAAAAgAh07iQNfd&#10;ypjqAQAAtg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tabs>
        <w:tab w:val="left" w:pos="3713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  <w:tab/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重庆市江北区经济和信息化委员会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9750" cy="0"/>
              <wp:effectExtent l="0" t="10795" r="0" b="1778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442.5pt;z-index:251665408;mso-width-relative:page;mso-height-relative:page;" filled="f" stroked="t" coordsize="21600,21600" o:gfxdata="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1usN1AAAAAcBAAAPAAAAAAAAAAEAIAAAACIAAABkcnMvZG93bnJldi54bWxQSwECFAAU&#10;AAAACACHTuJAwmG/kfUBAAC/AwAADgAAAAAAAAABACAAAAAj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8970" cy="0"/>
              <wp:effectExtent l="0" t="10795" r="17780" b="17780"/>
              <wp:wrapNone/>
              <wp:docPr id="22" name="直接连接符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89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pt;z-index:251668480;mso-width-relative:page;mso-height-relative:page;" filled="f" stroked="t" coordsize="21600,21600" o:gfxdata="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4u7v1AAAAAgBAAAPAAAAAAAAAAEAIAAAACIAAABkcnMvZG93bnJldi54bWxQSwECFAAU&#10;AAAACACHTuJAMOaqYfUBAAC/AwAADgAAAAAAAAABACAAAAAj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3" name="图片 2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重庆市江北区经济和信息化委员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F19AA"/>
    <w:multiLevelType w:val="singleLevel"/>
    <w:tmpl w:val="71CF19A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5A2589F"/>
    <w:rsid w:val="36ED14AC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BAF1860"/>
    <w:rsid w:val="5DC34279"/>
    <w:rsid w:val="5FCD688E"/>
    <w:rsid w:val="5FF9BDAA"/>
    <w:rsid w:val="608816D1"/>
    <w:rsid w:val="60EF4E7F"/>
    <w:rsid w:val="648B0A32"/>
    <w:rsid w:val="657C43C0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女王</cp:lastModifiedBy>
  <cp:lastPrinted>2022-06-06T16:09:00Z</cp:lastPrinted>
  <dcterms:modified xsi:type="dcterms:W3CDTF">2023-12-20T02:47:31Z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48C61CB29D3F4D9384F5922CF0F7FFB4</vt:lpwstr>
  </property>
</Properties>
</file>