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江北区经济和信息化委员会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spacing w:val="264"/>
          <w:kern w:val="0"/>
          <w:sz w:val="44"/>
          <w:szCs w:val="44"/>
          <w:shd w:val="clear" w:color="auto" w:fill="FFFFFF"/>
          <w:fitText w:val="5280" w:id="1575571571"/>
          <w:lang w:val="en-US" w:eastAsia="zh-CN" w:bidi="ar-SA"/>
        </w:rPr>
        <w:t>江北区财政</w:t>
      </w:r>
      <w:r>
        <w:rPr>
          <w:rStyle w:val="9"/>
          <w:rFonts w:hint="eastAsia" w:ascii="方正小标宋_GBK" w:hAnsi="方正小标宋_GBK" w:eastAsia="方正小标宋_GBK" w:cs="方正小标宋_GBK"/>
          <w:b w:val="0"/>
          <w:spacing w:val="0"/>
          <w:kern w:val="0"/>
          <w:sz w:val="44"/>
          <w:szCs w:val="44"/>
          <w:shd w:val="clear" w:color="auto" w:fill="FFFFFF"/>
          <w:fitText w:val="5280" w:id="1575571571"/>
          <w:lang w:val="en-US" w:eastAsia="zh-CN" w:bidi="ar-SA"/>
        </w:rPr>
        <w:t>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关于公布重庆市江北区区级涉企保证金</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目录清单的通知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江北经信〔2018〕86号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各镇人民政府、街道办事处，区级各部门、有关单位：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按照《工业和信息化部财政部关于公布国务院部门涉企保证金目录清单的通知》（工信部联运行〔2017〕236号）和《重庆市经济和信息化委员会重庆市财政局关于公布重庆市市级涉企保证金目录清单的通知》（渝经信发〔2018〕12号）要求，经区政府批准，现将《重庆市江北区区级涉企保证金目录清单》予以公布，并就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一、自本通知印发之日起，行政机关新设立涉企保证金项目，必须依据有关法律、行政法规的规定或经国务院批准。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二、要严格执行目录清单，目录清单之外，除完全市场化行为产生的保证金以及金融机构缴纳的保险、保障基金除外，一律不得收取任何涉企保证金。对已取消的保证金资金，以及逾期未返或超额收取的保证金要加快资金清退返还。根据实际情况，对目录清单进行动态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三、相关区级部门和有关单位对符合清理规范保留的涉企保证金项目负有管理职责，应建立并完善管理制度，加强监督检查，严禁各种借保证金名义占用企业资金行为。除市场主体之间收取（如履约保证金等）之外，其他由管理机关直接收取或管理机关委托、法定授权具有公共管理职能机构收取的保证金，要建立资金台账，定期报告保证金收取、返还和结存情况，并向社会公布。建立资金台账的具体办法，参照《重庆市市级涉企保证金资金台账管理办法》的相关规定执行。</w:t>
      </w:r>
    </w:p>
    <w:p>
      <w:pPr>
        <w:keepNext w:val="0"/>
        <w:keepLines w:val="0"/>
        <w:pageBreakBefore w:val="0"/>
        <w:kinsoku/>
        <w:wordWrap/>
        <w:overflowPunct/>
        <w:topLinePunct w:val="0"/>
        <w:autoSpaceDE/>
        <w:autoSpaceDN/>
        <w:bidi w:val="0"/>
        <w:spacing w:line="594" w:lineRule="exact"/>
        <w:ind w:right="0" w:rightChars="0" w:firstLine="640" w:firstLineChars="200"/>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特此通知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bCs/>
          <w:sz w:val="32"/>
          <w:szCs w:val="32"/>
        </w:rPr>
        <w:t>重庆市江北区区级涉企保证金目录清单</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1600" w:firstLineChars="5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eastAsia="zh-CN" w:bidi="ar-SA"/>
        </w:rPr>
        <w:t>江北区经济和信息化委员会</w:t>
      </w:r>
      <w:r>
        <w:rPr>
          <w:rFonts w:hint="eastAsia" w:ascii="方正仿宋_GBK" w:hAnsi="方正仿宋_GBK" w:eastAsia="方正仿宋_GBK" w:cs="方正仿宋_GBK"/>
          <w:kern w:val="0"/>
          <w:sz w:val="32"/>
          <w:szCs w:val="32"/>
          <w:shd w:val="clear" w:color="auto" w:fill="FFFFFF"/>
          <w:lang w:val="en-US" w:eastAsia="zh-CN" w:bidi="ar-SA"/>
        </w:rPr>
        <w:t xml:space="preserve">      江北区财政局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5955" w:firstLineChars="1861"/>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2018年5月29日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widowControl/>
        <w:jc w:val="lef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eastAsia="方正小标宋_GBK"/>
          <w:bCs/>
          <w:sz w:val="44"/>
          <w:szCs w:val="44"/>
        </w:rPr>
      </w:pPr>
      <w:r>
        <w:rPr>
          <w:rFonts w:hint="eastAsia" w:ascii="方正小标宋_GBK" w:eastAsia="方正小标宋_GBK"/>
          <w:bCs/>
          <w:sz w:val="44"/>
          <w:szCs w:val="44"/>
        </w:rPr>
        <w:t>重庆市江北区区级涉企保证金目录清单</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eastAsia="方正小标宋_GBK"/>
          <w:bCs/>
          <w:sz w:val="44"/>
          <w:szCs w:val="44"/>
        </w:rPr>
      </w:pPr>
      <w:bookmarkStart w:id="0" w:name="_GoBack"/>
      <w:bookmarkEnd w:id="0"/>
    </w:p>
    <w:tbl>
      <w:tblPr>
        <w:tblStyle w:val="7"/>
        <w:tblW w:w="141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5"/>
        <w:gridCol w:w="1134"/>
        <w:gridCol w:w="3406"/>
        <w:gridCol w:w="2973"/>
        <w:gridCol w:w="1843"/>
        <w:gridCol w:w="2029"/>
        <w:gridCol w:w="2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2" w:hRule="atLeast"/>
          <w:tblHeader/>
          <w:jc w:val="center"/>
        </w:trPr>
        <w:tc>
          <w:tcPr>
            <w:tcW w:w="495" w:type="dxa"/>
            <w:vAlign w:val="center"/>
          </w:tcPr>
          <w:p>
            <w:pPr>
              <w:adjustRightInd w:val="0"/>
              <w:snapToGrid w:val="0"/>
              <w:jc w:val="center"/>
              <w:rPr>
                <w:rFonts w:ascii="方正黑体_GBK" w:eastAsia="方正黑体_GBK"/>
                <w:szCs w:val="21"/>
              </w:rPr>
            </w:pPr>
            <w:r>
              <w:rPr>
                <w:rFonts w:hint="eastAsia" w:ascii="方正黑体_GBK" w:eastAsia="方正黑体_GBK"/>
                <w:szCs w:val="21"/>
              </w:rPr>
              <w:t>序号</w:t>
            </w:r>
          </w:p>
        </w:tc>
        <w:tc>
          <w:tcPr>
            <w:tcW w:w="1134" w:type="dxa"/>
            <w:vAlign w:val="center"/>
          </w:tcPr>
          <w:p>
            <w:pPr>
              <w:adjustRightInd w:val="0"/>
              <w:snapToGrid w:val="0"/>
              <w:jc w:val="center"/>
              <w:rPr>
                <w:rFonts w:ascii="方正黑体_GBK" w:eastAsia="方正黑体_GBK"/>
                <w:szCs w:val="21"/>
              </w:rPr>
            </w:pPr>
            <w:r>
              <w:rPr>
                <w:rFonts w:hint="eastAsia" w:ascii="方正黑体_GBK" w:eastAsia="方正黑体_GBK"/>
                <w:szCs w:val="21"/>
              </w:rPr>
              <w:t>项目</w:t>
            </w:r>
          </w:p>
          <w:p>
            <w:pPr>
              <w:adjustRightInd w:val="0"/>
              <w:snapToGrid w:val="0"/>
              <w:jc w:val="center"/>
              <w:rPr>
                <w:rFonts w:ascii="方正黑体_GBK" w:eastAsia="方正黑体_GBK"/>
                <w:szCs w:val="21"/>
              </w:rPr>
            </w:pPr>
            <w:r>
              <w:rPr>
                <w:rFonts w:hint="eastAsia" w:ascii="方正黑体_GBK" w:eastAsia="方正黑体_GBK"/>
                <w:szCs w:val="21"/>
              </w:rPr>
              <w:t>名称</w:t>
            </w:r>
          </w:p>
        </w:tc>
        <w:tc>
          <w:tcPr>
            <w:tcW w:w="3406" w:type="dxa"/>
            <w:vAlign w:val="center"/>
          </w:tcPr>
          <w:p>
            <w:pPr>
              <w:adjustRightInd w:val="0"/>
              <w:snapToGrid w:val="0"/>
              <w:jc w:val="center"/>
              <w:rPr>
                <w:rFonts w:ascii="方正黑体_GBK" w:eastAsia="方正黑体_GBK"/>
                <w:szCs w:val="21"/>
              </w:rPr>
            </w:pPr>
            <w:r>
              <w:rPr>
                <w:rFonts w:hint="eastAsia" w:ascii="方正黑体_GBK" w:eastAsia="方正黑体_GBK"/>
                <w:szCs w:val="21"/>
              </w:rPr>
              <w:t>收取依据</w:t>
            </w:r>
          </w:p>
        </w:tc>
        <w:tc>
          <w:tcPr>
            <w:tcW w:w="2973" w:type="dxa"/>
            <w:vAlign w:val="center"/>
          </w:tcPr>
          <w:p>
            <w:pPr>
              <w:adjustRightInd w:val="0"/>
              <w:snapToGrid w:val="0"/>
              <w:jc w:val="center"/>
              <w:rPr>
                <w:rFonts w:ascii="方正黑体_GBK" w:eastAsia="方正黑体_GBK"/>
                <w:szCs w:val="21"/>
              </w:rPr>
            </w:pPr>
            <w:r>
              <w:rPr>
                <w:rFonts w:hint="eastAsia" w:ascii="方正黑体_GBK" w:eastAsia="方正黑体_GBK"/>
                <w:szCs w:val="21"/>
              </w:rPr>
              <w:t>收取标准</w:t>
            </w:r>
          </w:p>
        </w:tc>
        <w:tc>
          <w:tcPr>
            <w:tcW w:w="1843" w:type="dxa"/>
            <w:vAlign w:val="center"/>
          </w:tcPr>
          <w:p>
            <w:pPr>
              <w:adjustRightInd w:val="0"/>
              <w:snapToGrid w:val="0"/>
              <w:jc w:val="center"/>
              <w:rPr>
                <w:rFonts w:ascii="方正黑体_GBK" w:eastAsia="方正黑体_GBK"/>
                <w:szCs w:val="21"/>
              </w:rPr>
            </w:pPr>
            <w:r>
              <w:rPr>
                <w:rFonts w:hint="eastAsia" w:ascii="方正黑体_GBK" w:eastAsia="方正黑体_GBK"/>
                <w:szCs w:val="21"/>
              </w:rPr>
              <w:t>管理</w:t>
            </w:r>
          </w:p>
          <w:p>
            <w:pPr>
              <w:adjustRightInd w:val="0"/>
              <w:snapToGrid w:val="0"/>
              <w:jc w:val="center"/>
              <w:rPr>
                <w:rFonts w:ascii="方正黑体_GBK" w:eastAsia="方正黑体_GBK"/>
                <w:szCs w:val="21"/>
              </w:rPr>
            </w:pPr>
            <w:r>
              <w:rPr>
                <w:rFonts w:hint="eastAsia" w:ascii="方正黑体_GBK" w:eastAsia="方正黑体_GBK"/>
                <w:szCs w:val="21"/>
              </w:rPr>
              <w:t>部门</w:t>
            </w:r>
          </w:p>
        </w:tc>
        <w:tc>
          <w:tcPr>
            <w:tcW w:w="2029" w:type="dxa"/>
            <w:vAlign w:val="center"/>
          </w:tcPr>
          <w:p>
            <w:pPr>
              <w:adjustRightInd w:val="0"/>
              <w:snapToGrid w:val="0"/>
              <w:jc w:val="center"/>
              <w:rPr>
                <w:rFonts w:ascii="方正黑体_GBK" w:eastAsia="方正黑体_GBK"/>
                <w:szCs w:val="21"/>
              </w:rPr>
            </w:pPr>
            <w:r>
              <w:rPr>
                <w:rFonts w:hint="eastAsia" w:ascii="方正黑体_GBK" w:eastAsia="方正黑体_GBK"/>
                <w:szCs w:val="21"/>
              </w:rPr>
              <w:t>收取程序</w:t>
            </w:r>
          </w:p>
        </w:tc>
        <w:tc>
          <w:tcPr>
            <w:tcW w:w="2267" w:type="dxa"/>
            <w:vAlign w:val="center"/>
          </w:tcPr>
          <w:p>
            <w:pPr>
              <w:adjustRightInd w:val="0"/>
              <w:snapToGrid w:val="0"/>
              <w:jc w:val="center"/>
              <w:rPr>
                <w:rFonts w:ascii="方正黑体_GBK" w:eastAsia="方正黑体_GBK"/>
                <w:szCs w:val="21"/>
              </w:rPr>
            </w:pPr>
            <w:r>
              <w:rPr>
                <w:rFonts w:hint="eastAsia" w:ascii="方正黑体_GBK" w:eastAsia="方正黑体_GBK"/>
                <w:szCs w:val="21"/>
              </w:rPr>
              <w:t>返还时间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12" w:hRule="atLeast"/>
          <w:jc w:val="center"/>
        </w:trPr>
        <w:tc>
          <w:tcPr>
            <w:tcW w:w="495" w:type="dxa"/>
            <w:vAlign w:val="center"/>
          </w:tcPr>
          <w:p>
            <w:pPr>
              <w:adjustRightInd w:val="0"/>
              <w:snapToGrid w:val="0"/>
              <w:jc w:val="left"/>
              <w:rPr>
                <w:rFonts w:eastAsia="方正仿宋_GBK"/>
                <w:szCs w:val="21"/>
              </w:rPr>
            </w:pPr>
            <w:r>
              <w:rPr>
                <w:rFonts w:eastAsia="方正仿宋_GBK"/>
                <w:szCs w:val="21"/>
              </w:rPr>
              <w:t>1</w:t>
            </w:r>
          </w:p>
        </w:tc>
        <w:tc>
          <w:tcPr>
            <w:tcW w:w="1134" w:type="dxa"/>
            <w:vAlign w:val="center"/>
          </w:tcPr>
          <w:p>
            <w:pPr>
              <w:adjustRightInd w:val="0"/>
              <w:snapToGrid w:val="0"/>
              <w:jc w:val="left"/>
              <w:rPr>
                <w:rFonts w:eastAsia="方正仿宋_GBK"/>
                <w:szCs w:val="21"/>
              </w:rPr>
            </w:pPr>
            <w:r>
              <w:rPr>
                <w:rFonts w:eastAsia="方正仿宋_GBK"/>
                <w:szCs w:val="21"/>
              </w:rPr>
              <w:t>投标保证金</w:t>
            </w:r>
          </w:p>
        </w:tc>
        <w:tc>
          <w:tcPr>
            <w:tcW w:w="3406" w:type="dxa"/>
            <w:vAlign w:val="center"/>
          </w:tcPr>
          <w:p>
            <w:pPr>
              <w:adjustRightInd w:val="0"/>
              <w:snapToGrid w:val="0"/>
              <w:jc w:val="left"/>
              <w:rPr>
                <w:rFonts w:eastAsia="方正仿宋_GBK"/>
                <w:szCs w:val="21"/>
              </w:rPr>
            </w:pPr>
            <w:r>
              <w:rPr>
                <w:rFonts w:eastAsia="方正仿宋_GBK"/>
                <w:szCs w:val="21"/>
              </w:rPr>
              <w:t>《中华人民共和国招标投标法》</w:t>
            </w:r>
          </w:p>
          <w:p>
            <w:pPr>
              <w:adjustRightInd w:val="0"/>
              <w:snapToGrid w:val="0"/>
              <w:jc w:val="left"/>
              <w:rPr>
                <w:rFonts w:eastAsia="方正仿宋_GBK"/>
                <w:szCs w:val="21"/>
              </w:rPr>
            </w:pPr>
            <w:r>
              <w:rPr>
                <w:rFonts w:eastAsia="方正仿宋_GBK"/>
                <w:szCs w:val="21"/>
              </w:rPr>
              <w:t>《中华人民共和国招标投标法实施条例》</w:t>
            </w:r>
          </w:p>
        </w:tc>
        <w:tc>
          <w:tcPr>
            <w:tcW w:w="2973" w:type="dxa"/>
            <w:vAlign w:val="center"/>
          </w:tcPr>
          <w:p>
            <w:pPr>
              <w:adjustRightInd w:val="0"/>
              <w:snapToGrid w:val="0"/>
              <w:jc w:val="left"/>
              <w:rPr>
                <w:rFonts w:eastAsia="方正仿宋_GBK"/>
                <w:szCs w:val="21"/>
              </w:rPr>
            </w:pPr>
            <w:r>
              <w:rPr>
                <w:rFonts w:eastAsia="方正仿宋_GBK"/>
                <w:szCs w:val="21"/>
              </w:rPr>
              <w:t>投标保证金不得超过招标项目估算价的2%。</w:t>
            </w:r>
          </w:p>
        </w:tc>
        <w:tc>
          <w:tcPr>
            <w:tcW w:w="1843" w:type="dxa"/>
            <w:vAlign w:val="center"/>
          </w:tcPr>
          <w:p>
            <w:pPr>
              <w:adjustRightInd w:val="0"/>
              <w:snapToGrid w:val="0"/>
              <w:jc w:val="left"/>
              <w:rPr>
                <w:rFonts w:eastAsia="方正仿宋_GBK"/>
                <w:szCs w:val="21"/>
              </w:rPr>
            </w:pPr>
            <w:r>
              <w:rPr>
                <w:rFonts w:eastAsia="方正仿宋_GBK"/>
                <w:szCs w:val="21"/>
              </w:rPr>
              <w:t>区发展改革委、区经济信息委、区城乡建委、区交委、区农委、区商务局</w:t>
            </w:r>
            <w:r>
              <w:rPr>
                <w:rFonts w:hint="eastAsia" w:eastAsia="方正仿宋_GBK"/>
                <w:szCs w:val="21"/>
              </w:rPr>
              <w:t>、区房管局、</w:t>
            </w:r>
            <w:r>
              <w:rPr>
                <w:rFonts w:eastAsia="方正仿宋_GBK"/>
                <w:szCs w:val="21"/>
              </w:rPr>
              <w:t>区</w:t>
            </w:r>
            <w:r>
              <w:rPr>
                <w:rFonts w:hint="eastAsia" w:eastAsia="方正仿宋_GBK"/>
                <w:szCs w:val="21"/>
              </w:rPr>
              <w:t>城市管理</w:t>
            </w:r>
            <w:r>
              <w:rPr>
                <w:rFonts w:eastAsia="方正仿宋_GBK"/>
                <w:szCs w:val="21"/>
              </w:rPr>
              <w:t>局等</w:t>
            </w:r>
          </w:p>
        </w:tc>
        <w:tc>
          <w:tcPr>
            <w:tcW w:w="2029" w:type="dxa"/>
            <w:vAlign w:val="center"/>
          </w:tcPr>
          <w:p>
            <w:pPr>
              <w:adjustRightInd w:val="0"/>
              <w:snapToGrid w:val="0"/>
              <w:jc w:val="left"/>
              <w:rPr>
                <w:rFonts w:eastAsia="方正仿宋_GBK"/>
                <w:szCs w:val="21"/>
              </w:rPr>
            </w:pPr>
            <w:r>
              <w:rPr>
                <w:rFonts w:eastAsia="方正仿宋_GBK"/>
                <w:szCs w:val="21"/>
              </w:rPr>
              <w:t>根据招标文件具体要求执行。</w:t>
            </w:r>
          </w:p>
        </w:tc>
        <w:tc>
          <w:tcPr>
            <w:tcW w:w="2267" w:type="dxa"/>
            <w:vAlign w:val="center"/>
          </w:tcPr>
          <w:p>
            <w:pPr>
              <w:adjustRightInd w:val="0"/>
              <w:snapToGrid w:val="0"/>
              <w:jc w:val="left"/>
              <w:rPr>
                <w:rFonts w:eastAsia="方正仿宋_GBK"/>
                <w:szCs w:val="21"/>
              </w:rPr>
            </w:pPr>
            <w:r>
              <w:rPr>
                <w:rFonts w:eastAsia="方正仿宋_GBK"/>
                <w:szCs w:val="21"/>
              </w:rPr>
              <w:t>招标人最迟应当在书面合同签订后5日内向中标人和未中标的投标人退还投标保证金及银行同期存款利息。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32" w:hRule="atLeast"/>
          <w:jc w:val="center"/>
        </w:trPr>
        <w:tc>
          <w:tcPr>
            <w:tcW w:w="495" w:type="dxa"/>
            <w:vAlign w:val="center"/>
          </w:tcPr>
          <w:p>
            <w:pPr>
              <w:adjustRightInd w:val="0"/>
              <w:snapToGrid w:val="0"/>
              <w:jc w:val="left"/>
              <w:rPr>
                <w:rFonts w:eastAsia="方正仿宋_GBK"/>
                <w:szCs w:val="21"/>
              </w:rPr>
            </w:pPr>
            <w:r>
              <w:rPr>
                <w:rFonts w:eastAsia="方正仿宋_GBK"/>
                <w:szCs w:val="21"/>
              </w:rPr>
              <w:t>2</w:t>
            </w:r>
          </w:p>
        </w:tc>
        <w:tc>
          <w:tcPr>
            <w:tcW w:w="1134" w:type="dxa"/>
            <w:vAlign w:val="center"/>
          </w:tcPr>
          <w:p>
            <w:pPr>
              <w:adjustRightInd w:val="0"/>
              <w:snapToGrid w:val="0"/>
              <w:jc w:val="left"/>
              <w:rPr>
                <w:rFonts w:eastAsia="方正仿宋_GBK"/>
                <w:szCs w:val="21"/>
              </w:rPr>
            </w:pPr>
            <w:r>
              <w:rPr>
                <w:rFonts w:eastAsia="方正仿宋_GBK"/>
                <w:szCs w:val="21"/>
              </w:rPr>
              <w:t>履约保证金</w:t>
            </w:r>
          </w:p>
        </w:tc>
        <w:tc>
          <w:tcPr>
            <w:tcW w:w="3406" w:type="dxa"/>
            <w:vAlign w:val="center"/>
          </w:tcPr>
          <w:p>
            <w:pPr>
              <w:adjustRightInd w:val="0"/>
              <w:snapToGrid w:val="0"/>
              <w:jc w:val="left"/>
              <w:rPr>
                <w:rFonts w:eastAsia="方正仿宋_GBK"/>
                <w:szCs w:val="21"/>
              </w:rPr>
            </w:pPr>
            <w:r>
              <w:rPr>
                <w:rFonts w:eastAsia="方正仿宋_GBK"/>
                <w:szCs w:val="21"/>
              </w:rPr>
              <w:t>《中华人民共和国招标投标法》</w:t>
            </w:r>
          </w:p>
          <w:p>
            <w:pPr>
              <w:adjustRightInd w:val="0"/>
              <w:snapToGrid w:val="0"/>
              <w:jc w:val="left"/>
              <w:rPr>
                <w:rFonts w:eastAsia="方正仿宋_GBK"/>
                <w:szCs w:val="21"/>
              </w:rPr>
            </w:pPr>
            <w:r>
              <w:rPr>
                <w:rFonts w:eastAsia="方正仿宋_GBK"/>
                <w:szCs w:val="21"/>
              </w:rPr>
              <w:t>《中华人民共和国招标投标法实施条例》</w:t>
            </w:r>
          </w:p>
        </w:tc>
        <w:tc>
          <w:tcPr>
            <w:tcW w:w="2973" w:type="dxa"/>
            <w:vAlign w:val="center"/>
          </w:tcPr>
          <w:p>
            <w:pPr>
              <w:adjustRightInd w:val="0"/>
              <w:snapToGrid w:val="0"/>
              <w:jc w:val="left"/>
              <w:rPr>
                <w:rFonts w:eastAsia="方正仿宋_GBK"/>
                <w:szCs w:val="21"/>
              </w:rPr>
            </w:pPr>
            <w:r>
              <w:rPr>
                <w:rFonts w:eastAsia="方正仿宋_GBK"/>
                <w:szCs w:val="21"/>
              </w:rPr>
              <w:t>履约保证金不得超过中标合同金额的10%。</w:t>
            </w:r>
          </w:p>
        </w:tc>
        <w:tc>
          <w:tcPr>
            <w:tcW w:w="1843" w:type="dxa"/>
            <w:vAlign w:val="center"/>
          </w:tcPr>
          <w:p>
            <w:pPr>
              <w:adjustRightInd w:val="0"/>
              <w:snapToGrid w:val="0"/>
              <w:jc w:val="left"/>
              <w:rPr>
                <w:rFonts w:eastAsia="方正仿宋_GBK"/>
                <w:szCs w:val="21"/>
              </w:rPr>
            </w:pPr>
            <w:r>
              <w:rPr>
                <w:rFonts w:eastAsia="方正仿宋_GBK"/>
                <w:szCs w:val="21"/>
              </w:rPr>
              <w:t>区发展改革委、区经济信息委、区城乡建委、区交委、区农委、区商务局</w:t>
            </w:r>
            <w:r>
              <w:rPr>
                <w:rFonts w:hint="eastAsia" w:eastAsia="方正仿宋_GBK"/>
                <w:szCs w:val="21"/>
              </w:rPr>
              <w:t>、区房管局、</w:t>
            </w:r>
            <w:r>
              <w:rPr>
                <w:rFonts w:eastAsia="方正仿宋_GBK"/>
                <w:szCs w:val="21"/>
              </w:rPr>
              <w:t>区</w:t>
            </w:r>
            <w:r>
              <w:rPr>
                <w:rFonts w:hint="eastAsia" w:eastAsia="方正仿宋_GBK"/>
                <w:szCs w:val="21"/>
              </w:rPr>
              <w:t>城市管理</w:t>
            </w:r>
            <w:r>
              <w:rPr>
                <w:rFonts w:eastAsia="方正仿宋_GBK"/>
                <w:szCs w:val="21"/>
              </w:rPr>
              <w:t>局等</w:t>
            </w:r>
          </w:p>
        </w:tc>
        <w:tc>
          <w:tcPr>
            <w:tcW w:w="2029" w:type="dxa"/>
            <w:vAlign w:val="center"/>
          </w:tcPr>
          <w:p>
            <w:pPr>
              <w:adjustRightInd w:val="0"/>
              <w:snapToGrid w:val="0"/>
              <w:jc w:val="left"/>
              <w:rPr>
                <w:rFonts w:eastAsia="方正仿宋_GBK"/>
                <w:szCs w:val="21"/>
              </w:rPr>
            </w:pPr>
            <w:r>
              <w:rPr>
                <w:rFonts w:eastAsia="方正仿宋_GBK"/>
                <w:szCs w:val="21"/>
              </w:rPr>
              <w:t>根据招标文件或中标合同具体要求执行。</w:t>
            </w:r>
          </w:p>
        </w:tc>
        <w:tc>
          <w:tcPr>
            <w:tcW w:w="2267" w:type="dxa"/>
            <w:vAlign w:val="center"/>
          </w:tcPr>
          <w:p>
            <w:pPr>
              <w:adjustRightInd w:val="0"/>
              <w:snapToGrid w:val="0"/>
              <w:jc w:val="left"/>
              <w:rPr>
                <w:rFonts w:eastAsia="方正仿宋_GBK"/>
                <w:szCs w:val="21"/>
              </w:rPr>
            </w:pPr>
            <w:r>
              <w:rPr>
                <w:rFonts w:eastAsia="方正仿宋_GBK"/>
                <w:szCs w:val="21"/>
              </w:rPr>
              <w:t>根据中标合同约定，待中标人履行完合同约定权利义务事项后退还。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60" w:hRule="atLeast"/>
          <w:jc w:val="center"/>
        </w:trPr>
        <w:tc>
          <w:tcPr>
            <w:tcW w:w="495" w:type="dxa"/>
            <w:vAlign w:val="center"/>
          </w:tcPr>
          <w:p>
            <w:pPr>
              <w:adjustRightInd w:val="0"/>
              <w:snapToGrid w:val="0"/>
              <w:jc w:val="left"/>
              <w:rPr>
                <w:rFonts w:eastAsia="方正仿宋_GBK"/>
                <w:szCs w:val="21"/>
              </w:rPr>
            </w:pPr>
            <w:r>
              <w:rPr>
                <w:rFonts w:eastAsia="方正仿宋_GBK"/>
                <w:szCs w:val="21"/>
              </w:rPr>
              <w:t>3</w:t>
            </w:r>
          </w:p>
        </w:tc>
        <w:tc>
          <w:tcPr>
            <w:tcW w:w="1134" w:type="dxa"/>
            <w:vAlign w:val="center"/>
          </w:tcPr>
          <w:p>
            <w:pPr>
              <w:adjustRightInd w:val="0"/>
              <w:snapToGrid w:val="0"/>
              <w:jc w:val="left"/>
              <w:rPr>
                <w:rFonts w:eastAsia="方正仿宋_GBK"/>
                <w:szCs w:val="21"/>
              </w:rPr>
            </w:pPr>
            <w:r>
              <w:rPr>
                <w:rFonts w:eastAsia="方正仿宋_GBK"/>
                <w:szCs w:val="21"/>
              </w:rPr>
              <w:t>政府采购招标（竞争性谈判、询价）保证金</w:t>
            </w:r>
          </w:p>
        </w:tc>
        <w:tc>
          <w:tcPr>
            <w:tcW w:w="3406" w:type="dxa"/>
            <w:vAlign w:val="center"/>
          </w:tcPr>
          <w:p>
            <w:pPr>
              <w:adjustRightInd w:val="0"/>
              <w:snapToGrid w:val="0"/>
              <w:jc w:val="left"/>
              <w:rPr>
                <w:rFonts w:eastAsia="方正仿宋_GBK"/>
                <w:szCs w:val="21"/>
              </w:rPr>
            </w:pPr>
            <w:r>
              <w:rPr>
                <w:rFonts w:eastAsia="方正仿宋_GBK"/>
                <w:szCs w:val="21"/>
              </w:rPr>
              <w:t>《中华人民共和国政府采购法实施条例》</w:t>
            </w:r>
          </w:p>
        </w:tc>
        <w:tc>
          <w:tcPr>
            <w:tcW w:w="2973" w:type="dxa"/>
            <w:vAlign w:val="center"/>
          </w:tcPr>
          <w:p>
            <w:pPr>
              <w:adjustRightInd w:val="0"/>
              <w:snapToGrid w:val="0"/>
              <w:jc w:val="left"/>
              <w:rPr>
                <w:rFonts w:eastAsia="方正仿宋_GBK"/>
                <w:szCs w:val="21"/>
              </w:rPr>
            </w:pPr>
            <w:r>
              <w:rPr>
                <w:rFonts w:eastAsia="方正仿宋_GBK"/>
                <w:szCs w:val="21"/>
              </w:rPr>
              <w:t>政府采购招标（竞争性谈判、询价）保证金不得超过采购项目预算金额的2%。</w:t>
            </w:r>
          </w:p>
        </w:tc>
        <w:tc>
          <w:tcPr>
            <w:tcW w:w="1843" w:type="dxa"/>
            <w:vAlign w:val="center"/>
          </w:tcPr>
          <w:p>
            <w:pPr>
              <w:adjustRightInd w:val="0"/>
              <w:snapToGrid w:val="0"/>
              <w:jc w:val="left"/>
              <w:rPr>
                <w:rFonts w:eastAsia="方正仿宋_GBK"/>
                <w:szCs w:val="21"/>
              </w:rPr>
            </w:pPr>
            <w:r>
              <w:rPr>
                <w:rFonts w:eastAsia="方正仿宋_GBK"/>
                <w:szCs w:val="21"/>
              </w:rPr>
              <w:t>区财政局</w:t>
            </w:r>
          </w:p>
        </w:tc>
        <w:tc>
          <w:tcPr>
            <w:tcW w:w="2029" w:type="dxa"/>
            <w:vAlign w:val="center"/>
          </w:tcPr>
          <w:p>
            <w:pPr>
              <w:adjustRightInd w:val="0"/>
              <w:snapToGrid w:val="0"/>
              <w:jc w:val="left"/>
              <w:rPr>
                <w:rFonts w:eastAsia="方正仿宋_GBK"/>
                <w:szCs w:val="21"/>
              </w:rPr>
            </w:pPr>
            <w:r>
              <w:rPr>
                <w:rFonts w:eastAsia="方正仿宋_GBK"/>
                <w:szCs w:val="21"/>
              </w:rPr>
              <w:t>供应商在提交投标文件（竞争谈判响应文件、询价响应文件）时按照采购文件约定一并提交。</w:t>
            </w:r>
          </w:p>
        </w:tc>
        <w:tc>
          <w:tcPr>
            <w:tcW w:w="2267" w:type="dxa"/>
            <w:vAlign w:val="center"/>
          </w:tcPr>
          <w:p>
            <w:pPr>
              <w:adjustRightInd w:val="0"/>
              <w:snapToGrid w:val="0"/>
              <w:jc w:val="left"/>
              <w:rPr>
                <w:rFonts w:eastAsia="方正仿宋_GBK"/>
                <w:szCs w:val="21"/>
              </w:rPr>
            </w:pPr>
            <w:r>
              <w:rPr>
                <w:rFonts w:eastAsia="方正仿宋_GBK"/>
                <w:szCs w:val="21"/>
              </w:rPr>
              <w:t>自中标通知书发出之日起5个工作日内，退还未中标供应商的保证金；自政府采购合同签订之日起5个工作日内，退还中标供应商的保证金。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0" w:hRule="atLeast"/>
          <w:jc w:val="center"/>
        </w:trPr>
        <w:tc>
          <w:tcPr>
            <w:tcW w:w="495" w:type="dxa"/>
            <w:vAlign w:val="center"/>
          </w:tcPr>
          <w:p>
            <w:pPr>
              <w:adjustRightInd w:val="0"/>
              <w:snapToGrid w:val="0"/>
              <w:jc w:val="left"/>
              <w:rPr>
                <w:rFonts w:eastAsia="方正仿宋_GBK"/>
                <w:szCs w:val="21"/>
              </w:rPr>
            </w:pPr>
            <w:r>
              <w:rPr>
                <w:rFonts w:eastAsia="方正仿宋_GBK"/>
                <w:szCs w:val="21"/>
              </w:rPr>
              <w:t>4</w:t>
            </w:r>
          </w:p>
        </w:tc>
        <w:tc>
          <w:tcPr>
            <w:tcW w:w="1134" w:type="dxa"/>
            <w:vAlign w:val="center"/>
          </w:tcPr>
          <w:p>
            <w:pPr>
              <w:adjustRightInd w:val="0"/>
              <w:snapToGrid w:val="0"/>
              <w:jc w:val="left"/>
              <w:rPr>
                <w:rFonts w:eastAsia="方正仿宋_GBK"/>
                <w:szCs w:val="21"/>
              </w:rPr>
            </w:pPr>
            <w:r>
              <w:rPr>
                <w:rFonts w:eastAsia="方正仿宋_GBK"/>
                <w:szCs w:val="21"/>
              </w:rPr>
              <w:t>政府采购履约保证金</w:t>
            </w:r>
          </w:p>
        </w:tc>
        <w:tc>
          <w:tcPr>
            <w:tcW w:w="3406" w:type="dxa"/>
            <w:vAlign w:val="center"/>
          </w:tcPr>
          <w:p>
            <w:pPr>
              <w:adjustRightInd w:val="0"/>
              <w:snapToGrid w:val="0"/>
              <w:jc w:val="left"/>
              <w:rPr>
                <w:rFonts w:eastAsia="方正仿宋_GBK"/>
                <w:szCs w:val="21"/>
              </w:rPr>
            </w:pPr>
            <w:r>
              <w:rPr>
                <w:rFonts w:eastAsia="方正仿宋_GBK"/>
                <w:szCs w:val="21"/>
              </w:rPr>
              <w:t>《中华人民共和国政府采购法实施条例》</w:t>
            </w:r>
          </w:p>
        </w:tc>
        <w:tc>
          <w:tcPr>
            <w:tcW w:w="2973" w:type="dxa"/>
            <w:vAlign w:val="center"/>
          </w:tcPr>
          <w:p>
            <w:pPr>
              <w:adjustRightInd w:val="0"/>
              <w:snapToGrid w:val="0"/>
              <w:jc w:val="left"/>
              <w:rPr>
                <w:rFonts w:eastAsia="方正仿宋_GBK"/>
                <w:szCs w:val="21"/>
              </w:rPr>
            </w:pPr>
            <w:r>
              <w:rPr>
                <w:rFonts w:eastAsia="方正仿宋_GBK"/>
                <w:szCs w:val="21"/>
              </w:rPr>
              <w:t>履约保证金不得超过政府采购合同金额的10%。</w:t>
            </w:r>
          </w:p>
        </w:tc>
        <w:tc>
          <w:tcPr>
            <w:tcW w:w="1843" w:type="dxa"/>
            <w:vAlign w:val="center"/>
          </w:tcPr>
          <w:p>
            <w:pPr>
              <w:adjustRightInd w:val="0"/>
              <w:snapToGrid w:val="0"/>
              <w:jc w:val="left"/>
              <w:rPr>
                <w:rFonts w:eastAsia="方正仿宋_GBK"/>
                <w:szCs w:val="21"/>
              </w:rPr>
            </w:pPr>
            <w:r>
              <w:rPr>
                <w:rFonts w:eastAsia="方正仿宋_GBK"/>
                <w:szCs w:val="21"/>
              </w:rPr>
              <w:t>区财政局</w:t>
            </w:r>
          </w:p>
        </w:tc>
        <w:tc>
          <w:tcPr>
            <w:tcW w:w="2029" w:type="dxa"/>
            <w:vAlign w:val="center"/>
          </w:tcPr>
          <w:p>
            <w:pPr>
              <w:adjustRightInd w:val="0"/>
              <w:snapToGrid w:val="0"/>
              <w:jc w:val="left"/>
              <w:rPr>
                <w:rFonts w:eastAsia="方正仿宋_GBK"/>
                <w:szCs w:val="21"/>
              </w:rPr>
            </w:pPr>
            <w:r>
              <w:rPr>
                <w:rFonts w:eastAsia="方正仿宋_GBK"/>
                <w:szCs w:val="21"/>
              </w:rPr>
              <w:t>由中标（成交）供应商与采购人签订采购合同时提交。</w:t>
            </w:r>
          </w:p>
        </w:tc>
        <w:tc>
          <w:tcPr>
            <w:tcW w:w="2267" w:type="dxa"/>
            <w:vAlign w:val="center"/>
          </w:tcPr>
          <w:p>
            <w:pPr>
              <w:adjustRightInd w:val="0"/>
              <w:snapToGrid w:val="0"/>
              <w:jc w:val="left"/>
              <w:rPr>
                <w:rFonts w:eastAsia="方正仿宋_GBK"/>
                <w:szCs w:val="21"/>
              </w:rPr>
            </w:pPr>
            <w:r>
              <w:rPr>
                <w:rFonts w:eastAsia="方正仿宋_GBK"/>
                <w:szCs w:val="21"/>
              </w:rPr>
              <w:t>由采购人根据采购合同约定，待供应商履行完合同约定权利义务事项后退还。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60" w:hRule="atLeast"/>
          <w:jc w:val="center"/>
        </w:trPr>
        <w:tc>
          <w:tcPr>
            <w:tcW w:w="495" w:type="dxa"/>
            <w:vAlign w:val="center"/>
          </w:tcPr>
          <w:p>
            <w:pPr>
              <w:adjustRightInd w:val="0"/>
              <w:snapToGrid w:val="0"/>
              <w:jc w:val="left"/>
              <w:rPr>
                <w:rFonts w:eastAsia="方正仿宋_GBK"/>
                <w:szCs w:val="21"/>
              </w:rPr>
            </w:pPr>
            <w:r>
              <w:rPr>
                <w:rFonts w:eastAsia="方正仿宋_GBK"/>
                <w:szCs w:val="21"/>
              </w:rPr>
              <w:t>5</w:t>
            </w:r>
          </w:p>
        </w:tc>
        <w:tc>
          <w:tcPr>
            <w:tcW w:w="1134" w:type="dxa"/>
            <w:vAlign w:val="center"/>
          </w:tcPr>
          <w:p>
            <w:pPr>
              <w:adjustRightInd w:val="0"/>
              <w:snapToGrid w:val="0"/>
              <w:jc w:val="left"/>
              <w:rPr>
                <w:rFonts w:eastAsia="方正仿宋_GBK"/>
                <w:szCs w:val="21"/>
              </w:rPr>
            </w:pPr>
            <w:r>
              <w:rPr>
                <w:rFonts w:eastAsia="方正仿宋_GBK"/>
                <w:szCs w:val="21"/>
              </w:rPr>
              <w:t>农民工工资保证金</w:t>
            </w:r>
          </w:p>
        </w:tc>
        <w:tc>
          <w:tcPr>
            <w:tcW w:w="3406" w:type="dxa"/>
            <w:vAlign w:val="center"/>
          </w:tcPr>
          <w:p>
            <w:pPr>
              <w:adjustRightInd w:val="0"/>
              <w:snapToGrid w:val="0"/>
              <w:jc w:val="left"/>
              <w:rPr>
                <w:rFonts w:eastAsia="方正仿宋_GBK"/>
                <w:szCs w:val="21"/>
              </w:rPr>
            </w:pPr>
            <w:r>
              <w:rPr>
                <w:rFonts w:hint="eastAsia" w:eastAsia="方正仿宋_GBK"/>
                <w:szCs w:val="21"/>
              </w:rPr>
              <w:t>《国务院关于解决农民工问题的若干意见》（国发〔2006〕5号）</w:t>
            </w:r>
          </w:p>
          <w:p>
            <w:pPr>
              <w:adjustRightInd w:val="0"/>
              <w:snapToGrid w:val="0"/>
              <w:jc w:val="left"/>
              <w:rPr>
                <w:rFonts w:eastAsia="方正仿宋_GBK"/>
                <w:szCs w:val="21"/>
              </w:rPr>
            </w:pPr>
            <w:r>
              <w:rPr>
                <w:rFonts w:hint="eastAsia" w:eastAsia="方正仿宋_GBK"/>
                <w:szCs w:val="21"/>
              </w:rPr>
              <w:t>《国务院办公厅关于全面治理拖欠农民工工资问题的意见》（国办发〔2016〕1号）</w:t>
            </w:r>
          </w:p>
          <w:p>
            <w:pPr>
              <w:adjustRightInd w:val="0"/>
              <w:snapToGrid w:val="0"/>
              <w:jc w:val="left"/>
              <w:rPr>
                <w:rFonts w:eastAsia="方正仿宋_GBK"/>
                <w:szCs w:val="21"/>
              </w:rPr>
            </w:pPr>
            <w:r>
              <w:rPr>
                <w:rFonts w:hint="eastAsia" w:eastAsia="方正仿宋_GBK"/>
                <w:szCs w:val="21"/>
              </w:rPr>
              <w:t>《重庆市建设领域农民工工资支付保障金制度实施办法（试行）》（渝劳社发〔2005〕46号）</w:t>
            </w:r>
          </w:p>
          <w:p>
            <w:pPr>
              <w:adjustRightInd w:val="0"/>
              <w:snapToGrid w:val="0"/>
              <w:jc w:val="left"/>
              <w:rPr>
                <w:rFonts w:eastAsia="方正仿宋_GBK"/>
                <w:szCs w:val="21"/>
              </w:rPr>
            </w:pPr>
            <w:r>
              <w:rPr>
                <w:rFonts w:hint="eastAsia" w:eastAsia="方正仿宋_GBK"/>
                <w:szCs w:val="21"/>
              </w:rPr>
              <w:t>《重庆市劳动和社会保障局关于在建设领域推行农民工工资支付保障金制度的通知》（渝劳社发〔2006〕51号）</w:t>
            </w:r>
          </w:p>
          <w:p>
            <w:pPr>
              <w:adjustRightInd w:val="0"/>
              <w:snapToGrid w:val="0"/>
              <w:jc w:val="left"/>
              <w:rPr>
                <w:rFonts w:eastAsia="方正仿宋_GBK"/>
                <w:szCs w:val="21"/>
              </w:rPr>
            </w:pPr>
            <w:r>
              <w:rPr>
                <w:rFonts w:hint="eastAsia" w:eastAsia="方正仿宋_GBK"/>
                <w:szCs w:val="21"/>
              </w:rPr>
              <w:t>《重庆市交通委员会关于贯彻落实全面治理拖欠农民工工资问题有关意见的通知》（渝交委路发〔2016〕63号）</w:t>
            </w:r>
          </w:p>
          <w:p>
            <w:pPr>
              <w:adjustRightInd w:val="0"/>
              <w:snapToGrid w:val="0"/>
              <w:jc w:val="left"/>
              <w:rPr>
                <w:rFonts w:eastAsia="方正仿宋_GBK"/>
                <w:szCs w:val="21"/>
              </w:rPr>
            </w:pPr>
            <w:r>
              <w:rPr>
                <w:rFonts w:hint="eastAsia" w:eastAsia="方正仿宋_GBK"/>
                <w:szCs w:val="21"/>
              </w:rPr>
              <w:t>《重庆市水利局关于在招投标文件中增加〈重庆市水利工程建设安全生产合同〉〈重庆市水利工程建设廉政合同〉〈按期支付农民工工资合同〉等相关内容的通知》（渝水基〔2010〕33号）</w:t>
            </w:r>
          </w:p>
        </w:tc>
        <w:tc>
          <w:tcPr>
            <w:tcW w:w="2973" w:type="dxa"/>
            <w:vAlign w:val="center"/>
          </w:tcPr>
          <w:p>
            <w:pPr>
              <w:adjustRightInd w:val="0"/>
              <w:snapToGrid w:val="0"/>
              <w:jc w:val="left"/>
              <w:rPr>
                <w:rFonts w:eastAsia="方正仿宋_GBK"/>
                <w:szCs w:val="21"/>
              </w:rPr>
            </w:pPr>
            <w:r>
              <w:rPr>
                <w:rFonts w:hint="eastAsia" w:eastAsia="方正仿宋_GBK"/>
                <w:szCs w:val="21"/>
              </w:rPr>
              <w:t>一、房屋建筑和市政基础设施工程领域：按照《重庆市城乡建设委员会关于进一步落实建筑业健康发展政策减轻建筑业企业负担的通知》（渝建发〔2017〕521号）规定的标准收取；</w:t>
            </w:r>
          </w:p>
          <w:p>
            <w:pPr>
              <w:adjustRightInd w:val="0"/>
              <w:snapToGrid w:val="0"/>
              <w:jc w:val="left"/>
              <w:rPr>
                <w:rFonts w:eastAsia="方正仿宋_GBK"/>
                <w:szCs w:val="21"/>
              </w:rPr>
            </w:pPr>
            <w:r>
              <w:rPr>
                <w:rFonts w:hint="eastAsia" w:eastAsia="方正仿宋_GBK"/>
                <w:szCs w:val="21"/>
              </w:rPr>
              <w:t>二、区交委直接负责管理的公路项目：按照《重庆市交通委员会关于贯彻落实全面治理拖欠农民工工资问题有关意见的通知》（渝交委路〔2016〕63号）规定的标准收取；</w:t>
            </w:r>
          </w:p>
          <w:p>
            <w:pPr>
              <w:adjustRightInd w:val="0"/>
              <w:snapToGrid w:val="0"/>
              <w:jc w:val="left"/>
              <w:rPr>
                <w:rFonts w:eastAsia="方正仿宋_GBK"/>
                <w:szCs w:val="21"/>
              </w:rPr>
            </w:pPr>
            <w:r>
              <w:rPr>
                <w:rFonts w:hint="eastAsia" w:eastAsia="方正仿宋_GBK"/>
                <w:szCs w:val="21"/>
              </w:rPr>
              <w:t>三、水利工程：区级以上审批的重点水利工程，按照《按期支付农民工工资合同》的规定，由施工单位在签订工程承包合同时一次性交纳，比例为工程中标价的3%。</w:t>
            </w:r>
          </w:p>
        </w:tc>
        <w:tc>
          <w:tcPr>
            <w:tcW w:w="1843" w:type="dxa"/>
            <w:vAlign w:val="center"/>
          </w:tcPr>
          <w:p>
            <w:pPr>
              <w:adjustRightInd w:val="0"/>
              <w:snapToGrid w:val="0"/>
              <w:jc w:val="left"/>
              <w:rPr>
                <w:rFonts w:eastAsia="方正仿宋_GBK"/>
                <w:szCs w:val="21"/>
              </w:rPr>
            </w:pPr>
            <w:r>
              <w:rPr>
                <w:rFonts w:eastAsia="方正仿宋_GBK"/>
                <w:szCs w:val="21"/>
              </w:rPr>
              <w:t>区人力社保局、区城乡建委</w:t>
            </w:r>
          </w:p>
        </w:tc>
        <w:tc>
          <w:tcPr>
            <w:tcW w:w="2029" w:type="dxa"/>
            <w:vAlign w:val="center"/>
          </w:tcPr>
          <w:p>
            <w:pPr>
              <w:adjustRightInd w:val="0"/>
              <w:snapToGrid w:val="0"/>
              <w:jc w:val="left"/>
              <w:rPr>
                <w:rFonts w:eastAsia="方正仿宋_GBK"/>
                <w:szCs w:val="21"/>
              </w:rPr>
            </w:pPr>
            <w:r>
              <w:rPr>
                <w:rFonts w:hint="eastAsia" w:eastAsia="方正仿宋_GBK"/>
                <w:szCs w:val="21"/>
              </w:rPr>
              <w:t>一、除房屋建筑和市政基础设施工程外，区政府投资所从事的农林、水利、电力、交通等其他建设项目，根据各行业建设项目的特点，由建设单位或施工单位存入区人力社保局指定的银行专用账户。二、房屋建筑和市政基础设施工程领域：在办理项目施工手续时，建设单位、施工总承包企业按规定存入区城乡建委指定的银行专用账户。</w:t>
            </w:r>
          </w:p>
        </w:tc>
        <w:tc>
          <w:tcPr>
            <w:tcW w:w="2267" w:type="dxa"/>
            <w:vAlign w:val="center"/>
          </w:tcPr>
          <w:p>
            <w:pPr>
              <w:adjustRightInd w:val="0"/>
              <w:snapToGrid w:val="0"/>
              <w:jc w:val="left"/>
              <w:rPr>
                <w:rFonts w:eastAsia="方正仿宋_GBK"/>
                <w:szCs w:val="21"/>
              </w:rPr>
            </w:pPr>
            <w:r>
              <w:rPr>
                <w:rFonts w:hint="eastAsia" w:eastAsia="方正仿宋_GBK"/>
                <w:szCs w:val="21"/>
              </w:rPr>
              <w:t>一、房屋建筑和市政基础设施工程领域：施工总承包企业按约定完成合同承包范围内的工作并确认已全部支付农民工工资的，建设单位和施工总承包企业提出申请后，由区城乡建委、区人力社保局按规定程序返还。</w:t>
            </w:r>
          </w:p>
          <w:p>
            <w:pPr>
              <w:adjustRightInd w:val="0"/>
              <w:snapToGrid w:val="0"/>
              <w:jc w:val="left"/>
              <w:rPr>
                <w:rFonts w:eastAsia="方正仿宋_GBK"/>
                <w:szCs w:val="21"/>
              </w:rPr>
            </w:pPr>
            <w:r>
              <w:rPr>
                <w:rFonts w:hint="eastAsia" w:eastAsia="方正仿宋_GBK"/>
                <w:szCs w:val="21"/>
              </w:rPr>
              <w:t>二、区级以上审批的重点水利工程：按照《按期支付农民工工资合同》约定的时间返还。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44" w:hRule="atLeast"/>
          <w:jc w:val="center"/>
        </w:trPr>
        <w:tc>
          <w:tcPr>
            <w:tcW w:w="495" w:type="dxa"/>
            <w:vAlign w:val="center"/>
          </w:tcPr>
          <w:p>
            <w:pPr>
              <w:adjustRightInd w:val="0"/>
              <w:snapToGrid w:val="0"/>
              <w:jc w:val="left"/>
              <w:rPr>
                <w:rFonts w:eastAsia="方正仿宋_GBK"/>
                <w:szCs w:val="21"/>
              </w:rPr>
            </w:pPr>
            <w:r>
              <w:rPr>
                <w:rFonts w:eastAsia="方正仿宋_GBK"/>
                <w:szCs w:val="21"/>
              </w:rPr>
              <w:t>6</w:t>
            </w:r>
          </w:p>
        </w:tc>
        <w:tc>
          <w:tcPr>
            <w:tcW w:w="1134" w:type="dxa"/>
            <w:vAlign w:val="center"/>
          </w:tcPr>
          <w:p>
            <w:pPr>
              <w:adjustRightInd w:val="0"/>
              <w:snapToGrid w:val="0"/>
              <w:jc w:val="left"/>
              <w:rPr>
                <w:rFonts w:eastAsia="方正仿宋_GBK"/>
                <w:szCs w:val="21"/>
              </w:rPr>
            </w:pPr>
            <w:r>
              <w:rPr>
                <w:rFonts w:eastAsia="方正仿宋_GBK"/>
                <w:szCs w:val="21"/>
              </w:rPr>
              <w:t>工程质量保证金</w:t>
            </w:r>
          </w:p>
        </w:tc>
        <w:tc>
          <w:tcPr>
            <w:tcW w:w="3406" w:type="dxa"/>
            <w:vAlign w:val="center"/>
          </w:tcPr>
          <w:p>
            <w:pPr>
              <w:adjustRightInd w:val="0"/>
              <w:snapToGrid w:val="0"/>
              <w:jc w:val="left"/>
              <w:rPr>
                <w:rFonts w:eastAsia="方正仿宋_GBK"/>
                <w:szCs w:val="21"/>
              </w:rPr>
            </w:pPr>
            <w:r>
              <w:rPr>
                <w:rFonts w:eastAsia="方正仿宋_GBK"/>
                <w:szCs w:val="21"/>
              </w:rPr>
              <w:t>《国务院办公厅关于清理规范工程建设领域保证金的通知》（国办发〔2016〕49号）</w:t>
            </w:r>
          </w:p>
          <w:p>
            <w:pPr>
              <w:adjustRightInd w:val="0"/>
              <w:snapToGrid w:val="0"/>
              <w:jc w:val="left"/>
              <w:rPr>
                <w:rFonts w:eastAsia="方正仿宋_GBK"/>
                <w:szCs w:val="21"/>
              </w:rPr>
            </w:pPr>
            <w:r>
              <w:rPr>
                <w:rFonts w:eastAsia="方正仿宋_GBK"/>
                <w:szCs w:val="21"/>
              </w:rPr>
              <w:t>《关于印发建设工程质量保证金管理办法的通知》（建质〔2017〕138号）</w:t>
            </w:r>
          </w:p>
        </w:tc>
        <w:tc>
          <w:tcPr>
            <w:tcW w:w="2973" w:type="dxa"/>
            <w:vAlign w:val="center"/>
          </w:tcPr>
          <w:p>
            <w:pPr>
              <w:adjustRightInd w:val="0"/>
              <w:snapToGrid w:val="0"/>
              <w:jc w:val="left"/>
              <w:rPr>
                <w:rFonts w:eastAsia="方正仿宋_GBK"/>
                <w:szCs w:val="21"/>
              </w:rPr>
            </w:pPr>
            <w:r>
              <w:rPr>
                <w:rFonts w:eastAsia="方正仿宋_GBK"/>
                <w:szCs w:val="21"/>
              </w:rPr>
              <w:t>预留比例由发承包双方自行约定，不得高于工程价款结算总额的3%。</w:t>
            </w:r>
          </w:p>
        </w:tc>
        <w:tc>
          <w:tcPr>
            <w:tcW w:w="1843" w:type="dxa"/>
            <w:vAlign w:val="center"/>
          </w:tcPr>
          <w:p>
            <w:pPr>
              <w:adjustRightInd w:val="0"/>
              <w:snapToGrid w:val="0"/>
              <w:jc w:val="left"/>
              <w:rPr>
                <w:rFonts w:eastAsia="方正仿宋_GBK"/>
                <w:szCs w:val="21"/>
              </w:rPr>
            </w:pPr>
            <w:r>
              <w:rPr>
                <w:rFonts w:eastAsia="方正仿宋_GBK"/>
                <w:szCs w:val="21"/>
              </w:rPr>
              <w:t>区财政局、区城乡建委、区交委、区农委、</w:t>
            </w:r>
            <w:r>
              <w:rPr>
                <w:rFonts w:hint="eastAsia" w:eastAsia="方正仿宋_GBK"/>
                <w:szCs w:val="21"/>
              </w:rPr>
              <w:t>区房管局、</w:t>
            </w:r>
            <w:r>
              <w:rPr>
                <w:rFonts w:eastAsia="方正仿宋_GBK"/>
                <w:szCs w:val="21"/>
              </w:rPr>
              <w:t>区</w:t>
            </w:r>
            <w:r>
              <w:rPr>
                <w:rFonts w:hint="eastAsia" w:eastAsia="方正仿宋_GBK"/>
                <w:szCs w:val="21"/>
              </w:rPr>
              <w:t>城市管理</w:t>
            </w:r>
            <w:r>
              <w:rPr>
                <w:rFonts w:eastAsia="方正仿宋_GBK"/>
                <w:szCs w:val="21"/>
              </w:rPr>
              <w:t>局、区国土</w:t>
            </w:r>
            <w:r>
              <w:rPr>
                <w:rFonts w:hint="eastAsia" w:eastAsia="方正仿宋_GBK"/>
                <w:szCs w:val="21"/>
              </w:rPr>
              <w:t>分局</w:t>
            </w:r>
            <w:r>
              <w:rPr>
                <w:rFonts w:eastAsia="方正仿宋_GBK"/>
                <w:szCs w:val="21"/>
              </w:rPr>
              <w:t>等</w:t>
            </w:r>
          </w:p>
        </w:tc>
        <w:tc>
          <w:tcPr>
            <w:tcW w:w="2029" w:type="dxa"/>
            <w:vAlign w:val="center"/>
          </w:tcPr>
          <w:p>
            <w:pPr>
              <w:adjustRightInd w:val="0"/>
              <w:snapToGrid w:val="0"/>
              <w:jc w:val="left"/>
              <w:rPr>
                <w:rFonts w:eastAsia="方正仿宋_GBK"/>
                <w:szCs w:val="21"/>
              </w:rPr>
            </w:pPr>
            <w:r>
              <w:rPr>
                <w:rFonts w:eastAsia="方正仿宋_GBK"/>
                <w:szCs w:val="21"/>
              </w:rPr>
              <w:t>发包人应按照合同的约定方式预留保证金。工程项目竣工前，已经缴纳履约保证金的，发包人不得同时预留工程质量保证金。采用工程质量保证担保、工程质量保险等其他保证方式的，发包人不得再预留保证金。</w:t>
            </w:r>
          </w:p>
        </w:tc>
        <w:tc>
          <w:tcPr>
            <w:tcW w:w="2267" w:type="dxa"/>
            <w:vAlign w:val="center"/>
          </w:tcPr>
          <w:p>
            <w:pPr>
              <w:adjustRightInd w:val="0"/>
              <w:snapToGrid w:val="0"/>
              <w:jc w:val="left"/>
              <w:rPr>
                <w:rFonts w:eastAsia="方正仿宋_GBK"/>
                <w:szCs w:val="21"/>
              </w:rPr>
            </w:pPr>
            <w:r>
              <w:rPr>
                <w:rFonts w:eastAsia="方正仿宋_GBK"/>
                <w:szCs w:val="21"/>
              </w:rPr>
              <w:t>缺陷责任期结束后。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95" w:hRule="atLeast"/>
          <w:jc w:val="center"/>
        </w:trPr>
        <w:tc>
          <w:tcPr>
            <w:tcW w:w="495" w:type="dxa"/>
            <w:vAlign w:val="center"/>
          </w:tcPr>
          <w:p>
            <w:pPr>
              <w:jc w:val="left"/>
              <w:rPr>
                <w:rFonts w:eastAsia="方正仿宋_GBK"/>
                <w:color w:val="000000"/>
                <w:szCs w:val="21"/>
              </w:rPr>
            </w:pPr>
            <w:r>
              <w:rPr>
                <w:rFonts w:eastAsia="方正仿宋_GBK"/>
                <w:color w:val="000000"/>
                <w:szCs w:val="21"/>
              </w:rPr>
              <w:t>7</w:t>
            </w:r>
          </w:p>
        </w:tc>
        <w:tc>
          <w:tcPr>
            <w:tcW w:w="1134" w:type="dxa"/>
            <w:vAlign w:val="center"/>
          </w:tcPr>
          <w:p>
            <w:pPr>
              <w:adjustRightInd w:val="0"/>
              <w:snapToGrid w:val="0"/>
              <w:jc w:val="left"/>
              <w:rPr>
                <w:rFonts w:eastAsia="方正仿宋_GBK"/>
                <w:szCs w:val="21"/>
              </w:rPr>
            </w:pPr>
            <w:r>
              <w:rPr>
                <w:rFonts w:eastAsia="方正仿宋_GBK"/>
                <w:szCs w:val="21"/>
              </w:rPr>
              <w:t>对外劳务合作风险处置备用金</w:t>
            </w:r>
          </w:p>
        </w:tc>
        <w:tc>
          <w:tcPr>
            <w:tcW w:w="3406" w:type="dxa"/>
            <w:vAlign w:val="center"/>
          </w:tcPr>
          <w:p>
            <w:pPr>
              <w:adjustRightInd w:val="0"/>
              <w:snapToGrid w:val="0"/>
              <w:jc w:val="left"/>
              <w:rPr>
                <w:rFonts w:eastAsia="方正仿宋_GBK"/>
                <w:szCs w:val="21"/>
              </w:rPr>
            </w:pPr>
            <w:r>
              <w:rPr>
                <w:rFonts w:eastAsia="方正仿宋_GBK"/>
                <w:szCs w:val="21"/>
              </w:rPr>
              <w:t>《对外劳务合作管理条例》</w:t>
            </w:r>
          </w:p>
          <w:p>
            <w:pPr>
              <w:adjustRightInd w:val="0"/>
              <w:snapToGrid w:val="0"/>
              <w:jc w:val="left"/>
              <w:rPr>
                <w:rFonts w:eastAsia="方正仿宋_GBK"/>
                <w:szCs w:val="21"/>
              </w:rPr>
            </w:pPr>
            <w:r>
              <w:rPr>
                <w:rFonts w:eastAsia="方正仿宋_GBK"/>
                <w:szCs w:val="21"/>
              </w:rPr>
              <w:t>《对外劳务合作风险处置备用金管理办法（试行）》（商务部、财政部令2014年第2号）</w:t>
            </w:r>
          </w:p>
        </w:tc>
        <w:tc>
          <w:tcPr>
            <w:tcW w:w="2973" w:type="dxa"/>
            <w:vAlign w:val="center"/>
          </w:tcPr>
          <w:p>
            <w:pPr>
              <w:adjustRightInd w:val="0"/>
              <w:snapToGrid w:val="0"/>
              <w:jc w:val="left"/>
              <w:rPr>
                <w:rFonts w:eastAsia="方正仿宋_GBK"/>
                <w:szCs w:val="21"/>
              </w:rPr>
            </w:pPr>
            <w:r>
              <w:rPr>
                <w:rFonts w:eastAsia="方正仿宋_GBK"/>
                <w:szCs w:val="21"/>
              </w:rPr>
              <w:t>对外劳务合作风险处置备用金缴存金额不低于人民币300万元。”</w:t>
            </w:r>
          </w:p>
        </w:tc>
        <w:tc>
          <w:tcPr>
            <w:tcW w:w="1843" w:type="dxa"/>
            <w:vAlign w:val="center"/>
          </w:tcPr>
          <w:p>
            <w:pPr>
              <w:adjustRightInd w:val="0"/>
              <w:snapToGrid w:val="0"/>
              <w:jc w:val="left"/>
              <w:rPr>
                <w:rFonts w:eastAsia="方正仿宋_GBK"/>
                <w:szCs w:val="21"/>
              </w:rPr>
            </w:pPr>
            <w:r>
              <w:rPr>
                <w:rFonts w:eastAsia="方正仿宋_GBK"/>
                <w:szCs w:val="21"/>
              </w:rPr>
              <w:t>区商务局</w:t>
            </w:r>
          </w:p>
        </w:tc>
        <w:tc>
          <w:tcPr>
            <w:tcW w:w="2029" w:type="dxa"/>
            <w:vAlign w:val="center"/>
          </w:tcPr>
          <w:p>
            <w:pPr>
              <w:adjustRightInd w:val="0"/>
              <w:snapToGrid w:val="0"/>
              <w:jc w:val="left"/>
              <w:rPr>
                <w:rFonts w:eastAsia="方正仿宋_GBK"/>
                <w:szCs w:val="21"/>
              </w:rPr>
            </w:pPr>
            <w:r>
              <w:rPr>
                <w:rFonts w:eastAsia="方正仿宋_GBK"/>
                <w:szCs w:val="21"/>
              </w:rPr>
              <w:t>对外劳务合作企业应当自获得对外劳务合作经营资格并在工商行政管理部门登记之日起5个工作日内，在负责审批的商务主管部门指定的银行缴存对外劳务合作风险处置备用金。备用金可以用现金或银行保函形式缴存。</w:t>
            </w:r>
          </w:p>
        </w:tc>
        <w:tc>
          <w:tcPr>
            <w:tcW w:w="2267" w:type="dxa"/>
            <w:vAlign w:val="center"/>
          </w:tcPr>
          <w:p>
            <w:pPr>
              <w:adjustRightInd w:val="0"/>
              <w:snapToGrid w:val="0"/>
              <w:jc w:val="left"/>
              <w:rPr>
                <w:rFonts w:eastAsia="方正仿宋_GBK"/>
                <w:szCs w:val="21"/>
              </w:rPr>
            </w:pPr>
            <w:r>
              <w:rPr>
                <w:rFonts w:eastAsia="方正仿宋_GBK"/>
                <w:szCs w:val="21"/>
              </w:rPr>
              <w:t>对外劳务合作企业停止开展对外劳务合作的，应当对其派出的尚在国外工作的劳务人员作出妥善安排，并将安排方案连同2年内有效的备用金缴存凭证或者保函报商务主管部门备案。对外劳务合作企业自备案之日起2年内未发生针对其的劳务纠纷投诉或者诉讼的，可退还缴存的备用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92" w:hRule="atLeast"/>
          <w:jc w:val="center"/>
        </w:trPr>
        <w:tc>
          <w:tcPr>
            <w:tcW w:w="495" w:type="dxa"/>
            <w:vAlign w:val="center"/>
          </w:tcPr>
          <w:p>
            <w:pPr>
              <w:adjustRightInd w:val="0"/>
              <w:snapToGrid w:val="0"/>
              <w:jc w:val="left"/>
              <w:rPr>
                <w:rFonts w:eastAsia="方正仿宋_GBK"/>
                <w:szCs w:val="21"/>
              </w:rPr>
            </w:pPr>
            <w:r>
              <w:rPr>
                <w:rFonts w:eastAsia="方正仿宋_GBK"/>
                <w:szCs w:val="21"/>
              </w:rPr>
              <w:t>8</w:t>
            </w:r>
          </w:p>
        </w:tc>
        <w:tc>
          <w:tcPr>
            <w:tcW w:w="1134" w:type="dxa"/>
            <w:vAlign w:val="center"/>
          </w:tcPr>
          <w:p>
            <w:pPr>
              <w:spacing w:line="300" w:lineRule="exact"/>
              <w:jc w:val="left"/>
              <w:rPr>
                <w:rFonts w:eastAsia="方正仿宋_GBK"/>
                <w:szCs w:val="21"/>
              </w:rPr>
            </w:pPr>
            <w:r>
              <w:rPr>
                <w:rFonts w:eastAsia="方正仿宋_GBK"/>
                <w:szCs w:val="21"/>
              </w:rPr>
              <w:t>对外承包工程企业备用金</w:t>
            </w:r>
          </w:p>
        </w:tc>
        <w:tc>
          <w:tcPr>
            <w:tcW w:w="3406" w:type="dxa"/>
            <w:vAlign w:val="center"/>
          </w:tcPr>
          <w:p>
            <w:pPr>
              <w:spacing w:line="300" w:lineRule="exact"/>
              <w:jc w:val="left"/>
              <w:rPr>
                <w:rFonts w:eastAsia="方正仿宋_GBK"/>
                <w:szCs w:val="21"/>
              </w:rPr>
            </w:pPr>
            <w:r>
              <w:rPr>
                <w:rFonts w:eastAsia="方正仿宋_GBK"/>
                <w:szCs w:val="21"/>
              </w:rPr>
              <w:t>《对外承包工程管理条例》</w:t>
            </w:r>
          </w:p>
          <w:p>
            <w:pPr>
              <w:spacing w:line="300" w:lineRule="exact"/>
              <w:jc w:val="left"/>
              <w:rPr>
                <w:rFonts w:eastAsia="方正仿宋_GBK"/>
                <w:szCs w:val="21"/>
              </w:rPr>
            </w:pPr>
            <w:r>
              <w:rPr>
                <w:rFonts w:eastAsia="方正仿宋_GBK"/>
                <w:szCs w:val="21"/>
              </w:rPr>
              <w:t>《对外劳务合作风险处置备用金管理办法（试行）》（商务部、财政部令2014年第2号）</w:t>
            </w:r>
          </w:p>
          <w:p>
            <w:pPr>
              <w:spacing w:line="300" w:lineRule="exact"/>
              <w:jc w:val="left"/>
              <w:rPr>
                <w:rFonts w:eastAsia="方正仿宋_GBK"/>
                <w:szCs w:val="21"/>
              </w:rPr>
            </w:pPr>
            <w:r>
              <w:rPr>
                <w:rFonts w:eastAsia="方正仿宋_GBK"/>
                <w:szCs w:val="21"/>
              </w:rPr>
              <w:t>《商务部关于废止和修改部分规章的规定》（商务部令 2017年第3号）</w:t>
            </w:r>
          </w:p>
        </w:tc>
        <w:tc>
          <w:tcPr>
            <w:tcW w:w="2973" w:type="dxa"/>
            <w:vAlign w:val="center"/>
          </w:tcPr>
          <w:p>
            <w:pPr>
              <w:spacing w:line="300" w:lineRule="exact"/>
              <w:jc w:val="left"/>
              <w:rPr>
                <w:rFonts w:eastAsia="方正仿宋_GBK"/>
                <w:szCs w:val="21"/>
              </w:rPr>
            </w:pPr>
            <w:r>
              <w:rPr>
                <w:rFonts w:eastAsia="方正仿宋_GBK"/>
                <w:szCs w:val="21"/>
              </w:rPr>
              <w:t>对外承包工程企业备用金缴纳标准为300万元人民币。</w:t>
            </w:r>
          </w:p>
        </w:tc>
        <w:tc>
          <w:tcPr>
            <w:tcW w:w="1843" w:type="dxa"/>
            <w:vAlign w:val="center"/>
          </w:tcPr>
          <w:p>
            <w:pPr>
              <w:spacing w:line="300" w:lineRule="exact"/>
              <w:jc w:val="left"/>
              <w:rPr>
                <w:rFonts w:eastAsia="方正仿宋_GBK"/>
                <w:szCs w:val="21"/>
              </w:rPr>
            </w:pPr>
            <w:r>
              <w:rPr>
                <w:rFonts w:eastAsia="方正仿宋_GBK"/>
                <w:szCs w:val="21"/>
              </w:rPr>
              <w:t>区商务局</w:t>
            </w:r>
          </w:p>
        </w:tc>
        <w:tc>
          <w:tcPr>
            <w:tcW w:w="2029" w:type="dxa"/>
            <w:vAlign w:val="center"/>
          </w:tcPr>
          <w:p>
            <w:pPr>
              <w:spacing w:line="300" w:lineRule="exact"/>
              <w:jc w:val="left"/>
              <w:rPr>
                <w:rFonts w:eastAsia="方正仿宋_GBK"/>
                <w:szCs w:val="21"/>
              </w:rPr>
            </w:pPr>
            <w:r>
              <w:rPr>
                <w:rFonts w:eastAsia="方正仿宋_GBK"/>
                <w:szCs w:val="21"/>
              </w:rPr>
              <w:t>对外承包工程企业应当自收到中标文件或签署项目商务合同后15个工作日内，在指定银行缴存备用金。备用金以现金或等额银行保函形式缴存。</w:t>
            </w:r>
          </w:p>
        </w:tc>
        <w:tc>
          <w:tcPr>
            <w:tcW w:w="2267" w:type="dxa"/>
            <w:vAlign w:val="center"/>
          </w:tcPr>
          <w:p>
            <w:pPr>
              <w:spacing w:line="300" w:lineRule="exact"/>
              <w:jc w:val="left"/>
              <w:rPr>
                <w:rFonts w:eastAsia="方正仿宋_GBK"/>
                <w:szCs w:val="21"/>
              </w:rPr>
            </w:pPr>
            <w:r>
              <w:rPr>
                <w:rFonts w:eastAsia="方正仿宋_GBK"/>
                <w:szCs w:val="21"/>
              </w:rPr>
              <w:t>对外承包工程企业停止开展对外承包工程的，应当对其派出的尚在国外工作的劳务人员做出妥善安排，并将安排方案连同2年内有效的备用金缴存凭证或者保函报商务主管部门备案。对外承包工程企业自备案之日起2年内未发生针对其的劳务纠纷投诉或者诉讼的，可退还缴存的备用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04" w:hRule="atLeast"/>
          <w:jc w:val="center"/>
        </w:trPr>
        <w:tc>
          <w:tcPr>
            <w:tcW w:w="495" w:type="dxa"/>
            <w:vAlign w:val="center"/>
          </w:tcPr>
          <w:p>
            <w:pPr>
              <w:adjustRightInd w:val="0"/>
              <w:snapToGrid w:val="0"/>
              <w:jc w:val="left"/>
              <w:rPr>
                <w:rFonts w:eastAsia="方正仿宋_GBK"/>
                <w:szCs w:val="21"/>
              </w:rPr>
            </w:pPr>
            <w:r>
              <w:rPr>
                <w:rFonts w:eastAsia="方正仿宋_GBK"/>
                <w:szCs w:val="21"/>
              </w:rPr>
              <w:t>9</w:t>
            </w:r>
          </w:p>
        </w:tc>
        <w:tc>
          <w:tcPr>
            <w:tcW w:w="1134" w:type="dxa"/>
            <w:vAlign w:val="center"/>
          </w:tcPr>
          <w:p>
            <w:pPr>
              <w:adjustRightInd w:val="0"/>
              <w:snapToGrid w:val="0"/>
              <w:jc w:val="left"/>
              <w:rPr>
                <w:rFonts w:eastAsia="方正仿宋_GBK"/>
                <w:szCs w:val="21"/>
              </w:rPr>
            </w:pPr>
            <w:r>
              <w:rPr>
                <w:rFonts w:eastAsia="方正仿宋_GBK"/>
                <w:szCs w:val="21"/>
              </w:rPr>
              <w:t>旅游服务质量保证金</w:t>
            </w:r>
          </w:p>
        </w:tc>
        <w:tc>
          <w:tcPr>
            <w:tcW w:w="3406" w:type="dxa"/>
            <w:vAlign w:val="center"/>
          </w:tcPr>
          <w:p>
            <w:pPr>
              <w:adjustRightInd w:val="0"/>
              <w:snapToGrid w:val="0"/>
              <w:jc w:val="left"/>
              <w:rPr>
                <w:rFonts w:eastAsia="方正仿宋_GBK"/>
                <w:szCs w:val="21"/>
              </w:rPr>
            </w:pPr>
            <w:r>
              <w:rPr>
                <w:rFonts w:eastAsia="方正仿宋_GBK"/>
                <w:szCs w:val="21"/>
              </w:rPr>
              <w:t>《中华人民共和国旅游法》</w:t>
            </w:r>
          </w:p>
          <w:p>
            <w:pPr>
              <w:adjustRightInd w:val="0"/>
              <w:snapToGrid w:val="0"/>
              <w:jc w:val="left"/>
              <w:rPr>
                <w:rFonts w:eastAsia="方正仿宋_GBK"/>
                <w:szCs w:val="21"/>
              </w:rPr>
            </w:pPr>
            <w:r>
              <w:rPr>
                <w:rFonts w:eastAsia="方正仿宋_GBK"/>
                <w:szCs w:val="21"/>
              </w:rPr>
              <w:t>《旅行社条例》</w:t>
            </w:r>
          </w:p>
        </w:tc>
        <w:tc>
          <w:tcPr>
            <w:tcW w:w="2973" w:type="dxa"/>
            <w:vAlign w:val="center"/>
          </w:tcPr>
          <w:p>
            <w:pPr>
              <w:adjustRightInd w:val="0"/>
              <w:snapToGrid w:val="0"/>
              <w:jc w:val="left"/>
              <w:rPr>
                <w:rFonts w:eastAsia="方正仿宋_GBK"/>
                <w:szCs w:val="21"/>
              </w:rPr>
            </w:pPr>
            <w:r>
              <w:rPr>
                <w:rFonts w:eastAsia="方正仿宋_GBK"/>
                <w:szCs w:val="21"/>
              </w:rPr>
              <w:t>经营国内旅游业务和入境旅游业务的旅行社，应当存入旅游服务质量保证金人民币20万元；经营出境旅游业务的旅行社，应当增存旅游服务质量保证金人民币120万元。旅行社每设立一个经营国内旅游业务和入境旅游业务的分社，应当向其保证金账户增存人民币5万元；每设立一个经营出境旅游业务的分社，应当向其保证金账户增存人民币30万元。</w:t>
            </w:r>
          </w:p>
        </w:tc>
        <w:tc>
          <w:tcPr>
            <w:tcW w:w="1843" w:type="dxa"/>
            <w:vAlign w:val="center"/>
          </w:tcPr>
          <w:p>
            <w:pPr>
              <w:adjustRightInd w:val="0"/>
              <w:snapToGrid w:val="0"/>
              <w:jc w:val="left"/>
              <w:rPr>
                <w:rFonts w:eastAsia="方正仿宋_GBK"/>
                <w:szCs w:val="21"/>
              </w:rPr>
            </w:pPr>
            <w:r>
              <w:rPr>
                <w:rFonts w:eastAsia="方正仿宋_GBK"/>
                <w:szCs w:val="21"/>
              </w:rPr>
              <w:t>区文化委</w:t>
            </w:r>
          </w:p>
        </w:tc>
        <w:tc>
          <w:tcPr>
            <w:tcW w:w="2029" w:type="dxa"/>
            <w:vAlign w:val="center"/>
          </w:tcPr>
          <w:p>
            <w:pPr>
              <w:adjustRightInd w:val="0"/>
              <w:snapToGrid w:val="0"/>
              <w:jc w:val="left"/>
              <w:rPr>
                <w:rFonts w:eastAsia="方正仿宋_GBK"/>
                <w:szCs w:val="21"/>
              </w:rPr>
            </w:pPr>
            <w:r>
              <w:rPr>
                <w:rFonts w:eastAsia="方正仿宋_GBK"/>
                <w:szCs w:val="21"/>
              </w:rPr>
              <w:t>旅行社应当自取得旅行社业务经营许可证之日起3个工作日内，在国务院旅游行政主管部门指定的银行开设专门的旅游服务质量保证金账户，存入旅游服务质量保证金，或者向做出许可的旅游行政管理部门提交依法取得的担保额度不低于相应保证金数额的银行担保。</w:t>
            </w:r>
          </w:p>
        </w:tc>
        <w:tc>
          <w:tcPr>
            <w:tcW w:w="2267" w:type="dxa"/>
            <w:vAlign w:val="center"/>
          </w:tcPr>
          <w:p>
            <w:pPr>
              <w:adjustRightInd w:val="0"/>
              <w:snapToGrid w:val="0"/>
              <w:jc w:val="left"/>
              <w:rPr>
                <w:rFonts w:eastAsia="方正仿宋_GBK"/>
                <w:szCs w:val="21"/>
              </w:rPr>
            </w:pPr>
            <w:r>
              <w:rPr>
                <w:rFonts w:eastAsia="方正仿宋_GBK"/>
                <w:szCs w:val="21"/>
              </w:rPr>
              <w:t>旅行社自交纳或者补足旅游服务质量保证金之日起三年内未因侵害旅游者合法权益受到行政机关罚款以上处罚的，旅游行政管理部门应当将保证金的交存数额降低50%，并向社会公告。旅行社可凭省、自治区、直辖区旅游行政管理部门出具的凭证减少其保证金。旅行社不再从事旅游业务的，凭旅游行政管理部门出具的凭证，向银行取回保证金。</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default" w:ascii="宋体" w:hAnsi="宋体" w:eastAsia="宋体" w:cs="宋体"/>
        <w:b/>
        <w:bCs/>
        <w:color w:val="005192"/>
        <w:sz w:val="32"/>
        <w:lang w:eastAsia="zh-Hans"/>
      </w:rPr>
      <w:t>重庆市江北区经济和信息化委员会</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32"/>
        <w:lang w:eastAsia="zh-Hans"/>
      </w:rPr>
      <w:t>重庆市江北区经济和信息化委员会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重庆市江北区经济和信息化委员会</w:t>
    </w:r>
    <w:r>
      <w:rPr>
        <w:rFonts w:hint="eastAsia" w:ascii="宋体" w:hAnsi="宋体" w:eastAsia="宋体" w:cs="宋体"/>
        <w:b/>
        <w:bCs/>
        <w:color w:val="005192"/>
        <w:sz w:val="32"/>
        <w:lang w:eastAsia="zh-CN"/>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重庆市江北区经济和信息化委员会</w:t>
    </w:r>
    <w:r>
      <w:rPr>
        <w:rFonts w:hint="eastAsia" w:ascii="宋体" w:hAnsi="宋体" w:eastAsia="宋体" w:cs="宋体"/>
        <w:b/>
        <w:bCs/>
        <w:color w:val="005192"/>
        <w:sz w:val="32"/>
        <w:lang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072451A"/>
    <w:rsid w:val="22440422"/>
    <w:rsid w:val="22BB4BBB"/>
    <w:rsid w:val="25EB1AF4"/>
    <w:rsid w:val="2A972D2D"/>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3430</Words>
  <Characters>3515</Characters>
  <Lines>1</Lines>
  <Paragraphs>1</Paragraphs>
  <TotalTime>1</TotalTime>
  <ScaleCrop>false</ScaleCrop>
  <LinksUpToDate>false</LinksUpToDate>
  <CharactersWithSpaces>3527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女王</cp:lastModifiedBy>
  <cp:lastPrinted>2022-06-06T16:09:00Z</cp:lastPrinted>
  <dcterms:modified xsi:type="dcterms:W3CDTF">2023-12-14T09:46:14Z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48C61CB29D3F4D9384F5922CF0F7FFB4</vt:lpwstr>
  </property>
</Properties>
</file>