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3"/>
        <w:jc w:val="center"/>
        <w:rPr>
          <w:rFonts w:ascii="方正小标宋_GBK" w:hAnsi="宋体" w:eastAsia="方正小标宋_GBK" w:cs="宋体"/>
          <w:color w:val="000000"/>
          <w:kern w:val="0"/>
          <w:sz w:val="44"/>
          <w:szCs w:val="44"/>
        </w:rPr>
      </w:pPr>
      <w:bookmarkStart w:id="0" w:name="_GoBack"/>
      <w:r>
        <w:rPr>
          <w:rFonts w:hint="eastAsia" w:ascii="方正小标宋_GBK" w:hAnsi="宋体" w:eastAsia="方正小标宋_GBK" w:cs="宋体"/>
          <w:color w:val="000000"/>
          <w:kern w:val="0"/>
          <w:sz w:val="44"/>
          <w:szCs w:val="44"/>
        </w:rPr>
        <w:t>重庆市江北区社会救助领域政务公开标准目录</w:t>
      </w:r>
    </w:p>
    <w:bookmarkEnd w:id="0"/>
    <w:tbl>
      <w:tblPr>
        <w:tblStyle w:val="4"/>
        <w:tblW w:w="14738" w:type="dxa"/>
        <w:jc w:val="center"/>
        <w:tblInd w:w="0" w:type="dxa"/>
        <w:tblLayout w:type="fixed"/>
        <w:tblCellMar>
          <w:top w:w="0" w:type="dxa"/>
          <w:left w:w="108" w:type="dxa"/>
          <w:bottom w:w="0" w:type="dxa"/>
          <w:right w:w="108" w:type="dxa"/>
        </w:tblCellMar>
      </w:tblPr>
      <w:tblGrid>
        <w:gridCol w:w="436"/>
        <w:gridCol w:w="420"/>
        <w:gridCol w:w="640"/>
        <w:gridCol w:w="3420"/>
        <w:gridCol w:w="940"/>
        <w:gridCol w:w="1000"/>
        <w:gridCol w:w="1000"/>
        <w:gridCol w:w="2889"/>
        <w:gridCol w:w="464"/>
        <w:gridCol w:w="709"/>
        <w:gridCol w:w="483"/>
        <w:gridCol w:w="545"/>
        <w:gridCol w:w="602"/>
        <w:gridCol w:w="546"/>
        <w:gridCol w:w="644"/>
      </w:tblGrid>
      <w:tr>
        <w:tblPrEx>
          <w:tblLayout w:type="fixed"/>
          <w:tblCellMar>
            <w:top w:w="0" w:type="dxa"/>
            <w:left w:w="108" w:type="dxa"/>
            <w:bottom w:w="0" w:type="dxa"/>
            <w:right w:w="108" w:type="dxa"/>
          </w:tblCellMar>
        </w:tblPrEx>
        <w:trPr>
          <w:trHeight w:val="20" w:hRule="atLeast"/>
          <w:tblHeader/>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时限</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主体</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73"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028"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92" w:type="dxa"/>
            <w:gridSpan w:val="3"/>
            <w:tcBorders>
              <w:top w:val="single" w:color="auto" w:sz="4" w:space="0"/>
              <w:left w:val="nil"/>
              <w:bottom w:val="single" w:color="auto" w:sz="4" w:space="0"/>
              <w:right w:val="single" w:color="000000"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Layout w:type="fixed"/>
          <w:tblCellMar>
            <w:top w:w="0" w:type="dxa"/>
            <w:left w:w="108" w:type="dxa"/>
            <w:bottom w:w="0" w:type="dxa"/>
            <w:right w:w="108" w:type="dxa"/>
          </w:tblCellMar>
        </w:tblPrEx>
        <w:trPr>
          <w:trHeight w:val="20" w:hRule="atLeast"/>
          <w:tblHeader/>
          <w:jc w:val="center"/>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42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6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288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color w:val="000000"/>
                <w:kern w:val="0"/>
                <w:sz w:val="18"/>
                <w:szCs w:val="18"/>
              </w:rPr>
            </w:pP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w:t>
            </w:r>
          </w:p>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群体</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依申请</w:t>
            </w:r>
          </w:p>
        </w:tc>
        <w:tc>
          <w:tcPr>
            <w:tcW w:w="60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市级</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64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乡级</w:t>
            </w:r>
          </w:p>
        </w:tc>
      </w:tr>
      <w:tr>
        <w:tblPrEx>
          <w:tblLayout w:type="fixed"/>
          <w:tblCellMar>
            <w:top w:w="0" w:type="dxa"/>
            <w:left w:w="108" w:type="dxa"/>
            <w:bottom w:w="0" w:type="dxa"/>
            <w:right w:w="108" w:type="dxa"/>
          </w:tblCellMar>
        </w:tblPrEx>
        <w:trPr>
          <w:trHeight w:val="2893"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务</w:t>
            </w:r>
          </w:p>
        </w:tc>
        <w:tc>
          <w:tcPr>
            <w:tcW w:w="6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法规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●《社会救助暂行办法》（国务院令第649号）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●《重庆市人民政府关于贯彻落实国务院社会救助暂行办法的实施意见》（渝府发〔2014〕55号）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检查</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●社会救助信访通讯地址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●社会救助投诉举报电话</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相关政策规定</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8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最低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生活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保障</w:t>
            </w:r>
          </w:p>
        </w:tc>
        <w:tc>
          <w:tcPr>
            <w:tcW w:w="6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法规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●《国务院关于进一步加强和改进最低生活保障工作的意见》（国发〔2012〕45号）                     ●《最低生活保障审核审批办法（试行）》（民发〔2012〕220号）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●《重庆市城乡居民最低生活保障条例》（重庆市人民代表大会常务委员会公告〔2016〕第13号）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●《重庆市人民政府办公厅关于印发重庆市最低生活保障条件认定办法（修订）的通知》（渝府办发〔2017〕33号）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●《重庆市民政局关于印发〈重庆市最低生活保障申请审批规程〉和〈重庆市最低生活保障动态管理规范〉的通知》（渝民发〔2016〕80号）</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●《重庆市江北区人民政府关于印发江北区最低生活保障条件认定办法的通知》（江北府〔2018〕55号）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●办理事项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●最低生活保障标准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●申请材料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●联系方式</w:t>
            </w: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《国务院关于进一步加强和改进最低生活保障工作的意见》（国发〔2012〕45号）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●初审对象名单及相关信息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●低保对象名单及相关信息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《国务院关于进一步加强和改进最低生活保障工作的意见》（国发〔2012〕45号）</w:t>
            </w: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587"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特困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救助供养</w:t>
            </w:r>
          </w:p>
        </w:tc>
        <w:tc>
          <w:tcPr>
            <w:tcW w:w="6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法规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●《国务院关于进一步健全特困人员救助供养制度的意见》（国发〔2016〕14号）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●民政部关于印发《特困人员认定办法》的通知（民发〔2016〕178号）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●民政部关于贯彻落实《国务院关于进一步健全特困人员救助供养制度的意见》的通知（民发〔2016〕115号）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●《重庆市人民政府关于进一步健全特困人员救助供养制度的实施意见》（渝府发〔2016〕47号）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●办理事项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●救助供养标准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●申请材料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《国务院关于进一步健全特困人员救助供养制度的意见》（国发〔2016〕14号）</w:t>
            </w:r>
          </w:p>
          <w:p>
            <w:pPr>
              <w:overflowPunct w:val="0"/>
              <w:snapToGrid w:val="0"/>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●初审对象名单及相关信息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●终止供养名单</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《国务院关于进一步健全特困人员救助供养制度的意见》（国发〔2016〕14号）</w:t>
            </w:r>
          </w:p>
          <w:p>
            <w:pPr>
              <w:overflowPunct w:val="0"/>
              <w:snapToGrid w:val="0"/>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制定或审核结束之日起，公示7个工作日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●特困人员名单及相关信息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《国务院关于进一步健全特困人员救助供养制度的意见》（国发〔2016〕14号）</w:t>
            </w: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制定或审批结束之日起10个工作日内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0"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助</w:t>
            </w:r>
          </w:p>
        </w:tc>
        <w:tc>
          <w:tcPr>
            <w:tcW w:w="6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法规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●《国务院关于全面建立临时救助制度的通知》（国发〔2014〕47号）                     </w:t>
            </w:r>
            <w:r>
              <w:rPr>
                <w:rFonts w:hint="eastAsia" w:ascii="宋体" w:hAnsi="宋体" w:eastAsia="宋体" w:cs="宋体"/>
                <w:color w:val="000000"/>
                <w:kern w:val="0"/>
                <w:sz w:val="18"/>
                <w:szCs w:val="18"/>
              </w:rPr>
              <w:br w:type="textWrapping"/>
            </w:r>
            <w:r>
              <w:rPr>
                <w:rFonts w:hint="eastAsia" w:ascii="宋体" w:hAnsi="宋体" w:eastAsia="宋体" w:cs="宋体"/>
                <w:kern w:val="0"/>
                <w:sz w:val="18"/>
                <w:szCs w:val="18"/>
              </w:rPr>
              <w:t>●《民政部 财政部关于进一步加强和改进临时救助工作的意见》（民发〔2018〕23号）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●《重庆市人民政府关于进一步健全临时救助制度的通知》（渝府发〔2015〕16号）                    ●《重庆市民政局关于印发〈重庆市临时救助申请审批规程〉的通知》（渝民发〔2015〕50号）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●《重庆市民政局关于进一步完善临时救助工作的指导意见》（渝民发〔2017〕60号）</w:t>
            </w:r>
          </w:p>
          <w:p>
            <w:pPr>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w:t>
            </w:r>
            <w:r>
              <w:rPr>
                <w:rFonts w:hint="eastAsia" w:cs="方正小标宋_GBK" w:asciiTheme="minorEastAsia" w:hAnsiTheme="minorEastAsia" w:eastAsiaTheme="minorEastAsia"/>
                <w:sz w:val="18"/>
                <w:szCs w:val="18"/>
              </w:rPr>
              <w:t>重庆市江北区人民政府关于进一步规范临时救助制度的通知</w:t>
            </w:r>
            <w:r>
              <w:rPr>
                <w:rFonts w:hint="eastAsia" w:cs="宋体" w:asciiTheme="minorEastAsia" w:hAnsiTheme="minorEastAsia" w:eastAsiaTheme="minorEastAsia"/>
                <w:color w:val="000000"/>
                <w:kern w:val="0"/>
                <w:sz w:val="18"/>
                <w:szCs w:val="18"/>
              </w:rPr>
              <w:t>》（</w:t>
            </w:r>
            <w:r>
              <w:rPr>
                <w:rFonts w:hint="eastAsia" w:asciiTheme="minorEastAsia" w:hAnsiTheme="minorEastAsia" w:eastAsiaTheme="minorEastAsia"/>
                <w:bCs/>
                <w:sz w:val="18"/>
                <w:szCs w:val="18"/>
              </w:rPr>
              <w:t>江北府发〔2018〕23号</w:t>
            </w:r>
            <w:r>
              <w:rPr>
                <w:rFonts w:hint="eastAsia" w:cs="宋体" w:asciiTheme="minorEastAsia" w:hAnsiTheme="minorEastAsia" w:eastAsiaTheme="minorEastAsia"/>
                <w:color w:val="000000"/>
                <w:kern w:val="0"/>
                <w:sz w:val="18"/>
                <w:szCs w:val="18"/>
              </w:rPr>
              <w:t>）</w:t>
            </w:r>
          </w:p>
          <w:p>
            <w:pPr>
              <w:spacing w:line="240" w:lineRule="exact"/>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●《重庆市江北区民政局关于进一步完善临时救助工作的通知》（江区民发〔2019〕32号）</w:t>
            </w:r>
          </w:p>
          <w:p>
            <w:pPr>
              <w:spacing w:line="240" w:lineRule="exact"/>
              <w:rPr>
                <w:rFonts w:cs="宋体" w:asciiTheme="minorEastAsia" w:hAnsiTheme="minorEastAsia" w:eastAsiaTheme="minorEastAsia"/>
                <w:color w:val="000000"/>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●办理事项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●救助标准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●申请材料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●联系方式 </w:t>
            </w:r>
          </w:p>
          <w:p>
            <w:pPr>
              <w:overflowPunct w:val="0"/>
              <w:snapToGrid w:val="0"/>
              <w:jc w:val="left"/>
              <w:rPr>
                <w:rFonts w:ascii="宋体" w:hAnsi="宋体" w:eastAsia="宋体" w:cs="宋体"/>
                <w:color w:val="000000"/>
                <w:kern w:val="0"/>
                <w:sz w:val="18"/>
                <w:szCs w:val="18"/>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《国务院关于全面建立临时救助制度的通知》（国发〔2014〕47号）</w:t>
            </w: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233"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color w:val="000000"/>
                <w:kern w:val="0"/>
                <w:sz w:val="18"/>
                <w:szCs w:val="18"/>
              </w:rPr>
            </w:pP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●临时救助对象名单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●救助金额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●救助事由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区民政局、镇人民政府（街道办事处）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602" w:type="dxa"/>
            <w:vMerge w:val="restart"/>
            <w:tcBorders>
              <w:top w:val="nil"/>
              <w:left w:val="single" w:color="auto" w:sz="4" w:space="0"/>
              <w:bottom w:val="single" w:color="000000"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Layout w:type="fixed"/>
          <w:tblCellMar>
            <w:top w:w="0" w:type="dxa"/>
            <w:left w:w="108" w:type="dxa"/>
            <w:bottom w:w="0" w:type="dxa"/>
            <w:right w:w="108" w:type="dxa"/>
          </w:tblCellMar>
        </w:tblPrEx>
        <w:trPr>
          <w:trHeight w:val="43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43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43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0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r>
    </w:tbl>
    <w:p>
      <w:pPr>
        <w:overflowPunct w:val="0"/>
        <w:adjustRightInd w:val="0"/>
        <w:snapToGrid w:val="0"/>
        <w:rPr>
          <w:sz w:val="28"/>
          <w:szCs w:val="32"/>
        </w:rPr>
      </w:pPr>
    </w:p>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方正魏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2Ah6bNMBAACCAwAADgAAAGRycy9lMm9Eb2MueG1srVPN&#10;jtMwEL4j8Q6W7zRp2AKNmq6AVbkgQFp2765jJ5b8J4/bpC8Ab8CJC/d9rj4HY6ft8nND5ODYM+Nv&#10;5vtmvLoejSZ7EUA529D5rKREWO5aZbuG3n3ePHtFCURmW6adFQ09CKDX66dPVoOvReV6p1sRCIJY&#10;qAff0D5GXxcF8F4YBjPnhUWndMGwiMfQFW1gA6IbXVRl+aIYXGh9cFwAoPVmctJ1xpdS8PhRShCR&#10;6IZibTGvIa/btBbrFau7wHyv+KkM9g9VGKYsJr1A3bDIyC6ov6CM4sGBk3HGnSmclIqLzAHZzMs/&#10;2Nz2zIvMBcUBf5EJ/h8s/7D/FIhqG1pRYpnBFh2/fT1+fzj++EKukjyDhxqjbj3GxfGNG7HNZzug&#10;MbEeZTDpj3wI+lHow0VcMUbC0XhVVosleji6XlbPl2UWv3i87APEd8IZkjYNDdi7LCnbv4eIhWDo&#10;OSTlAqdVu1Fa50Potm91IHuGfd7kb7qrfc8m6zkdTKEZ7zcMbcnQ0OWiWuSr1iXwKa+2GJ6EmAin&#10;XRy340mdrWsPKA6+AixbsHv8UzLgTDXU4tBTsvNBdT065xkZ/OtdRPRMKmFNAKcU2Ohc22ko0yT9&#10;es5Rj09n/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6w4tA2AAAAAsBAAAPAAAAAAAAAAEAIAAA&#10;ACIAAABkcnMvZG93bnJldi54bWxQSwECFAAUAAAACACHTuJA2Ah6bNMBAACCAwAADgAAAAAAAAAB&#10;ACAAAAAnAQAAZHJzL2Uyb0RvYy54bWxQSwUGAAAAAAYABgBZAQAAbAUAAAAA&#10;">
              <v:fill on="t" opacity="0f" focussize="0,0"/>
              <v:stroke on="f"/>
              <v:imagedata o:title=""/>
              <o:lock v:ext="edit" aspectratio="f"/>
              <v:textbox style="layout-flow:vertical-ideographic;mso-fit-shape-to-text:t;">
                <w:txbxContent>
                  <w:p>
                    <w:pPr>
                      <w:pStyle w:val="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8480;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P+On5bTAQAAggMAAA4AAABkcnMvZTJvRG9jLnhtbK1T&#10;zY7TMBC+I/EOlu80aZYCjZqugFW5IEBadu+uYyeW/CeP26QvAG/AiQv3fa4+B2On7fJzQ+Tg2DPj&#10;b+b7Zry6Ho0mexFAOdvQ+aykRFjuWmW7ht593jx7RQlEZlumnRUNPQig1+unT1aDr0XleqdbEQiC&#10;WKgH39A+Rl8XBfBeGAYz54VFp3TBsIjH0BVtYAOiG11UZfmiGFxofXBcAKD1ZnLSdcaXUvD4UUoQ&#10;keiGYm0xryGv27QW6xWru8B8r/ipDPYPVRimLCa9QN2wyMguqL+gjOLBgZNxxp0pnJSKi8wB2czL&#10;P9jc9syLzAXFAX+RCf4fLP+w/xSIaht6RYllBlt0/Pb1+P3h+OMLWSR5Bg81Rt16jIvjGzdim892&#10;QGNiPcpg0h/5EPSj0IeLuGKMhKPxeVktlujh6HpZXS3LLH7xeNkHiO+EMyRtGhqwd1lStn8PEQvB&#10;0HNIygVOq3ajtM6H0G3f6kD2DPu8yd90V/ueTdZzOphCM95vGNqSoaHLRbXIV61L4FNebTE8CTER&#10;Trs4bseTOlvXHlAcfAVYtmD3+KdkwJlqqMWhp2Tng+p6dM4zMvjXu4jomVTCmgBOKbDRubbTUKZJ&#10;+vWcox6fz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xSghNkAAAALAQAADwAAAAAAAAABACAA&#10;AAAiAAAAZHJzL2Rvd25yZXYueG1sUEsBAhQAFAAAAAgAh07iQP+On5bTAQAAggMAAA4AAAAAAAAA&#10;AQAgAAAAKAEAAGRycy9lMm9Eb2MueG1sUEsFBgAAAAAGAAYAWQEAAG0FAAAAAA==&#10;">
              <v:fill on="t" opacity="0f" focussize="0,0"/>
              <v:stroke on="f"/>
              <v:imagedata o:title=""/>
              <o:lock v:ext="edit" aspectratio="f"/>
              <v:textbox style="layout-flow:vertical-ideographic;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w="9525">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4.75pt;margin-top:33.2pt;height:57pt;width:31.7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PnVsU7SAQAAggMAAA4AAABkcnMvZTJvRG9jLnhtbK1T&#10;zY7TMBC+I/EOlu80aZYCjZqugFW5IEBa4O46dmLJf/K4TfoC8AacuHDf5+pzMHayXX5uiBwce+bz&#10;NzPfjDfXo9HkKAIoZxu6XJSUCMtdq2zX0E8fd09eUAKR2ZZpZ0VDTwLo9fbxo83ga1G53ulWBIIk&#10;FurBN7SP0ddFAbwXhsHCeWHRKV0wLOIxdEUb2IDsRhdVWT4rBhdaHxwXAGi9mZx0m/mlFDy+lxJE&#10;JLqhmFvMa8jrPq3FdsPqLjDfKz6nwf4hC8OUxaAXqhsWGTkE9ReVUTw4cDIuuDOFk1JxkWvAapbl&#10;H9Xc9syLXAuKA/4iE/w/Wv7u+CEQ1WLvKLHMYIvO376ev9+df3whV0mewUONqFuPuDi+cmOCznZA&#10;Y6p6lMGkP9ZD0I9Cny7iijESjsanZbVao4ej63l1tS6z+MXDZR8gvhHOkLRpaMDeZUnZ8S1EDIjQ&#10;e0iKBU6rdqe0zofQ7V/rQI4M+7zL33RX+55N1vtwMEEz328c2pKhoetVtcpXrUvkU1xtEZ6EmApO&#10;uzjux1mFvWtPKA6+AkxbsM/4p2TAmWqoxaGn5OCD6np0LjMz+JeHiOy5qMQ1EcwhsNE5t3ko0yT9&#10;es6oh6ez/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jFFv2QAAAAsBAAAPAAAAAAAAAAEAIAAA&#10;ACIAAABkcnMvZG93bnJldi54bWxQSwECFAAUAAAACACHTuJA+dWxTtIBAACCAwAADgAAAAAAAAAB&#10;ACAAAAAoAQAAZHJzL2Uyb0RvYy54bWxQSwUGAAAAAAYABgBZAQAAbAUAAAAA&#10;">
              <v:fill on="t" opacity="0f" focussize="0,0"/>
              <v:stroke on="f"/>
              <v:imagedata o:title=""/>
              <o:lock v:ext="edit" aspectratio="f"/>
              <v:textbox style="layout-flow:vertical-ideographic;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D0B8D"/>
    <w:rsid w:val="093D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2021-11-25T10:30:00Z</dcterms:created>
  <dc:creator>Administrator</dc:creator>
  <cp:lastModifiedBy>Administrator</cp:lastModifiedBy>
  <dcterms:modified xsi:type="dcterms:W3CDTF">2021-11-25T10:30:57Z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