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附件2-7</w:t>
      </w:r>
    </w:p>
    <w:p>
      <w:pPr>
        <w:spacing w:line="594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行政检查实施情况统计表</w:t>
      </w:r>
    </w:p>
    <w:p>
      <w:pPr>
        <w:spacing w:line="594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1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132"/>
        <w:gridCol w:w="3428"/>
        <w:gridCol w:w="3620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序号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单位名称</w:t>
            </w:r>
          </w:p>
        </w:tc>
        <w:tc>
          <w:tcPr>
            <w:tcW w:w="3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行政检查实施数量（次）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检查后作出行政处罚数量（件）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江北区农业农村委</w:t>
            </w:r>
          </w:p>
        </w:tc>
        <w:tc>
          <w:tcPr>
            <w:tcW w:w="3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199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3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199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320" w:lineRule="exact"/>
        <w:ind w:firstLine="480"/>
        <w:rPr>
          <w:rFonts w:hint="default" w:ascii="Times New Roman" w:hAnsi="Times New Roman" w:eastAsia="方正仿宋_GBK" w:cs="Times New Roman"/>
          <w:b/>
          <w:bCs/>
          <w:sz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</w:rPr>
        <w:t>说明：</w:t>
      </w:r>
    </w:p>
    <w:p>
      <w:pPr>
        <w:spacing w:line="320" w:lineRule="exact"/>
        <w:ind w:firstLine="1024" w:firstLineChars="427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4"/>
        </w:rPr>
        <w:t>“行政检查次数”的统计范围为统计年度1月1日至12月31日期间开展行政检查的次数。检查1个检查对象，有完整、详细的纸质或电子检查记录，计为检查1次。无特定检查对象的巡查、巡逻，无完整、详细检查记录，不计为检查次数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40" w:h="11907" w:orient="landscape"/>
      <w:pgMar w:top="1446" w:right="1985" w:bottom="1446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15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16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                           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64FC0"/>
    <w:rsid w:val="2DC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2025-02-28T01:53:00Z</dcterms:created>
  <dc:creator>hp</dc:creator>
  <cp:lastModifiedBy>hp</cp:lastModifiedBy>
  <dcterms:modified xsi:type="dcterms:W3CDTF">2025-02-28T01:53:19Z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