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废止行政规范性文件目录</w:t>
      </w:r>
    </w:p>
    <w:tbl>
      <w:tblPr>
        <w:tblStyle w:val="5"/>
        <w:tblpPr w:leftFromText="180" w:rightFromText="180" w:vertAnchor="text" w:horzAnchor="page" w:tblpX="1860" w:tblpY="461"/>
        <w:tblOverlap w:val="never"/>
        <w:tblW w:w="8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203"/>
        <w:gridCol w:w="3145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5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  <w:t>文件标题</w:t>
            </w:r>
          </w:p>
        </w:tc>
        <w:tc>
          <w:tcPr>
            <w:tcW w:w="31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  <w:t>文件文号</w:t>
            </w:r>
          </w:p>
        </w:tc>
        <w:tc>
          <w:tcPr>
            <w:tcW w:w="74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江北区农林水利局关于认真贯彻《江北区农村集体经济组织审计办法》的通知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江北农发〔20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重庆市江北区农林水利局关于印发《江北区渔业船舶安全应急预案》的通知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江北农〔2011〕116号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江北区农林水利局关于印发《村集体经济组织财务公开实施方案》的通知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江北农发〔20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江北区农林水利局关于《规范村民一事一议筹资筹劳操作程序》的意见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江北农发〔20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江北区农林水利局关于《村民一事一议筹资筹劳限额标准以资代劳工价标准》的通知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江北农发〔20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重庆市江北区农业农村委员会关于天然水域禁渔的通告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江北农发〔20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重庆市江北区农业农村委员会关于印发《重庆市江北区违规变型拖拉机有奖举报制度》的通知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江北农〔20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号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710CF"/>
    <w:rsid w:val="790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color w:val="000000"/>
      <w:spacing w:val="2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2023-09-27T08:29:00Z</dcterms:created>
  <dc:creator>hp</dc:creator>
  <cp:lastModifiedBy>hp</cp:lastModifiedBy>
  <dcterms:modified xsi:type="dcterms:W3CDTF">2023-09-27T08:30:14Z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