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spacing w:line="596" w:lineRule="exact"/>
        <w:jc w:val="both"/>
        <w:rPr>
          <w:rFonts w:ascii="宋体" w:eastAsia="方正黑体_GBK" w:hAnsi="宋体"/>
          <w:b/>
          <w:sz w:val="28"/>
          <w:szCs w:val="28"/>
        </w:rPr>
      </w:pPr>
      <w:r>
        <w:rPr>
          <w:rFonts w:ascii="方正黑体_GBK" w:eastAsia="方正黑体_GBK" w:cs="宋体" w:hint="eastAsia"/>
          <w:bCs/>
          <w:sz w:val="32"/>
          <w:szCs w:val="32"/>
        </w:rPr>
        <w:t>附件1</w:t>
      </w:r>
    </w:p>
    <w:p>
      <w:pPr>
        <w:spacing w:line="240" w:lineRule="exact"/>
        <w:jc w:val="center"/>
        <w:rPr>
          <w:rFonts w:ascii="宋体" w:hint="eastAsia"/>
          <w:b/>
          <w:szCs w:val="21"/>
        </w:rPr>
      </w:pPr>
      <w:r>
        <w:rPr>
          <w:rFonts w:ascii="宋体" w:hint="eastAsia"/>
          <w:b/>
          <w:szCs w:val="21"/>
          <w:lang w:eastAsia="zh-CN"/>
        </w:rPr>
        <w:t>渝长高速复线连接道工程（石马岗隧道-海腾立交）</w:t>
      </w:r>
      <w:r>
        <w:rPr>
          <w:rFonts w:ascii="宋体" w:hint="eastAsia"/>
          <w:b/>
          <w:szCs w:val="21"/>
        </w:rPr>
        <w:t>水土保持方案特性表</w:t>
      </w:r>
    </w:p>
    <w:tbl>
      <w:tblPr>
        <w:jc w:val="left"/>
        <w:tblInd w:w="0" w:type="dxa"/>
        <w:tblW w:w="4995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"/>
        <w:gridCol w:w="721"/>
        <w:gridCol w:w="782"/>
        <w:gridCol w:w="542"/>
        <w:gridCol w:w="494"/>
        <w:gridCol w:w="184"/>
        <w:gridCol w:w="489"/>
        <w:gridCol w:w="1123"/>
        <w:gridCol w:w="662"/>
        <w:gridCol w:w="278"/>
        <w:gridCol w:w="568"/>
        <w:gridCol w:w="601"/>
        <w:gridCol w:w="413"/>
        <w:gridCol w:w="35"/>
        <w:gridCol w:w="315"/>
        <w:gridCol w:w="1531"/>
      </w:tblGrid>
      <w:tr>
        <w:tc>
          <w:tcPr>
            <w:tcW w:w="651" w:type="pct"/>
            <w:gridSpan w:val="2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2778" w:type="pct"/>
            <w:gridSpan w:val="9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渝长高速复线连接道工程（石马岗隧道-海腾立交）</w:t>
            </w:r>
          </w:p>
        </w:tc>
        <w:tc>
          <w:tcPr>
            <w:tcW w:w="740" w:type="pct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流域管理机构</w:t>
            </w:r>
          </w:p>
        </w:tc>
        <w:tc>
          <w:tcPr>
            <w:tcW w:w="828" w:type="pct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长江水利委员会</w:t>
            </w:r>
          </w:p>
        </w:tc>
      </w:tr>
      <w:tr>
        <w:trPr>
          <w:trHeight w:val="232"/>
        </w:trPr>
        <w:tc>
          <w:tcPr>
            <w:tcW w:w="651" w:type="pct"/>
            <w:gridSpan w:val="2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涉及省区</w:t>
            </w:r>
          </w:p>
        </w:tc>
        <w:tc>
          <w:tcPr>
            <w:tcW w:w="985" w:type="pct"/>
            <w:gridSpan w:val="3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重庆</w:t>
            </w:r>
          </w:p>
        </w:tc>
        <w:tc>
          <w:tcPr>
            <w:tcW w:w="974" w:type="pct"/>
            <w:gridSpan w:val="3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涉及地市或个数</w:t>
            </w:r>
          </w:p>
        </w:tc>
        <w:tc>
          <w:tcPr>
            <w:tcW w:w="818" w:type="pct"/>
            <w:gridSpan w:val="3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/</w:t>
            </w:r>
          </w:p>
        </w:tc>
        <w:tc>
          <w:tcPr>
            <w:tcW w:w="740" w:type="pct"/>
            <w:gridSpan w:val="4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行政区划</w:t>
            </w:r>
          </w:p>
        </w:tc>
        <w:tc>
          <w:tcPr>
            <w:tcW w:w="828" w:type="pct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江北区</w:t>
            </w:r>
          </w:p>
        </w:tc>
      </w:tr>
      <w:tr>
        <w:trPr>
          <w:trHeight w:val="844"/>
        </w:trPr>
        <w:tc>
          <w:tcPr>
            <w:tcW w:w="651" w:type="pct"/>
            <w:gridSpan w:val="2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项目规模</w:t>
            </w:r>
          </w:p>
        </w:tc>
        <w:tc>
          <w:tcPr>
            <w:tcW w:w="1959" w:type="pct"/>
            <w:gridSpan w:val="6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线路全长6.73km，道路等级为城市快速路，设计车速80km/h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eastAsia="zh-CN"/>
              </w:rPr>
              <w:t>，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全线新建18座匝道桥，新建隧道3座，共设置3处出入口。</w:t>
            </w:r>
          </w:p>
        </w:tc>
        <w:tc>
          <w:tcPr>
            <w:tcW w:w="358" w:type="pc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总投资</w:t>
            </w:r>
          </w:p>
        </w:tc>
        <w:tc>
          <w:tcPr>
            <w:tcW w:w="459" w:type="pct"/>
            <w:gridSpan w:val="2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376799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万元</w:t>
            </w:r>
          </w:p>
        </w:tc>
        <w:tc>
          <w:tcPr>
            <w:tcW w:w="740" w:type="pct"/>
            <w:gridSpan w:val="4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土建投资</w:t>
            </w:r>
          </w:p>
        </w:tc>
        <w:tc>
          <w:tcPr>
            <w:tcW w:w="828" w:type="pct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239944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万元</w:t>
            </w:r>
          </w:p>
        </w:tc>
      </w:tr>
      <w:tr>
        <w:tc>
          <w:tcPr>
            <w:tcW w:w="651" w:type="pct"/>
            <w:gridSpan w:val="2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动工时间</w:t>
            </w:r>
          </w:p>
        </w:tc>
        <w:tc>
          <w:tcPr>
            <w:tcW w:w="1351" w:type="pct"/>
            <w:gridSpan w:val="5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2021年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6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月</w:t>
            </w:r>
          </w:p>
        </w:tc>
        <w:tc>
          <w:tcPr>
            <w:tcW w:w="608" w:type="pct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完工时间</w:t>
            </w:r>
          </w:p>
        </w:tc>
        <w:tc>
          <w:tcPr>
            <w:tcW w:w="818" w:type="pct"/>
            <w:gridSpan w:val="3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2024年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5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月</w:t>
            </w:r>
          </w:p>
        </w:tc>
        <w:tc>
          <w:tcPr>
            <w:tcW w:w="740" w:type="pct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设计水平年</w:t>
            </w:r>
          </w:p>
        </w:tc>
        <w:tc>
          <w:tcPr>
            <w:tcW w:w="828" w:type="pct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2024年</w:t>
            </w:r>
          </w:p>
        </w:tc>
      </w:tr>
      <w:tr>
        <w:tc>
          <w:tcPr>
            <w:tcW w:w="651" w:type="pct"/>
            <w:gridSpan w:val="2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工程占地（hm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717" w:type="pct"/>
            <w:gridSpan w:val="2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19.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31</w:t>
            </w:r>
          </w:p>
        </w:tc>
        <w:tc>
          <w:tcPr>
            <w:tcW w:w="1601" w:type="pct"/>
            <w:gridSpan w:val="5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永久占地（hm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459" w:type="pct"/>
            <w:gridSpan w:val="2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19.06</w:t>
            </w:r>
          </w:p>
        </w:tc>
        <w:tc>
          <w:tcPr>
            <w:tcW w:w="740" w:type="pct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临时占地（hm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828" w:type="pct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0.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25</w:t>
            </w:r>
          </w:p>
        </w:tc>
      </w:tr>
      <w:tr>
        <w:tc>
          <w:tcPr>
            <w:tcW w:w="651" w:type="pct"/>
            <w:gridSpan w:val="2"/>
            <w:vMerge w:val="restart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土石方量（万m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985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项目组成</w:t>
            </w:r>
          </w:p>
        </w:tc>
        <w:tc>
          <w:tcPr>
            <w:tcW w:w="974" w:type="pct"/>
            <w:gridSpan w:val="3"/>
            <w:tcBorders>
              <w:left w:val="single" w:sz="4" w:space="0" w:color="auto"/>
              <w:bottom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挖方</w:t>
            </w:r>
          </w:p>
        </w:tc>
        <w:tc>
          <w:tcPr>
            <w:tcW w:w="358" w:type="pct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填方</w:t>
            </w:r>
          </w:p>
        </w:tc>
        <w:tc>
          <w:tcPr>
            <w:tcW w:w="459" w:type="pct"/>
            <w:gridSpan w:val="2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借方</w:t>
            </w:r>
          </w:p>
        </w:tc>
        <w:tc>
          <w:tcPr>
            <w:tcW w:w="1569" w:type="pct"/>
            <w:gridSpan w:val="5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余（弃）方</w:t>
            </w:r>
          </w:p>
        </w:tc>
      </w:tr>
      <w:tr>
        <w:tc>
          <w:tcPr>
            <w:tcW w:w="651" w:type="pct"/>
            <w:gridSpan w:val="2"/>
            <w:vMerge/>
            <w:tcBorders>
              <w:right w:val="single" w:sz="4" w:space="0" w:color="auto"/>
            </w:tcBorders>
            <w:noWrap/>
            <w:vAlign w:val="center"/>
          </w:tcPr>
          <w:p/>
        </w:tc>
        <w:tc>
          <w:tcPr>
            <w:tcW w:w="98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路基工程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27.45</w:t>
            </w:r>
          </w:p>
        </w:tc>
        <w:tc>
          <w:tcPr>
            <w:tcW w:w="358" w:type="pct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5.39</w:t>
            </w:r>
          </w:p>
        </w:tc>
        <w:tc>
          <w:tcPr>
            <w:tcW w:w="459" w:type="pct"/>
            <w:gridSpan w:val="2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1569" w:type="pct"/>
            <w:gridSpan w:val="5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22.06</w:t>
            </w:r>
          </w:p>
        </w:tc>
      </w:tr>
      <w:tr>
        <w:tc>
          <w:tcPr>
            <w:tcW w:w="651" w:type="pct"/>
            <w:gridSpan w:val="2"/>
            <w:vMerge/>
            <w:tcBorders>
              <w:right w:val="single" w:sz="4" w:space="0" w:color="auto"/>
            </w:tcBorders>
            <w:noWrap/>
            <w:vAlign w:val="center"/>
          </w:tcPr>
          <w:p/>
        </w:tc>
        <w:tc>
          <w:tcPr>
            <w:tcW w:w="985" w:type="pct"/>
            <w:gridSpan w:val="3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桥梁工程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2.27</w:t>
            </w:r>
          </w:p>
        </w:tc>
        <w:tc>
          <w:tcPr>
            <w:tcW w:w="358" w:type="pct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459" w:type="pct"/>
            <w:gridSpan w:val="2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1569" w:type="pct"/>
            <w:gridSpan w:val="5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2.27</w:t>
            </w:r>
          </w:p>
        </w:tc>
      </w:tr>
      <w:tr>
        <w:tc>
          <w:tcPr>
            <w:tcW w:w="651" w:type="pct"/>
            <w:gridSpan w:val="2"/>
            <w:vMerge/>
            <w:tcBorders>
              <w:right w:val="single" w:sz="4" w:space="0" w:color="auto"/>
            </w:tcBorders>
            <w:noWrap/>
            <w:vAlign w:val="center"/>
          </w:tcPr>
          <w:p/>
        </w:tc>
        <w:tc>
          <w:tcPr>
            <w:tcW w:w="985" w:type="pct"/>
            <w:gridSpan w:val="3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隧道工程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148.70</w:t>
            </w:r>
          </w:p>
        </w:tc>
        <w:tc>
          <w:tcPr>
            <w:tcW w:w="358" w:type="pct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0.90</w:t>
            </w:r>
          </w:p>
        </w:tc>
        <w:tc>
          <w:tcPr>
            <w:tcW w:w="459" w:type="pct"/>
            <w:gridSpan w:val="2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1569" w:type="pct"/>
            <w:gridSpan w:val="5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147.80</w:t>
            </w:r>
          </w:p>
        </w:tc>
      </w:tr>
      <w:tr>
        <w:tc>
          <w:tcPr>
            <w:tcW w:w="651" w:type="pct"/>
            <w:gridSpan w:val="2"/>
            <w:vMerge/>
            <w:tcBorders>
              <w:right w:val="single" w:sz="4" w:space="0" w:color="auto"/>
            </w:tcBorders>
            <w:noWrap/>
            <w:vAlign w:val="center"/>
          </w:tcPr>
          <w:p/>
        </w:tc>
        <w:tc>
          <w:tcPr>
            <w:tcW w:w="985" w:type="pct"/>
            <w:gridSpan w:val="3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eastAsia="zh-CN"/>
              </w:rPr>
              <w:t>施工生产生活区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0.05</w:t>
            </w:r>
          </w:p>
        </w:tc>
        <w:tc>
          <w:tcPr>
            <w:tcW w:w="358" w:type="pct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0.05</w:t>
            </w:r>
          </w:p>
        </w:tc>
        <w:tc>
          <w:tcPr>
            <w:tcW w:w="459" w:type="pct"/>
            <w:gridSpan w:val="2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/</w:t>
            </w:r>
          </w:p>
        </w:tc>
        <w:tc>
          <w:tcPr>
            <w:tcW w:w="1569" w:type="pct"/>
            <w:gridSpan w:val="5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0.00</w:t>
            </w:r>
          </w:p>
        </w:tc>
      </w:tr>
      <w:tr>
        <w:trPr>
          <w:trHeight w:val="187"/>
        </w:trPr>
        <w:tc>
          <w:tcPr>
            <w:tcW w:w="651" w:type="pct"/>
            <w:gridSpan w:val="2"/>
            <w:vMerge/>
            <w:tcBorders>
              <w:right w:val="single" w:sz="4" w:space="0" w:color="auto"/>
            </w:tcBorders>
            <w:noWrap/>
            <w:vAlign w:val="center"/>
          </w:tcPr>
          <w:p/>
        </w:tc>
        <w:tc>
          <w:tcPr>
            <w:tcW w:w="985" w:type="pct"/>
            <w:gridSpan w:val="3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合计</w:t>
            </w:r>
          </w:p>
        </w:tc>
        <w:tc>
          <w:tcPr>
            <w:tcW w:w="974" w:type="pct"/>
            <w:gridSpan w:val="3"/>
            <w:tcBorders>
              <w:top w:val="single" w:sz="4" w:space="0" w:color="auto"/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178.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47</w:t>
            </w:r>
          </w:p>
        </w:tc>
        <w:tc>
          <w:tcPr>
            <w:tcW w:w="358" w:type="pct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6.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34</w:t>
            </w:r>
          </w:p>
        </w:tc>
        <w:tc>
          <w:tcPr>
            <w:tcW w:w="459" w:type="pct"/>
            <w:gridSpan w:val="2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/</w:t>
            </w:r>
          </w:p>
        </w:tc>
        <w:tc>
          <w:tcPr>
            <w:tcW w:w="1569" w:type="pct"/>
            <w:gridSpan w:val="5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172.13</w:t>
            </w:r>
          </w:p>
        </w:tc>
      </w:tr>
      <w:tr>
        <w:tc>
          <w:tcPr>
            <w:tcW w:w="1637" w:type="pct"/>
            <w:gridSpan w:val="5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重点防治区名称</w:t>
            </w:r>
          </w:p>
        </w:tc>
        <w:tc>
          <w:tcPr>
            <w:tcW w:w="3362" w:type="pct"/>
            <w:gridSpan w:val="11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重庆市水土流失重点预防区</w:t>
            </w:r>
          </w:p>
        </w:tc>
      </w:tr>
      <w:tr>
        <w:tc>
          <w:tcPr>
            <w:tcW w:w="1637" w:type="pct"/>
            <w:gridSpan w:val="5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地貌类型</w:t>
            </w:r>
          </w:p>
        </w:tc>
        <w:tc>
          <w:tcPr>
            <w:tcW w:w="974" w:type="pct"/>
            <w:gridSpan w:val="3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丘陵地貌</w:t>
            </w:r>
          </w:p>
        </w:tc>
        <w:tc>
          <w:tcPr>
            <w:tcW w:w="1387" w:type="pct"/>
            <w:gridSpan w:val="6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水土保持区划</w:t>
            </w:r>
          </w:p>
        </w:tc>
        <w:tc>
          <w:tcPr>
            <w:tcW w:w="1000" w:type="pct"/>
            <w:gridSpan w:val="2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西南紫色土区</w:t>
            </w:r>
          </w:p>
        </w:tc>
      </w:tr>
      <w:tr>
        <w:tc>
          <w:tcPr>
            <w:tcW w:w="1637" w:type="pct"/>
            <w:gridSpan w:val="5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土壤侵蚀类型</w:t>
            </w:r>
          </w:p>
        </w:tc>
        <w:tc>
          <w:tcPr>
            <w:tcW w:w="974" w:type="pct"/>
            <w:gridSpan w:val="3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水力侵蚀</w:t>
            </w:r>
          </w:p>
        </w:tc>
        <w:tc>
          <w:tcPr>
            <w:tcW w:w="1387" w:type="pct"/>
            <w:gridSpan w:val="6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土壤侵蚀强度</w:t>
            </w:r>
          </w:p>
        </w:tc>
        <w:tc>
          <w:tcPr>
            <w:tcW w:w="1000" w:type="pct"/>
            <w:gridSpan w:val="2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轻度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侵蚀</w:t>
            </w:r>
          </w:p>
        </w:tc>
      </w:tr>
      <w:tr>
        <w:tc>
          <w:tcPr>
            <w:tcW w:w="1637" w:type="pct"/>
            <w:gridSpan w:val="5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防治责任范围（hm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974" w:type="pct"/>
            <w:gridSpan w:val="3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19.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31</w:t>
            </w:r>
          </w:p>
        </w:tc>
        <w:tc>
          <w:tcPr>
            <w:tcW w:w="1387" w:type="pct"/>
            <w:gridSpan w:val="6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容许土壤流失量t/(km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.a)］</w:t>
            </w:r>
          </w:p>
        </w:tc>
        <w:tc>
          <w:tcPr>
            <w:tcW w:w="1000" w:type="pct"/>
            <w:gridSpan w:val="2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500</w:t>
            </w:r>
          </w:p>
        </w:tc>
      </w:tr>
      <w:tr>
        <w:tc>
          <w:tcPr>
            <w:tcW w:w="1637" w:type="pct"/>
            <w:gridSpan w:val="5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建设期土壤流失预测总量</w:t>
            </w:r>
          </w:p>
        </w:tc>
        <w:tc>
          <w:tcPr>
            <w:tcW w:w="974" w:type="pct"/>
            <w:gridSpan w:val="3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4151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t</w:t>
            </w:r>
          </w:p>
        </w:tc>
        <w:tc>
          <w:tcPr>
            <w:tcW w:w="1387" w:type="pct"/>
            <w:gridSpan w:val="6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新增水土流失量</w:t>
            </w:r>
          </w:p>
        </w:tc>
        <w:tc>
          <w:tcPr>
            <w:tcW w:w="1000" w:type="pct"/>
            <w:gridSpan w:val="2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2880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t</w:t>
            </w:r>
          </w:p>
        </w:tc>
      </w:tr>
      <w:tr>
        <w:tc>
          <w:tcPr>
            <w:tcW w:w="1637" w:type="pct"/>
            <w:gridSpan w:val="5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水土流失防治标准执行等级</w:t>
            </w:r>
          </w:p>
        </w:tc>
        <w:tc>
          <w:tcPr>
            <w:tcW w:w="3362" w:type="pct"/>
            <w:gridSpan w:val="11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西南紫色土区建设类项目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水土流失防治一级标准</w:t>
            </w:r>
          </w:p>
        </w:tc>
      </w:tr>
      <w:tr>
        <w:tc>
          <w:tcPr>
            <w:tcW w:w="260" w:type="pct"/>
            <w:vMerge w:val="restart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防治目标</w:t>
            </w:r>
          </w:p>
        </w:tc>
        <w:tc>
          <w:tcPr>
            <w:tcW w:w="1109" w:type="pct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水土流失治理度</w:t>
            </w:r>
          </w:p>
        </w:tc>
        <w:tc>
          <w:tcPr>
            <w:tcW w:w="1242" w:type="pct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9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7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%</w:t>
            </w:r>
          </w:p>
        </w:tc>
        <w:tc>
          <w:tcPr>
            <w:tcW w:w="1387" w:type="pct"/>
            <w:gridSpan w:val="6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土壤流失控制比</w:t>
            </w:r>
          </w:p>
        </w:tc>
        <w:tc>
          <w:tcPr>
            <w:tcW w:w="1000" w:type="pct"/>
            <w:gridSpan w:val="2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1.0</w:t>
            </w:r>
          </w:p>
        </w:tc>
      </w:tr>
      <w:tr>
        <w:tc>
          <w:tcPr>
            <w:tcW w:w="260" w:type="pct"/>
            <w:vMerge/>
            <w:noWrap/>
            <w:vAlign w:val="center"/>
          </w:tcPr>
          <w:p/>
        </w:tc>
        <w:tc>
          <w:tcPr>
            <w:tcW w:w="1109" w:type="pct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渣土防护率</w:t>
            </w:r>
          </w:p>
        </w:tc>
        <w:tc>
          <w:tcPr>
            <w:tcW w:w="1242" w:type="pct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9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4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%</w:t>
            </w:r>
          </w:p>
        </w:tc>
        <w:tc>
          <w:tcPr>
            <w:tcW w:w="1387" w:type="pct"/>
            <w:gridSpan w:val="6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表土保护率</w:t>
            </w:r>
          </w:p>
        </w:tc>
        <w:tc>
          <w:tcPr>
            <w:tcW w:w="1000" w:type="pct"/>
            <w:gridSpan w:val="2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92%</w:t>
            </w:r>
          </w:p>
        </w:tc>
      </w:tr>
      <w:tr>
        <w:trPr>
          <w:trHeight w:val="90"/>
        </w:trPr>
        <w:tc>
          <w:tcPr>
            <w:tcW w:w="260" w:type="pct"/>
            <w:vMerge/>
            <w:noWrap/>
            <w:vAlign w:val="center"/>
          </w:tcPr>
          <w:p/>
        </w:tc>
        <w:tc>
          <w:tcPr>
            <w:tcW w:w="1109" w:type="pct"/>
            <w:gridSpan w:val="3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林草植被恢复率</w:t>
            </w:r>
          </w:p>
        </w:tc>
        <w:tc>
          <w:tcPr>
            <w:tcW w:w="1242" w:type="pct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97%</w:t>
            </w:r>
          </w:p>
        </w:tc>
        <w:tc>
          <w:tcPr>
            <w:tcW w:w="1387" w:type="pct"/>
            <w:gridSpan w:val="6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林草覆盖率</w:t>
            </w:r>
          </w:p>
        </w:tc>
        <w:tc>
          <w:tcPr>
            <w:tcW w:w="1000" w:type="pct"/>
            <w:gridSpan w:val="2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7%</w:t>
            </w:r>
          </w:p>
        </w:tc>
      </w:tr>
      <w:tr>
        <w:tc>
          <w:tcPr>
            <w:tcW w:w="260" w:type="pct"/>
            <w:vMerge w:val="restart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防治措施</w:t>
            </w:r>
          </w:p>
        </w:tc>
        <w:tc>
          <w:tcPr>
            <w:tcW w:w="815" w:type="pct"/>
            <w:gridSpan w:val="2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防治分区</w:t>
            </w:r>
          </w:p>
        </w:tc>
        <w:tc>
          <w:tcPr>
            <w:tcW w:w="1536" w:type="pct"/>
            <w:gridSpan w:val="5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工程措施</w:t>
            </w:r>
          </w:p>
        </w:tc>
        <w:tc>
          <w:tcPr>
            <w:tcW w:w="1144" w:type="pct"/>
            <w:gridSpan w:val="4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植物措施</w:t>
            </w:r>
          </w:p>
        </w:tc>
        <w:tc>
          <w:tcPr>
            <w:tcW w:w="1244" w:type="pct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临时措施</w:t>
            </w:r>
          </w:p>
        </w:tc>
      </w:tr>
      <w:tr>
        <w:trPr>
          <w:trHeight w:val="1081"/>
        </w:trPr>
        <w:tc>
          <w:tcPr>
            <w:tcW w:w="260" w:type="pct"/>
            <w:vMerge/>
            <w:noWrap/>
            <w:vAlign w:val="center"/>
          </w:tcPr>
          <w:p/>
        </w:tc>
        <w:tc>
          <w:tcPr>
            <w:tcW w:w="815" w:type="pct"/>
            <w:gridSpan w:val="2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路基工程</w:t>
            </w:r>
          </w:p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防治区</w:t>
            </w:r>
          </w:p>
        </w:tc>
        <w:tc>
          <w:tcPr>
            <w:tcW w:w="1536" w:type="pct"/>
            <w:gridSpan w:val="5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主体：排水边沟1644m、截水沟1684m、排水管网2080m、阶梯跌水急流槽283m、消能池2座、网格植草护坡23205m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、透水砖7326m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；</w:t>
            </w:r>
          </w:p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新增：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eastAsia="zh-CN"/>
              </w:rPr>
              <w:t>表土剥离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0.42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万m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表土回填0.68万m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。</w:t>
            </w:r>
          </w:p>
        </w:tc>
        <w:tc>
          <w:tcPr>
            <w:tcW w:w="1144" w:type="pct"/>
            <w:gridSpan w:val="4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主体：景观绿化9215m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，行道树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433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棵，喷播植草护坡237m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。</w:t>
            </w:r>
          </w:p>
        </w:tc>
        <w:tc>
          <w:tcPr>
            <w:tcW w:w="1244" w:type="pct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新增：临时编织土袋拦挡140m，临时遮盖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1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0000m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，临时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eastAsia="zh-CN"/>
              </w:rPr>
              <w:t>沉沙池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8口。</w:t>
            </w:r>
          </w:p>
        </w:tc>
      </w:tr>
      <w:tr>
        <w:tc>
          <w:tcPr>
            <w:tcW w:w="260" w:type="pct"/>
            <w:vMerge/>
            <w:noWrap/>
            <w:vAlign w:val="center"/>
          </w:tcPr>
          <w:p/>
        </w:tc>
        <w:tc>
          <w:tcPr>
            <w:tcW w:w="815" w:type="pct"/>
            <w:gridSpan w:val="2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桥梁工程</w:t>
            </w:r>
          </w:p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防治区</w:t>
            </w:r>
          </w:p>
        </w:tc>
        <w:tc>
          <w:tcPr>
            <w:tcW w:w="1536" w:type="pct"/>
            <w:gridSpan w:val="5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主体：排水边沟240m，截水沟1229m，排水管网1350m，网格植草护坡15785m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；</w:t>
            </w:r>
          </w:p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新增：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eastAsia="zh-CN"/>
              </w:rPr>
              <w:t>表土剥离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0.08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万m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表土回填0.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17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万m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。</w:t>
            </w:r>
          </w:p>
        </w:tc>
        <w:tc>
          <w:tcPr>
            <w:tcW w:w="1144" w:type="pct"/>
            <w:gridSpan w:val="4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主体：喷播植草护坡760m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eastAsia="zh-CN"/>
              </w:rPr>
              <w:t>；</w:t>
            </w:r>
          </w:p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eastAsia="zh-CN"/>
              </w:rPr>
              <w:t>新增：撒播草籽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2.47hm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  <w:lang w:val="en-US" w:eastAsia="zh-CN"/>
              </w:rPr>
              <w:t>2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。</w:t>
            </w:r>
          </w:p>
        </w:tc>
        <w:tc>
          <w:tcPr>
            <w:tcW w:w="1244" w:type="pct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新增：临时编织土袋拦挡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718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m，临时遮盖10000m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，临时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eastAsia="zh-CN"/>
              </w:rPr>
              <w:t>沉沙池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7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口，泥浆沉淀池6口，临时排水沟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30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0m。</w:t>
            </w:r>
          </w:p>
        </w:tc>
      </w:tr>
      <w:tr>
        <w:tc>
          <w:tcPr>
            <w:tcW w:w="260" w:type="pct"/>
            <w:vMerge/>
            <w:noWrap/>
            <w:vAlign w:val="center"/>
          </w:tcPr>
          <w:p/>
        </w:tc>
        <w:tc>
          <w:tcPr>
            <w:tcW w:w="815" w:type="pct"/>
            <w:gridSpan w:val="2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隧道工程</w:t>
            </w:r>
          </w:p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防治区</w:t>
            </w:r>
          </w:p>
        </w:tc>
        <w:tc>
          <w:tcPr>
            <w:tcW w:w="1536" w:type="pct"/>
            <w:gridSpan w:val="5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主体：截水沟507m，排水暗沟9633m，网格植草护坡2430m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；</w:t>
            </w:r>
          </w:p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新增：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eastAsia="zh-CN"/>
              </w:rPr>
              <w:t>表土剥离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0.03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万m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表土回填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0.02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万m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。</w:t>
            </w:r>
          </w:p>
        </w:tc>
        <w:tc>
          <w:tcPr>
            <w:tcW w:w="1144" w:type="pct"/>
            <w:gridSpan w:val="4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/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 xml:space="preserve"> </w:t>
            </w:r>
          </w:p>
        </w:tc>
        <w:tc>
          <w:tcPr>
            <w:tcW w:w="1244" w:type="pct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主体：车辆冲洗站1座；</w:t>
            </w:r>
          </w:p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新增：临时遮盖5000m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，临时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eastAsia="zh-CN"/>
              </w:rPr>
              <w:t>沉沙池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10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口。</w:t>
            </w:r>
          </w:p>
        </w:tc>
      </w:tr>
      <w:tr>
        <w:trPr>
          <w:trHeight w:val="90"/>
        </w:trPr>
        <w:tc>
          <w:tcPr>
            <w:tcW w:w="260" w:type="pct"/>
            <w:vMerge/>
            <w:noWrap/>
            <w:vAlign w:val="center"/>
          </w:tcPr>
          <w:p/>
        </w:tc>
        <w:tc>
          <w:tcPr>
            <w:tcW w:w="815" w:type="pct"/>
            <w:gridSpan w:val="2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施工生产生活防治区</w:t>
            </w:r>
          </w:p>
        </w:tc>
        <w:tc>
          <w:tcPr>
            <w:tcW w:w="1536" w:type="pct"/>
            <w:gridSpan w:val="5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新增：土地整治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0.25h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，表土回填0.0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5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万m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。</w:t>
            </w:r>
          </w:p>
        </w:tc>
        <w:tc>
          <w:tcPr>
            <w:tcW w:w="1144" w:type="pct"/>
            <w:gridSpan w:val="4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新增：播撒草籽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0.25h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。</w:t>
            </w:r>
          </w:p>
        </w:tc>
        <w:tc>
          <w:tcPr>
            <w:tcW w:w="1244" w:type="pct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新增：临时排水沟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138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m，临时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eastAsia="zh-CN"/>
              </w:rPr>
              <w:t>沉沙池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口，防雨布遮盖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8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00m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。</w:t>
            </w:r>
          </w:p>
        </w:tc>
      </w:tr>
      <w:tr>
        <w:tc>
          <w:tcPr>
            <w:tcW w:w="260" w:type="pct"/>
            <w:vMerge/>
            <w:noWrap/>
            <w:vAlign w:val="center"/>
          </w:tcPr>
          <w:p/>
        </w:tc>
        <w:tc>
          <w:tcPr>
            <w:tcW w:w="815" w:type="pct"/>
            <w:gridSpan w:val="2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投资（万元）</w:t>
            </w:r>
          </w:p>
        </w:tc>
        <w:tc>
          <w:tcPr>
            <w:tcW w:w="1536" w:type="pct"/>
            <w:gridSpan w:val="5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主体设计：1519.92</w:t>
            </w:r>
          </w:p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方案新增：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45.25</w:t>
            </w:r>
          </w:p>
        </w:tc>
        <w:tc>
          <w:tcPr>
            <w:tcW w:w="1144" w:type="pct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主体设计：383.16</w:t>
            </w:r>
          </w:p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方案新增：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2.69</w:t>
            </w:r>
          </w:p>
        </w:tc>
        <w:tc>
          <w:tcPr>
            <w:tcW w:w="1244" w:type="pct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eastAsia="zh-CN"/>
              </w:rPr>
              <w:t>主体设计：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0.15</w:t>
            </w:r>
          </w:p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方案新增：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42.42</w:t>
            </w:r>
          </w:p>
        </w:tc>
      </w:tr>
      <w:tr>
        <w:tc>
          <w:tcPr>
            <w:tcW w:w="1369" w:type="pct"/>
            <w:gridSpan w:val="4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水土保持总投资（万元）</w:t>
            </w:r>
          </w:p>
        </w:tc>
        <w:tc>
          <w:tcPr>
            <w:tcW w:w="1242" w:type="pct"/>
            <w:gridSpan w:val="4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2096.06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（新增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192.83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）</w:t>
            </w:r>
          </w:p>
        </w:tc>
        <w:tc>
          <w:tcPr>
            <w:tcW w:w="1144" w:type="pct"/>
            <w:gridSpan w:val="4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独立费用（万元）</w:t>
            </w:r>
          </w:p>
        </w:tc>
        <w:tc>
          <w:tcPr>
            <w:tcW w:w="1244" w:type="pct"/>
            <w:gridSpan w:val="4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26.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52</w:t>
            </w:r>
          </w:p>
        </w:tc>
      </w:tr>
      <w:tr>
        <w:tc>
          <w:tcPr>
            <w:tcW w:w="1369" w:type="pct"/>
            <w:gridSpan w:val="4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监理费（万元）</w:t>
            </w:r>
          </w:p>
        </w:tc>
        <w:tc>
          <w:tcPr>
            <w:tcW w:w="368" w:type="pct"/>
            <w:gridSpan w:val="2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2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.55</w:t>
            </w:r>
          </w:p>
        </w:tc>
        <w:tc>
          <w:tcPr>
            <w:tcW w:w="873" w:type="pct"/>
            <w:gridSpan w:val="2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监测费（万元）</w:t>
            </w:r>
          </w:p>
        </w:tc>
        <w:tc>
          <w:tcPr>
            <w:tcW w:w="510" w:type="pct"/>
            <w:gridSpan w:val="2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39.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val="en-US" w:eastAsia="zh-CN"/>
              </w:rPr>
              <w:t>53</w:t>
            </w:r>
          </w:p>
        </w:tc>
        <w:tc>
          <w:tcPr>
            <w:tcW w:w="858" w:type="pct"/>
            <w:gridSpan w:val="3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补偿费（万元）</w:t>
            </w:r>
          </w:p>
        </w:tc>
        <w:tc>
          <w:tcPr>
            <w:tcW w:w="1019" w:type="pct"/>
            <w:gridSpan w:val="3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27.0389</w:t>
            </w:r>
          </w:p>
        </w:tc>
      </w:tr>
      <w:tr>
        <w:tc>
          <w:tcPr>
            <w:tcW w:w="1369" w:type="pct"/>
            <w:gridSpan w:val="4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方案编制单位</w:t>
            </w:r>
          </w:p>
        </w:tc>
        <w:tc>
          <w:tcPr>
            <w:tcW w:w="1242" w:type="pct"/>
            <w:gridSpan w:val="4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重庆泽润水利工程咨询有限公司</w:t>
            </w:r>
          </w:p>
        </w:tc>
        <w:tc>
          <w:tcPr>
            <w:tcW w:w="1144" w:type="pct"/>
            <w:gridSpan w:val="4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建设单位</w:t>
            </w:r>
          </w:p>
        </w:tc>
        <w:tc>
          <w:tcPr>
            <w:tcW w:w="1244" w:type="pct"/>
            <w:gridSpan w:val="4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eastAsia="zh-CN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  <w:lang w:eastAsia="zh-CN"/>
              </w:rPr>
              <w:t>重庆城投基础设施建设有限公司</w:t>
            </w:r>
          </w:p>
        </w:tc>
      </w:tr>
      <w:tr>
        <w:tc>
          <w:tcPr>
            <w:tcW w:w="1369" w:type="pct"/>
            <w:gridSpan w:val="4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法定代表人及电话</w:t>
            </w:r>
          </w:p>
        </w:tc>
        <w:tc>
          <w:tcPr>
            <w:tcW w:w="1242" w:type="pct"/>
            <w:gridSpan w:val="4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张国佐</w:t>
            </w:r>
          </w:p>
        </w:tc>
        <w:tc>
          <w:tcPr>
            <w:tcW w:w="1144" w:type="pct"/>
            <w:gridSpan w:val="4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法定代表人及电话</w:t>
            </w:r>
          </w:p>
        </w:tc>
        <w:tc>
          <w:tcPr>
            <w:tcW w:w="1244" w:type="pct"/>
            <w:gridSpan w:val="4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李明</w:t>
            </w:r>
          </w:p>
        </w:tc>
      </w:tr>
      <w:tr>
        <w:tc>
          <w:tcPr>
            <w:tcW w:w="1369" w:type="pct"/>
            <w:gridSpan w:val="4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地址</w:t>
            </w:r>
          </w:p>
        </w:tc>
        <w:tc>
          <w:tcPr>
            <w:tcW w:w="1242" w:type="pct"/>
            <w:gridSpan w:val="4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南岸区学府大道9号学府锦园4栋1206</w:t>
            </w:r>
          </w:p>
        </w:tc>
        <w:tc>
          <w:tcPr>
            <w:tcW w:w="1144" w:type="pct"/>
            <w:gridSpan w:val="4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地址</w:t>
            </w:r>
          </w:p>
        </w:tc>
        <w:tc>
          <w:tcPr>
            <w:tcW w:w="1244" w:type="pct"/>
            <w:gridSpan w:val="4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重庆市渝中区中山三路128号</w:t>
            </w:r>
          </w:p>
        </w:tc>
      </w:tr>
      <w:tr>
        <w:tc>
          <w:tcPr>
            <w:tcW w:w="1369" w:type="pct"/>
            <w:gridSpan w:val="4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邮政编码</w:t>
            </w:r>
          </w:p>
        </w:tc>
        <w:tc>
          <w:tcPr>
            <w:tcW w:w="1242" w:type="pct"/>
            <w:gridSpan w:val="4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400020</w:t>
            </w:r>
          </w:p>
        </w:tc>
        <w:tc>
          <w:tcPr>
            <w:tcW w:w="1144" w:type="pct"/>
            <w:gridSpan w:val="4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邮政编码</w:t>
            </w:r>
          </w:p>
        </w:tc>
        <w:tc>
          <w:tcPr>
            <w:tcW w:w="1244" w:type="pct"/>
            <w:gridSpan w:val="4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4</w:t>
            </w: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00</w:t>
            </w: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015</w:t>
            </w:r>
          </w:p>
        </w:tc>
      </w:tr>
      <w:tr>
        <w:tc>
          <w:tcPr>
            <w:tcW w:w="1369" w:type="pct"/>
            <w:gridSpan w:val="4"/>
            <w:tcBorders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联系人及电话</w:t>
            </w:r>
          </w:p>
        </w:tc>
        <w:tc>
          <w:tcPr>
            <w:tcW w:w="1242" w:type="pct"/>
            <w:gridSpan w:val="4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贾桃涛/135 2739 3879</w:t>
            </w:r>
          </w:p>
        </w:tc>
        <w:tc>
          <w:tcPr>
            <w:tcW w:w="1144" w:type="pct"/>
            <w:gridSpan w:val="4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联系人及电话</w:t>
            </w:r>
          </w:p>
        </w:tc>
        <w:tc>
          <w:tcPr>
            <w:tcW w:w="1244" w:type="pct"/>
            <w:gridSpan w:val="4"/>
            <w:tcBorders>
              <w:left w:val="single" w:sz="4" w:space="0" w:color="auto"/>
            </w:tcBorders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 w:hint="eastAsia"/>
                <w:kern w:val="0"/>
                <w:sz w:val="18"/>
                <w:szCs w:val="18"/>
              </w:rPr>
              <w:t>曹柏杨/15213313881</w:t>
            </w:r>
          </w:p>
        </w:tc>
      </w:tr>
      <w:tr>
        <w:tc>
          <w:tcPr>
            <w:tcW w:w="1369" w:type="pct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电子邮箱</w:t>
            </w:r>
          </w:p>
        </w:tc>
        <w:tc>
          <w:tcPr>
            <w:tcW w:w="1242" w:type="pct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120900827@qq.com</w:t>
            </w:r>
          </w:p>
        </w:tc>
        <w:tc>
          <w:tcPr>
            <w:tcW w:w="1144" w:type="pct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  <w:r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  <w:t>电子邮箱</w:t>
            </w:r>
          </w:p>
        </w:tc>
        <w:tc>
          <w:tcPr>
            <w:tcW w:w="1244" w:type="pct"/>
            <w:gridSpan w:val="4"/>
            <w:noWrap/>
            <w:vAlign w:val="center"/>
          </w:tcPr>
          <w:p>
            <w:pPr>
              <w:widowControl/>
              <w:jc w:val="center"/>
              <w:rPr>
                <w:rFonts w:ascii="Times New Roman" w:eastAsia="仿宋_GB2312" w:cs="宋体" w:hAnsi="Times New Roman"/>
                <w:kern w:val="0"/>
                <w:sz w:val="18"/>
                <w:szCs w:val="18"/>
              </w:rPr>
            </w:pPr>
          </w:p>
        </w:tc>
      </w:tr>
    </w:tbl>
    <w:p>
      <w:pPr>
        <w:spacing w:line="240" w:lineRule="exact"/>
        <w:jc w:val="center"/>
        <w:rPr>
          <w:rFonts w:ascii="宋体" w:hint="eastAsia"/>
          <w:b/>
          <w:szCs w:val="21"/>
        </w:rPr>
      </w:pPr>
    </w:p>
    <w:p>
      <w:pPr>
        <w:spacing w:line="240" w:lineRule="exact"/>
        <w:jc w:val="center"/>
        <w:rPr>
          <w:rFonts w:ascii="宋体" w:hint="eastAsia"/>
          <w:b/>
          <w:szCs w:val="21"/>
        </w:rPr>
      </w:pPr>
    </w:p>
    <w:p>
      <w:pPr>
        <w:spacing w:line="240" w:lineRule="exact"/>
        <w:jc w:val="center"/>
        <w:rPr>
          <w:rFonts w:ascii="宋体" w:hint="eastAsia"/>
          <w:b/>
          <w:szCs w:val="21"/>
        </w:rPr>
      </w:pPr>
    </w:p>
    <w:p>
      <w:pPr>
        <w:spacing w:line="480" w:lineRule="exact"/>
        <w:rPr>
          <w:rFonts w:ascii="方正黑体_GBK" w:eastAsia="方正黑体_GBK" w:cs="宋体"/>
          <w:bCs/>
          <w:sz w:val="32"/>
          <w:szCs w:val="32"/>
        </w:rPr>
      </w:pPr>
      <w:r>
        <w:rPr>
          <w:rFonts w:ascii="方正黑体_GBK" w:eastAsia="方正黑体_GBK" w:cs="宋体"/>
          <w:bCs/>
          <w:sz w:val="32"/>
          <w:szCs w:val="32"/>
        </w:rPr>
        <w:br w:type="page"/>
      </w:r>
    </w:p>
    <w:p>
      <w:pPr>
        <w:spacing w:line="480" w:lineRule="exact"/>
        <w:rPr>
          <w:rFonts w:ascii="方正黑体_GBK" w:eastAsia="方正黑体_GBK" w:cs="宋体"/>
          <w:bCs/>
          <w:sz w:val="32"/>
          <w:szCs w:val="32"/>
        </w:rPr>
      </w:pPr>
      <w:r>
        <w:rPr>
          <w:rFonts w:ascii="方正黑体_GBK" w:eastAsia="方正黑体_GBK" w:cs="宋体" w:hint="eastAsia"/>
          <w:bCs/>
          <w:sz w:val="32"/>
          <w:szCs w:val="32"/>
        </w:rPr>
        <w:t>附件2</w:t>
      </w:r>
    </w:p>
    <w:p>
      <w:pPr>
        <w:bidi w:val="0"/>
        <w:rPr>
          <w:rFonts w:ascii="Times New Roman" w:eastAsia="宋体" w:cs="Times New Roman" w:hAnsi="Times New Roman"/>
          <w:szCs w:val="24"/>
        </w:rPr>
      </w:pPr>
      <w:r>
        <w:rPr>
          <w:rFonts w:eastAsia="宋体" w:hint="eastAsia"/>
          <w:lang w:eastAsia="zh-CN"/>
        </w:rPr>
        <w:drawing>
          <wp:inline distT="0" distB="0" distL="114300" distR="114300">
            <wp:extent cx="5687060" cy="7762240"/>
            <wp:effectExtent l="0" t="0" r="0" b="0"/>
            <wp:docPr id="1" name="图片 6" descr="8628feaf86645d1e1e35b33a3e3a6ab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6 3"/>
                    <pic:cNvPicPr/>
                  </pic:nvPicPr>
                  <pic:blipFill>
                    <a:blip r:embed="rId4"/>
                    <a:srcRect t="155" l="18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87060" cy="776224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eastAsia="宋体" w:cs="Times New Roman" w:hAnsi="Times New Roman"/>
          <w:szCs w:val="24"/>
        </w:rPr>
      </w:pPr>
    </w:p>
    <w:p>
      <w:pPr>
        <w:spacing w:line="240" w:lineRule="auto"/>
        <w:rPr>
          <w:rFonts w:ascii="Times New Roman" w:eastAsia="宋体" w:cs="Times New Roman" w:hAnsi="Times New Roman" w:hint="eastAsia"/>
          <w:szCs w:val="24"/>
          <w:lang w:eastAsia="zh-CN"/>
        </w:rPr>
      </w:pPr>
      <w:r>
        <w:rPr>
          <w:rFonts w:ascii="Times New Roman" w:eastAsia="宋体" w:cs="Times New Roman" w:hAnsi="Times New Roman" w:hint="eastAsia"/>
          <w:szCs w:val="24"/>
          <w:lang w:eastAsia="zh-CN"/>
        </w:rPr>
        <w:drawing>
          <wp:inline distT="0" distB="0" distL="114300" distR="114300">
            <wp:extent cx="5804534" cy="7755890"/>
            <wp:effectExtent l="0" t="0" r="0" b="0"/>
            <wp:docPr id="4" name="图片 8" descr="62744df31df39d8e6679547776e289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8 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04534" cy="775589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exact"/>
        <w:rPr>
          <w:rFonts w:ascii="Times New Roman" w:eastAsia="宋体" w:cs="Times New Roman" w:hAnsi="Times New Roman"/>
          <w:szCs w:val="24"/>
        </w:rPr>
      </w:pPr>
    </w:p>
    <w:p>
      <w:pPr>
        <w:jc w:val="center"/>
        <w:rPr>
          <w:rFonts w:ascii="Times New Roman" w:eastAsia="宋体" w:cs="Times New Roman" w:hAnsi="Times New Roman" w:hint="eastAsia"/>
          <w:szCs w:val="24"/>
          <w:lang w:eastAsia="zh-CN"/>
        </w:rPr>
      </w:pPr>
      <w:r>
        <w:rPr>
          <w:rFonts w:ascii="Times New Roman" w:eastAsia="宋体" w:cs="Times New Roman" w:hAnsi="Times New Roman" w:hint="eastAsia"/>
          <w:szCs w:val="24"/>
          <w:lang w:eastAsia="zh-CN"/>
        </w:rPr>
        <w:drawing>
          <wp:inline distT="0" distB="0" distL="114300" distR="114300">
            <wp:extent cx="5651500" cy="7746999"/>
            <wp:effectExtent l="0" t="0" r="0" b="0"/>
            <wp:docPr id="7" name="图片 9" descr="e912677672b9f958690a7dacac04d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图片 9 9"/>
                    <pic:cNvPicPr/>
                  </pic:nvPicPr>
                  <pic:blipFill>
                    <a:blip r:embed="rId6"/>
                    <a:srcRect t="2862" l="2079" r="3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51500" cy="774699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eastAsia="宋体" w:cs="Times New Roman" w:hAnsi="Times New Roman" w:hint="eastAsia"/>
          <w:szCs w:val="24"/>
          <w:lang w:eastAsia="zh-CN"/>
        </w:rPr>
      </w:pPr>
    </w:p>
    <w:p>
      <w:pPr>
        <w:spacing w:line="240" w:lineRule="exact"/>
        <w:rPr>
          <w:rFonts w:ascii="Times New Roman" w:eastAsia="宋体" w:cs="Times New Roman" w:hAnsi="Times New Roman"/>
          <w:szCs w:val="24"/>
        </w:rPr>
      </w:pPr>
    </w:p>
    <w:p>
      <w:pPr>
        <w:spacing w:line="240" w:lineRule="auto"/>
        <w:rPr>
          <w:rFonts w:ascii="Times New Roman" w:eastAsia="宋体" w:cs="Times New Roman" w:hAnsi="Times New Roman" w:hint="eastAsia"/>
          <w:szCs w:val="24"/>
          <w:lang w:eastAsia="zh-CN"/>
        </w:rPr>
      </w:pPr>
      <w:r>
        <w:rPr>
          <w:rFonts w:ascii="Times New Roman" w:eastAsia="宋体" w:cs="Times New Roman" w:hAnsi="Times New Roman" w:hint="eastAsia"/>
          <w:szCs w:val="24"/>
          <w:lang w:eastAsia="zh-CN"/>
        </w:rPr>
        <w:drawing>
          <wp:inline distT="0" distB="0" distL="114300" distR="114300">
            <wp:extent cx="5775960" cy="8105774"/>
            <wp:effectExtent l="0" t="0" r="0" b="0"/>
            <wp:docPr id="10" name="图片 10" descr="26419740049b3f1432b0592f96b83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图片 10 12"/>
                    <pic:cNvPicPr/>
                  </pic:nvPicPr>
                  <pic:blipFill>
                    <a:blip r:embed="rId7"/>
                    <a:srcRect t="6531" l="4858" r="6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75960" cy="810577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exact"/>
        <w:rPr>
          <w:rFonts w:ascii="Times New Roman" w:eastAsia="宋体" w:cs="Times New Roman" w:hAnsi="Times New Roman"/>
          <w:szCs w:val="24"/>
        </w:rPr>
      </w:pPr>
    </w:p>
    <w:p>
      <w:pPr>
        <w:rPr>
          <w:rFonts w:ascii="Times New Roman" w:eastAsia="仿宋_GB2312" w:cs="Times New Roman" w:hAnsi="Times New Roman"/>
          <w:sz w:val="28"/>
          <w:szCs w:val="28"/>
        </w:rPr>
      </w:pPr>
      <w:r>
        <w:rPr>
          <w:rFonts w:ascii="Times New Roman" w:eastAsia="宋体" w:cs="Times New Roman" w:hAnsi="Times New Roman" w:hint="eastAsia"/>
          <w:szCs w:val="24"/>
          <w:lang w:eastAsia="zh-CN"/>
        </w:rPr>
        <w:drawing>
          <wp:inline distT="0" distB="0" distL="114300" distR="114300">
            <wp:extent cx="5856605" cy="8225155"/>
            <wp:effectExtent l="0" t="0" r="0" b="0"/>
            <wp:docPr id="13" name="图片 11" descr="93582015824bc5549f765819141205b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图片 11 15"/>
                    <pic:cNvPicPr/>
                  </pic:nvPicPr>
                  <pic:blipFill>
                    <a:blip r:embed="rId8"/>
                    <a:srcRect t="4884" l="6347" r="3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856605" cy="822515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w:type="default" r:id="rId2"/>
      <w:footerReference w:type="even" r:id="rId3"/>
      <w:pgSz w:w="11906" w:h="16838"/>
      <w:pgMar w:top="1984" w:right="1446" w:bottom="1644" w:left="1446" w:header="851" w:footer="992" w:gutter="0"/>
      <w:pgNumType w:fmt="numberInDash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宋体">
    <w:panose1 w:val="02010600030101010101"/>
    <w:charset w:val="50"/>
    <w:family w:val="auto"/>
    <w:pitch w:val="variable"/>
    <w:sig w:usb0="00000003" w:usb1="288F0000" w:usb2="00000006" w:usb3="00000000" w:csb0="00040001" w:csb1="00000000"/>
  </w:font>
  <w:font w:name="方正黑体_GBK">
    <w:panose1 w:val="03000509000000000000"/>
    <w:charset w:val="86"/>
    <w:family w:val="script"/>
    <w:pitch w:val="variable"/>
    <w:sig w:usb0="00000001" w:usb1="080E0000" w:usb2="00000000" w:usb3="00000000" w:csb0="0004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400001FF" w:csb1="FFFF0000"/>
  </w:font>
  <w:font w:name="仿宋_GB2312">
    <w:altName w:val="仿宋"/>
    <w:panose1 w:val="00000000000000000000"/>
    <w:charset w:val="86"/>
    <w:family w:val="modern"/>
    <w:pitch w:val="variable"/>
    <w:sig w:usb0="00000000" w:usb1="00000000" w:usb2="00000010" w:usb3="00000000" w:csb0="00040000" w:csb1="00000000"/>
  </w:font>
  <w:font w:name="Calibri">
    <w:altName w:val="Times New Roman"/>
    <w:panose1 w:val="020F0502020204030204"/>
    <w:charset w:val="00"/>
    <w:family w:val="swiss"/>
    <w:pitch w:val="variable"/>
    <w:sig w:usb0="E00002FF" w:usb1="4000ACFF" w:usb2="00000001" w:usb3="00000000" w:csb0="2000019F" w:csb1="00000000"/>
  </w:font>
  <w:font w:name="Arial">
    <w:altName w:val="DejaVu Sans"/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Cambria">
    <w:altName w:val="DejaVu Sans"/>
    <w:panose1 w:val="02040503050406030204"/>
    <w:charset w:val="00"/>
    <w:family w:val="roman"/>
    <w:pitch w:val="variable"/>
    <w:sig w:usb0="E00002FF" w:usb1="400004FF" w:usb2="00000000" w:usb3="00000000" w:csb0="2000019F" w:csb1="00000000"/>
  </w:font>
  <w:font w:name="仿宋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pStyle w:val="16"/>
      <w:tabs>
        <w:tab w:val="center" w:pos="4153"/>
        <w:tab w:val="right" w:pos="8306"/>
      </w:tabs>
      <w:jc w:val="right"/>
    </w:pPr>
    <w:r>
      <w:rPr>
        <w:rFonts w:ascii="宋体" w:eastAsia="宋体"/>
        <w:sz w:val="28"/>
        <w:szCs w:val="28"/>
      </w:rPr>
      <w:fldChar w:fldCharType="begin"/>
    </w:r>
    <w:r>
      <w:rPr>
        <w:rFonts w:ascii="宋体" w:eastAsia="宋体"/>
        <w:sz w:val="28"/>
        <w:szCs w:val="28"/>
      </w:rPr>
      <w:instrText xml:space="preserve"> PAGE   \* MERGEFORMAT </w:instrText>
    </w:r>
    <w:r>
      <w:rPr>
        <w:rFonts w:ascii="宋体" w:eastAsia="宋体"/>
        <w:sz w:val="28"/>
        <w:szCs w:val="28"/>
      </w:rPr>
      <w:fldChar w:fldCharType="separate"/>
    </w:r>
    <w:r>
      <w:rPr>
        <w:rFonts w:ascii="宋体" w:eastAsia="宋体"/>
        <w:sz w:val="28"/>
        <w:szCs w:val="28"/>
      </w:rPr>
      <w:t>- 9 -</w:t>
    </w:r>
    <w:r>
      <w:rPr>
        <w:rFonts w:ascii="宋体" w:eastAsia="宋体"/>
        <w:sz w:val="28"/>
        <w:szCs w:val="28"/>
      </w:rPr>
      <w:fldChar w:fldCharType="end"/>
    </w:r>
  </w:p>
  <w:p>
    <w:pPr>
      <w:pStyle w:val="16"/>
      <w:tabs>
        <w:tab w:val="center" w:pos="4153"/>
        <w:tab w:val="right" w:pos="8306"/>
      </w:tabs>
    </w:pPr>
  </w:p>
</w:ftr>
</file>

<file path=word/footer2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p>
    <w:pPr>
      <w:pStyle w:val="16"/>
      <w:tabs>
        <w:tab w:val="center" w:pos="4153"/>
        <w:tab w:val="right" w:pos="8306"/>
      </w:tabs>
      <w:jc w:val="right"/>
    </w:pPr>
  </w:p>
  <w:p>
    <w:pPr>
      <w:pStyle w:val="16"/>
      <w:tabs>
        <w:tab w:val="center" w:pos="4153"/>
        <w:tab w:val="right" w:pos="8306"/>
      </w:tabs>
      <w:ind w:right="720"/>
    </w:pPr>
    <w:r>
      <w:rPr>
        <w:rFonts w:ascii="宋体" w:eastAsia="宋体"/>
        <w:sz w:val="28"/>
        <w:szCs w:val="28"/>
      </w:rPr>
      <w:fldChar w:fldCharType="begin"/>
    </w:r>
    <w:r>
      <w:rPr>
        <w:rFonts w:ascii="宋体" w:eastAsia="宋体"/>
        <w:sz w:val="28"/>
        <w:szCs w:val="28"/>
      </w:rPr>
      <w:instrText xml:space="preserve"> PAGE   \* MERGEFORMAT </w:instrText>
    </w:r>
    <w:r>
      <w:rPr>
        <w:rFonts w:ascii="宋体" w:eastAsia="宋体"/>
        <w:sz w:val="28"/>
        <w:szCs w:val="28"/>
      </w:rPr>
      <w:fldChar w:fldCharType="separate"/>
    </w:r>
    <w:r>
      <w:rPr>
        <w:rFonts w:ascii="宋体" w:eastAsia="宋体"/>
        <w:sz w:val="28"/>
        <w:szCs w:val="28"/>
      </w:rPr>
      <w:t>- 10 -</w:t>
    </w:r>
    <w:r>
      <w:rPr>
        <w:rFonts w:ascii="宋体" w:eastAsia="宋体"/>
        <w:sz w:val="28"/>
        <w:szCs w:val="28"/>
      </w:rPr>
      <w:fldChar w:fldCharType="end"/>
    </w:r>
  </w:p>
</w:ftr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1"/>
  <w:noPunctuationKerning/>
  <w:characterSpacingControl w:val="compressPunctuation"/>
  <w:compat>
    <w:spaceForUL/>
    <w:balanceSingleByteDoubleByteWidth/>
    <w:ulTrailSpace/>
    <w:doNotExpandShiftReturn/>
    <w:adjustLineHeightInTable/>
    <w:growAutofit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Arial" w:hAnsi="Calibri"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widowControl/>
      <w:spacing w:before="480" w:line="276" w:lineRule="auto"/>
      <w:contextualSpacing/>
      <w:jc w:val="left"/>
      <w:outlineLvl w:val="0"/>
    </w:pPr>
    <w:rPr>
      <w:rFonts w:ascii="Cambria" w:eastAsia="宋体" w:cs="Times New Roman" w:hAnsi="Cambria"/>
      <w:b/>
      <w:bCs/>
      <w:kern w:val="0"/>
      <w:sz w:val="28"/>
      <w:szCs w:val="28"/>
    </w:rPr>
  </w:style>
  <w:style w:type="character" w:default="1" w:styleId="10">
    <w:name w:val="Default Paragraph Font"/>
  </w:style>
  <w:style w:type="paragraph" w:styleId="15">
    <w:name w:val="Balloon Text"/>
    <w:basedOn w:val="0"/>
    <w:rPr>
      <w:sz w:val="18"/>
      <w:szCs w:val="18"/>
    </w:rPr>
  </w:style>
  <w:style w:type="paragraph" w:styleId="16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cs="Times New Roman" w:hAnsi="Times New Roman"/>
      <w:sz w:val="18"/>
      <w:szCs w:val="18"/>
    </w:rPr>
  </w:style>
  <w:style w:type="paragraph" w:styleId="17">
    <w:name w:val="header"/>
    <w:basedOn w:val="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8">
    <w:name w:val="表文"/>
    <w:basedOn w:val="0"/>
    <w:pPr>
      <w:autoSpaceDE w:val="0"/>
      <w:autoSpaceDN w:val="0"/>
      <w:adjustRightInd w:val="0"/>
      <w:snapToGrid w:val="0"/>
      <w:spacing w:line="240" w:lineRule="auto"/>
      <w:jc w:val="center"/>
      <w:textAlignment w:val="baseline"/>
    </w:pPr>
    <w:rPr>
      <w:kern w:val="0"/>
      <w:sz w:val="21"/>
      <w:szCs w:val="20"/>
    </w:rPr>
  </w:style>
  <w:style w:type="paragraph" w:customStyle="1" w:styleId="19">
    <w:name w:val="样式 表格文字 + 宋体"/>
    <w:basedOn w:val="0"/>
    <w:pPr>
      <w:widowControl/>
      <w:tabs>
        <w:tab w:val="left" w:pos="-24"/>
      </w:tabs>
      <w:spacing w:line="0" w:lineRule="atLeast"/>
      <w:jc w:val="center"/>
      <w:textAlignment w:val="baseline"/>
    </w:pPr>
    <w:rPr>
      <w:rFonts w:ascii="宋体" w:eastAsia="宋体" w:cs="Times New Roman"/>
      <w:color w:val="000000"/>
      <w:kern w:val="0"/>
      <w:szCs w:val="20"/>
      <w:u w:color="000000"/>
    </w:rPr>
  </w:style>
  <w:style w:type="paragraph" w:customStyle="1" w:styleId="20">
    <w:name w:val="WJ表中文字"/>
    <w:basedOn w:val="0"/>
    <w:pPr>
      <w:spacing w:line="300" w:lineRule="exact"/>
      <w:jc w:val="center"/>
    </w:pPr>
    <w:rPr>
      <w:rFonts w:ascii="Times New Roman" w:eastAsia="仿宋_GB2312" w:cs="Times New Roman" w:hAnsi="Times New Roman"/>
      <w:kern w:val="10"/>
      <w:szCs w:val="24"/>
    </w:rPr>
  </w:style>
  <w:style w:type="paragraph" w:customStyle="1" w:styleId="21">
    <w:name w:val="WJ表头"/>
    <w:basedOn w:val="0"/>
    <w:pPr>
      <w:spacing w:line="440" w:lineRule="exact"/>
      <w:jc w:val="center"/>
    </w:pPr>
    <w:rPr>
      <w:rFonts w:ascii="Times New Roman" w:eastAsia="仿宋_GB2312" w:cs="Times New Roman" w:hAnsi="Times New Roman"/>
      <w:b/>
      <w:sz w:val="24"/>
      <w:szCs w:val="24"/>
    </w:rPr>
  </w:style>
  <w:style w:type="paragraph" w:customStyle="1" w:styleId="22">
    <w:name w:val="List Paragraph"/>
    <w:basedOn w:val="0"/>
    <w:pPr>
      <w:ind w:firstLineChars="200" w:firstLine="200"/>
    </w:pPr>
  </w:style>
  <w:style w:type="paragraph" w:customStyle="1" w:styleId="23">
    <w:name w:val="样式 宋体 五号 蓝色 居中 行距: 单倍行距"/>
    <w:basedOn w:val="0"/>
    <w:pPr>
      <w:jc w:val="center"/>
    </w:pPr>
    <w:rPr>
      <w:rFonts w:ascii="宋体" w:cs="宋体"/>
      <w:color w:val="0000FF"/>
      <w:szCs w:val="20"/>
    </w:rPr>
  </w:style>
  <w:style w:type="paragraph" w:customStyle="1" w:styleId="24">
    <w:name w:val="样式 样式 宋体 五号 蓝色 居中 行距: 单倍行距 + Times New Roman 自动设置"/>
    <w:basedOn w:val="23"/>
  </w:style>
  <w:style w:type="paragraph" w:customStyle="1" w:styleId="25">
    <w:name w:val="样式 样式 样式 宋体 五号 蓝色 居中 行距: 单倍行距 + Times New Roman 自动设置 + 蓝色"/>
    <w:basedOn w:val="24"/>
  </w:style>
  <w:style w:type="paragraph" w:customStyle="1" w:styleId="26">
    <w:name w:val="xns表格"/>
    <w:basedOn w:val="25"/>
    <w:rPr>
      <w:color w:val="FF00FF"/>
      <w:szCs w:val="24"/>
    </w:rPr>
  </w:style>
  <w:style w:type="paragraph" w:customStyle="1" w:styleId="27">
    <w:name w:val="样式 xns表格 + 行距: 最小值 0 磅"/>
    <w:basedOn w:val="26"/>
    <w:pPr>
      <w:spacing w:line="0" w:lineRule="atLeast"/>
    </w:pPr>
    <w:rPr>
      <w:rFonts w:eastAsia="宋体"/>
    </w:rPr>
  </w:style>
  <w:style w:type="paragraph" w:customStyle="1" w:styleId="28">
    <w:name w:val="都福路表标题"/>
    <w:basedOn w:val="0"/>
    <w:next w:val="0"/>
    <w:pPr>
      <w:keepNext/>
      <w:keepLines/>
      <w:widowControl/>
      <w:spacing w:line="460" w:lineRule="exact"/>
      <w:jc w:val="center"/>
      <w:outlineLvl w:val="5"/>
    </w:pPr>
    <w:rPr>
      <w:rFonts w:ascii="宋体" w:eastAsia="宋体"/>
      <w:b/>
      <w:color w:val="0000FF"/>
      <w:sz w:val="24"/>
      <w:szCs w:val="24"/>
    </w:rPr>
  </w:style>
  <w:style w:type="paragraph" w:customStyle="1" w:styleId="29">
    <w:name w:val="正文文字110"/>
    <w:basedOn w:val="0"/>
    <w:rPr>
      <w:rFonts w:cs="宋体"/>
    </w:rPr>
  </w:style>
  <w:style w:type="paragraph" w:customStyle="1" w:styleId="30">
    <w:name w:val="表格文本"/>
    <w:basedOn w:val="29"/>
    <w:pPr>
      <w:adjustRightInd w:val="0"/>
      <w:snapToGrid w:val="0"/>
      <w:jc w:val="center"/>
    </w:pPr>
    <w:rPr>
      <w:rFonts w:ascii="Times New Roman" w:eastAsia="宋体" w:cs="Times New Roman" w:hAnsi="Times New Roman"/>
      <w:color w:val="000000"/>
      <w:kern w:val="0"/>
      <w:szCs w:val="21"/>
    </w:rPr>
  </w:style>
  <w:style w:type="paragraph" w:customStyle="1" w:styleId="31">
    <w:name w:val="表题"/>
    <w:pPr>
      <w:keepNext/>
      <w:keepLines/>
      <w:spacing w:line="460" w:lineRule="exact"/>
      <w:jc w:val="center"/>
    </w:pPr>
    <w:rPr>
      <w:rFonts w:ascii="Times New Roman" w:eastAsia="仿宋" w:cs="Times New Roman" w:hAnsi="Times New Roman"/>
      <w:b/>
      <w:sz w:val="24"/>
      <w:lang w:val="en-US" w:eastAsia="zh-CN" w:bidi="ar-SA"/>
    </w:rPr>
  </w:style>
  <w:style w:type="paragraph" w:customStyle="1" w:styleId="32">
    <w:name w:val="表格内容"/>
    <w:basedOn w:val="0"/>
    <w:pPr>
      <w:jc w:val="center"/>
    </w:pPr>
    <w:rPr>
      <w:rFonts w:ascii="宋体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image" Target="media/2.jpeg"/><Relationship Id="rId5" Type="http://schemas.openxmlformats.org/officeDocument/2006/relationships/image" Target="media/5.jpeg"/><Relationship Id="rId6" Type="http://schemas.openxmlformats.org/officeDocument/2006/relationships/image" Target="media/8.jpeg"/><Relationship Id="rId7" Type="http://schemas.openxmlformats.org/officeDocument/2006/relationships/image" Target="media/11.jpeg"/><Relationship Id="rId8" Type="http://schemas.openxmlformats.org/officeDocument/2006/relationships/image" Target="media/14.jpeg"/><Relationship Id="rId9" Type="http://schemas.openxmlformats.org/officeDocument/2006/relationships/styles" Target="styles.xml"/><Relationship Id="rId10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3</TotalTime>
  <Application>Yozo_Office</Application>
  <Pages>7</Pages>
  <Words>1075</Words>
  <Characters>1464</Characters>
  <Lines>221</Lines>
  <Paragraphs>165</Paragraphs>
  <CharactersWithSpaces>1467</CharactersWithSpaces>
  <Company>ITianKong.Com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SkyUser</dc:creator>
  <cp:lastModifiedBy>ft</cp:lastModifiedBy>
  <cp:revision>4</cp:revision>
  <cp:lastPrinted>2022-01-25T07:01:00Z</cp:lastPrinted>
  <dcterms:created xsi:type="dcterms:W3CDTF">2020-09-10T01:07:00Z</dcterms:created>
  <dcterms:modified xsi:type="dcterms:W3CDTF">2023-01-19T04:41:37Z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2052-11.1.0.11294</vt:lpwstr>
  </property>
  <property fmtid="{D5CDD505-2E9C-101B-9397-08002B2CF9AE}" pid="3" name="ICV">
    <vt:lpwstr>DC5F7369282B4E74BA95C4E861E11A26</vt:lpwstr>
  </property>
  <property fmtid="{D5CDD505-2E9C-101B-9397-08002B2CF9AE}" pid="4" name="KSOSaveFontToCloudKey">
    <vt:lpwstr>499768886_btnclosed</vt:lpwstr>
  </property>
</Properties>
</file>