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附件1</w:t>
      </w:r>
      <w:bookmarkStart w:id="0" w:name="_GoBack"/>
    </w:p>
    <w:p>
      <w:pPr>
        <w:autoSpaceDE w:val="0"/>
        <w:autoSpaceDN w:val="0"/>
        <w:snapToGrid w:val="0"/>
        <w:spacing w:line="240" w:lineRule="exact"/>
        <w:ind w:firstLine="482" w:firstLineChars="200"/>
        <w:jc w:val="center"/>
        <w:rPr>
          <w:rFonts w:ascii="Times New Roman" w:hAnsi="Times New Roman" w:eastAsia="仿宋"/>
          <w:szCs w:val="21"/>
        </w:rPr>
      </w:pPr>
      <w:r>
        <w:rPr>
          <w:rFonts w:hint="eastAsia" w:ascii="Times New Roman" w:hAnsi="Times New Roman" w:eastAsia="仿宋"/>
          <w:b/>
          <w:sz w:val="24"/>
        </w:rPr>
        <w:t>江北区洋炮局1862项目</w:t>
      </w:r>
      <w:r>
        <w:rPr>
          <w:rFonts w:ascii="Times New Roman" w:hAnsi="Times New Roman" w:eastAsia="仿宋"/>
          <w:b/>
          <w:sz w:val="24"/>
        </w:rPr>
        <w:t>水土保持方案特性表</w:t>
      </w:r>
    </w:p>
    <w:bookmarkEnd w:id="0"/>
    <w:tbl>
      <w:tblPr>
        <w:tblStyle w:val="6"/>
        <w:tblW w:w="101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714"/>
        <w:gridCol w:w="217"/>
        <w:gridCol w:w="281"/>
        <w:gridCol w:w="936"/>
        <w:gridCol w:w="503"/>
        <w:gridCol w:w="1364"/>
        <w:gridCol w:w="271"/>
        <w:gridCol w:w="154"/>
        <w:gridCol w:w="1004"/>
        <w:gridCol w:w="287"/>
        <w:gridCol w:w="424"/>
        <w:gridCol w:w="546"/>
        <w:gridCol w:w="311"/>
        <w:gridCol w:w="292"/>
        <w:gridCol w:w="850"/>
        <w:gridCol w:w="1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项目名称</w:t>
            </w:r>
          </w:p>
        </w:tc>
        <w:tc>
          <w:tcPr>
            <w:tcW w:w="3301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江北区洋炮局1862项目</w:t>
            </w:r>
          </w:p>
        </w:tc>
        <w:tc>
          <w:tcPr>
            <w:tcW w:w="2997" w:type="dxa"/>
            <w:gridSpan w:val="7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流域管理机构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涉及省（市、区）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重庆市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涉及地市或个数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/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涉及县或个数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江北区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项目规模</w:t>
            </w:r>
          </w:p>
        </w:tc>
        <w:tc>
          <w:tcPr>
            <w:tcW w:w="3301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本项目建设内容包括保护修缮文保建筑、维修改善传统风貌建筑、更新改造现状其他保留建筑及新建建筑。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总投资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（万元）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50000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土建投资（万元）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33500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动工时间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pacing w:val="-20"/>
                <w:szCs w:val="21"/>
              </w:rPr>
            </w:pPr>
            <w:r>
              <w:rPr>
                <w:rFonts w:ascii="Times New Roman" w:hAnsi="Times New Roman" w:eastAsia="仿宋"/>
                <w:spacing w:val="-20"/>
                <w:szCs w:val="21"/>
                <w:u w:val="none" w:color="00B050"/>
              </w:rPr>
              <w:t>2022年1月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完工时间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  <w:u w:val="none" w:color="00B050"/>
              </w:rPr>
              <w:t>2</w:t>
            </w:r>
            <w:r>
              <w:rPr>
                <w:rFonts w:ascii="Times New Roman" w:hAnsi="Times New Roman" w:eastAsia="仿宋"/>
                <w:spacing w:val="-20"/>
                <w:szCs w:val="21"/>
                <w:u w:val="none" w:color="00B050"/>
              </w:rPr>
              <w:t>024年12月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设计水平年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2024年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工程占地（hm</w:t>
            </w:r>
            <w:r>
              <w:rPr>
                <w:rFonts w:ascii="Times New Roman" w:hAnsi="Times New Roman" w:eastAsia="仿宋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）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15.77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永久占地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（hm</w:t>
            </w:r>
            <w:r>
              <w:rPr>
                <w:rFonts w:ascii="Times New Roman" w:hAnsi="Times New Roman" w:eastAsia="仿宋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）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临时占地（hm</w:t>
            </w:r>
            <w:r>
              <w:rPr>
                <w:rFonts w:ascii="Times New Roman" w:hAnsi="Times New Roman" w:eastAsia="仿宋"/>
                <w:kern w:val="0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）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15.77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土石方量（万m</w:t>
            </w:r>
            <w:r>
              <w:rPr>
                <w:rFonts w:ascii="Times New Roman" w:hAnsi="Times New Roman" w:eastAsia="仿宋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挖方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填方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借方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建设防治区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1.52</w:t>
            </w: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1.52</w:t>
            </w:r>
          </w:p>
        </w:tc>
        <w:tc>
          <w:tcPr>
            <w:tcW w:w="1568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/</w:t>
            </w: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重点防治区名称</w:t>
            </w:r>
          </w:p>
        </w:tc>
        <w:tc>
          <w:tcPr>
            <w:tcW w:w="7174" w:type="dxa"/>
            <w:gridSpan w:val="12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地貌类型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剥蚀丘陵地貌</w:t>
            </w:r>
          </w:p>
        </w:tc>
        <w:tc>
          <w:tcPr>
            <w:tcW w:w="226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水土保持区划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土壤侵蚀类型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水力侵蚀</w:t>
            </w:r>
          </w:p>
        </w:tc>
        <w:tc>
          <w:tcPr>
            <w:tcW w:w="226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土壤侵蚀强度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防治责任范围面积（hm</w:t>
            </w:r>
            <w:r>
              <w:rPr>
                <w:rFonts w:ascii="Times New Roman" w:hAnsi="Times New Roman" w:eastAsia="仿宋"/>
                <w:szCs w:val="21"/>
                <w:vertAlign w:val="superscript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）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15.77</w:t>
            </w:r>
          </w:p>
        </w:tc>
        <w:tc>
          <w:tcPr>
            <w:tcW w:w="226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容许土壤流失量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〔t/（km</w:t>
            </w:r>
            <w:r>
              <w:rPr>
                <w:rFonts w:hint="eastAsia" w:ascii="Times New Roman" w:hAnsi="Times New Roman" w:eastAsia="仿宋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仿宋"/>
                <w:szCs w:val="21"/>
              </w:rPr>
              <w:t>·a）〕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水土流失预测总量（t）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1079</w:t>
            </w:r>
          </w:p>
        </w:tc>
        <w:tc>
          <w:tcPr>
            <w:tcW w:w="226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新增水土流失量（t）</w:t>
            </w:r>
          </w:p>
        </w:tc>
        <w:tc>
          <w:tcPr>
            <w:tcW w:w="262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水土流失防治标准执行等级</w:t>
            </w:r>
          </w:p>
        </w:tc>
        <w:tc>
          <w:tcPr>
            <w:tcW w:w="7174" w:type="dxa"/>
            <w:gridSpan w:val="1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西南紫色土区</w:t>
            </w:r>
            <w:r>
              <w:rPr>
                <w:rFonts w:hint="eastAsia" w:ascii="Times New Roman" w:hAnsi="Times New Roman" w:eastAsia="仿宋"/>
                <w:kern w:val="0"/>
                <w:szCs w:val="21"/>
              </w:rPr>
              <w:t>建设类一级防治标准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防治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指标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水土流失治理度(%)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97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土壤流失控制比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渣土挡护率(%)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94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表土保护率(%)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林草植被恢复率(%)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97</w:t>
            </w:r>
          </w:p>
        </w:tc>
        <w:tc>
          <w:tcPr>
            <w:tcW w:w="2140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林草覆盖率(%)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防治措施及工程量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分区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单元</w:t>
            </w: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工程措施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植物措施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项目</w:t>
            </w:r>
            <w:r>
              <w:rPr>
                <w:rFonts w:ascii="Times New Roman" w:hAnsi="Times New Roman" w:eastAsia="仿宋"/>
                <w:szCs w:val="21"/>
              </w:rPr>
              <w:t>建设防治区</w:t>
            </w: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主体设计：雨水管网310m</w:t>
            </w:r>
          </w:p>
          <w:p>
            <w:pPr>
              <w:snapToGrid w:val="0"/>
              <w:spacing w:line="200" w:lineRule="exact"/>
              <w:jc w:val="left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方案新增：无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 w:eastAsia="仿宋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Cs w:val="21"/>
              </w:rPr>
              <w:t>主体设计：景观绿化46396m</w:t>
            </w:r>
            <w:r>
              <w:rPr>
                <w:rFonts w:hint="eastAsia" w:ascii="Times New Roman" w:hAnsi="Times New Roman" w:eastAsia="仿宋"/>
                <w:bCs/>
                <w:szCs w:val="21"/>
                <w:vertAlign w:val="superscript"/>
              </w:rPr>
              <w:t>2</w:t>
            </w:r>
          </w:p>
          <w:p>
            <w:pPr>
              <w:spacing w:line="2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方案新增：无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主体设计：</w:t>
            </w:r>
            <w:r>
              <w:rPr>
                <w:rFonts w:ascii="Times New Roman" w:hAnsi="Times New Roman" w:eastAsia="仿宋"/>
                <w:szCs w:val="21"/>
              </w:rPr>
              <w:t>无</w:t>
            </w:r>
          </w:p>
          <w:p>
            <w:pPr>
              <w:spacing w:line="20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Cs/>
                <w:szCs w:val="21"/>
              </w:rPr>
              <w:t>方案新增：</w:t>
            </w:r>
            <w:r>
              <w:rPr>
                <w:rFonts w:hint="eastAsia" w:ascii="Times New Roman" w:hAnsi="Times New Roman" w:eastAsia="仿宋"/>
                <w:bCs/>
                <w:szCs w:val="21"/>
              </w:rPr>
              <w:t>方案新增：临时排水沟80m，临时沉沙池1座，临时拦挡75m，防雨布覆盖2000m</w:t>
            </w:r>
            <w:r>
              <w:rPr>
                <w:rFonts w:hint="eastAsia" w:ascii="Times New Roman" w:hAnsi="Times New Roman" w:eastAsia="仿宋"/>
                <w:bCs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widowControl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投资（万元）</w:t>
            </w:r>
          </w:p>
        </w:tc>
        <w:tc>
          <w:tcPr>
            <w:tcW w:w="2138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主体设计：6.94</w:t>
            </w:r>
          </w:p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  <w:lang w:val="zh-CN"/>
              </w:rPr>
              <w:t>方案新增：</w:t>
            </w:r>
            <w:r>
              <w:rPr>
                <w:rFonts w:ascii="Times New Roman" w:hAnsi="Times New Roman" w:eastAsia="仿宋"/>
                <w:szCs w:val="21"/>
              </w:rPr>
              <w:t>0</w:t>
            </w:r>
          </w:p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合    计：6.94</w:t>
            </w:r>
          </w:p>
        </w:tc>
        <w:tc>
          <w:tcPr>
            <w:tcW w:w="1869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主体设计：371.17</w:t>
            </w:r>
          </w:p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  <w:lang w:val="zh-CN"/>
              </w:rPr>
              <w:t>方案新增：</w:t>
            </w:r>
            <w:r>
              <w:rPr>
                <w:rFonts w:ascii="Times New Roman" w:hAnsi="Times New Roman" w:eastAsia="仿宋"/>
                <w:szCs w:val="21"/>
              </w:rPr>
              <w:t>0</w:t>
            </w:r>
          </w:p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合    计：371.17</w:t>
            </w:r>
          </w:p>
        </w:tc>
        <w:tc>
          <w:tcPr>
            <w:tcW w:w="316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主体设计：0</w:t>
            </w:r>
          </w:p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szCs w:val="21"/>
                <w:lang w:val="zh-CN"/>
              </w:rPr>
              <w:t>方案新增：</w:t>
            </w:r>
            <w:r>
              <w:rPr>
                <w:rFonts w:ascii="Times New Roman" w:hAnsi="Times New Roman" w:eastAsia="仿宋"/>
                <w:szCs w:val="21"/>
              </w:rPr>
              <w:t>3.15</w:t>
            </w:r>
          </w:p>
          <w:p>
            <w:pPr>
              <w:snapToGrid w:val="0"/>
              <w:spacing w:line="220" w:lineRule="exact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合    计：3.15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水土保持总投资（万元）</w:t>
            </w:r>
          </w:p>
        </w:tc>
        <w:tc>
          <w:tcPr>
            <w:tcW w:w="3583" w:type="dxa"/>
            <w:gridSpan w:val="6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hint="eastAsia"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428.66</w:t>
            </w:r>
          </w:p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（</w:t>
            </w:r>
            <w:r>
              <w:rPr>
                <w:rFonts w:ascii="Times New Roman" w:hAnsi="Times New Roman" w:eastAsia="仿宋"/>
                <w:szCs w:val="21"/>
                <w:lang w:val="zh-CN"/>
              </w:rPr>
              <w:t>主体已列</w:t>
            </w:r>
            <w:r>
              <w:rPr>
                <w:rFonts w:ascii="Times New Roman" w:hAnsi="Times New Roman" w:eastAsia="仿宋"/>
                <w:szCs w:val="21"/>
              </w:rPr>
              <w:t>378.11，</w:t>
            </w:r>
            <w:r>
              <w:rPr>
                <w:rFonts w:ascii="Times New Roman" w:hAnsi="Times New Roman" w:eastAsia="仿宋"/>
                <w:szCs w:val="21"/>
                <w:lang w:val="zh-CN"/>
              </w:rPr>
              <w:t>方案新增</w:t>
            </w:r>
            <w:r>
              <w:rPr>
                <w:rFonts w:ascii="Times New Roman" w:hAnsi="Times New Roman" w:eastAsia="仿宋"/>
                <w:szCs w:val="21"/>
              </w:rPr>
              <w:t>50.55）</w:t>
            </w: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独立费（万元）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10.82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27" w:type="dxa"/>
            <w:gridSpan w:val="5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监理费(万元)</w:t>
            </w:r>
          </w:p>
        </w:tc>
        <w:tc>
          <w:tcPr>
            <w:tcW w:w="503" w:type="dxa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</w:t>
            </w: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监测费（万元）</w:t>
            </w:r>
          </w:p>
        </w:tc>
        <w:tc>
          <w:tcPr>
            <w:tcW w:w="1445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12.89</w:t>
            </w: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补偿费（万元）</w:t>
            </w:r>
          </w:p>
        </w:tc>
        <w:tc>
          <w:tcPr>
            <w:tcW w:w="201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22.08（220794元）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4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方案编制单位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重庆泽润水利工程咨询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有限公司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建设单位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重庆壹捌陆贰商业管理有限公司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法定代表人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张国佐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法定代表人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霍东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地址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重庆市南岸区学府大道58号</w:t>
            </w:r>
          </w:p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互信星座14-6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地址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重庆市江北区大石坝街道大石坝二村1-007-1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邮编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400074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邮编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400021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联系人及电话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秦勇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/17782354077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联系人及电话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kern w:val="0"/>
                <w:szCs w:val="21"/>
              </w:rPr>
              <w:t>杨</w:t>
            </w:r>
            <w:r>
              <w:rPr>
                <w:rFonts w:hint="eastAsia" w:ascii="Times New Roman" w:hAnsi="Times New Roman" w:eastAsia="仿宋"/>
                <w:kern w:val="0"/>
                <w:szCs w:val="21"/>
                <w:lang w:val="en-US" w:eastAsia="zh-CN"/>
              </w:rPr>
              <w:t>蕾</w:t>
            </w:r>
            <w:r>
              <w:rPr>
                <w:rFonts w:ascii="Times New Roman" w:hAnsi="Times New Roman" w:eastAsia="仿宋"/>
                <w:kern w:val="0"/>
                <w:szCs w:val="21"/>
              </w:rPr>
              <w:t>/17754970527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传真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----------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传真</w:t>
            </w:r>
          </w:p>
        </w:tc>
        <w:tc>
          <w:tcPr>
            <w:tcW w:w="3591" w:type="dxa"/>
            <w:gridSpan w:val="6"/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仿宋"/>
                <w:szCs w:val="21"/>
              </w:rPr>
              <w:t>----------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电子信箱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544651698@qq.com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 w:eastAsia="仿宋"/>
                <w:kern w:val="0"/>
                <w:szCs w:val="21"/>
              </w:rPr>
            </w:pPr>
            <w:r>
              <w:rPr>
                <w:rFonts w:ascii="Times New Roman" w:hAnsi="Times New Roman" w:eastAsia="仿宋"/>
                <w:kern w:val="0"/>
                <w:szCs w:val="21"/>
              </w:rPr>
              <w:t>电子信箱</w:t>
            </w:r>
          </w:p>
        </w:tc>
        <w:tc>
          <w:tcPr>
            <w:tcW w:w="3591" w:type="dxa"/>
            <w:gridSpan w:val="6"/>
            <w:noWrap w:val="0"/>
            <w:vAlign w:val="top"/>
          </w:tcPr>
          <w:p>
            <w:pPr>
              <w:jc w:val="center"/>
            </w:pPr>
            <w:r>
              <w:rPr>
                <w:rFonts w:ascii="Times New Roman" w:hAnsi="Times New Roman" w:eastAsia="仿宋"/>
                <w:szCs w:val="21"/>
              </w:rPr>
              <w:t>----------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mZDA2YjViOWU0MzQyNzZhZjEzNWEzMmQ2ZGE2OWQifQ=="/>
  </w:docVars>
  <w:rsids>
    <w:rsidRoot w:val="00000000"/>
    <w:rsid w:val="61A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spacing w:line="520" w:lineRule="exact"/>
      <w:outlineLvl w:val="2"/>
    </w:pPr>
    <w:rPr>
      <w:b/>
      <w:sz w:val="28"/>
    </w:rPr>
  </w:style>
  <w:style w:type="paragraph" w:styleId="3">
    <w:name w:val="heading 4"/>
    <w:basedOn w:val="1"/>
    <w:next w:val="4"/>
    <w:qFormat/>
    <w:uiPriority w:val="0"/>
    <w:pPr>
      <w:keepNext/>
      <w:keepLines/>
      <w:spacing w:line="520" w:lineRule="exact"/>
      <w:outlineLvl w:val="3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uiPriority w:val="0"/>
    <w:pPr>
      <w:spacing w:after="12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2023-06-09T01:40:43Z</dcterms:created>
  <dc:creator>hp-pc</dc:creator>
  <cp:lastModifiedBy>Victor。</cp:lastModifiedBy>
  <dcterms:modified xsi:type="dcterms:W3CDTF">2023-06-09T01:41:01Z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5C33CE83F5A64FD39D854091161FC016</vt:lpwstr>
  </property>
</Properties>
</file>