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方正黑体_GBK" w:hAnsi="宋体" w:eastAsia="方正黑体_GBK" w:cs="宋体"/>
          <w:bCs/>
          <w:sz w:val="32"/>
          <w:szCs w:val="32"/>
        </w:rPr>
      </w:pPr>
      <w:r>
        <w:rPr>
          <w:rFonts w:hint="eastAsia" w:ascii="方正黑体_GBK" w:hAnsi="宋体" w:eastAsia="方正黑体_GBK" w:cs="宋体"/>
          <w:bCs/>
          <w:sz w:val="32"/>
          <w:szCs w:val="32"/>
        </w:rPr>
        <w:t>附件1</w:t>
      </w:r>
    </w:p>
    <w:p>
      <w:pPr>
        <w:keepNext w:val="0"/>
        <w:keepLines w:val="0"/>
        <w:pageBreakBefore w:val="0"/>
        <w:widowControl w:val="0"/>
        <w:kinsoku/>
        <w:wordWrap/>
        <w:overflowPunct/>
        <w:topLinePunct w:val="0"/>
        <w:autoSpaceDE w:val="0"/>
        <w:autoSpaceDN w:val="0"/>
        <w:bidi w:val="0"/>
        <w:adjustRightInd/>
        <w:snapToGrid w:val="0"/>
        <w:spacing w:line="240" w:lineRule="exact"/>
        <w:ind w:firstLine="482" w:firstLineChars="200"/>
        <w:jc w:val="center"/>
        <w:textAlignment w:val="auto"/>
        <w:rPr>
          <w:rFonts w:ascii="仿宋" w:hAnsi="仿宋" w:eastAsia="仿宋"/>
          <w:b/>
          <w:color w:val="auto"/>
          <w:sz w:val="24"/>
        </w:rPr>
      </w:pPr>
      <w:r>
        <w:rPr>
          <w:rFonts w:hint="eastAsia" w:ascii="仿宋" w:hAnsi="仿宋" w:eastAsia="仿宋"/>
          <w:b/>
          <w:color w:val="auto"/>
          <w:sz w:val="24"/>
          <w:lang w:eastAsia="zh-CN"/>
        </w:rPr>
        <w:t>嘉溢华片区二支路</w:t>
      </w:r>
      <w:r>
        <w:rPr>
          <w:rFonts w:ascii="仿宋" w:hAnsi="仿宋" w:eastAsia="仿宋"/>
          <w:b/>
          <w:color w:val="auto"/>
          <w:sz w:val="24"/>
        </w:rPr>
        <w:t>水土保持方案特性表</w:t>
      </w:r>
    </w:p>
    <w:tbl>
      <w:tblPr>
        <w:tblStyle w:val="6"/>
        <w:tblW w:w="95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6"/>
        <w:gridCol w:w="552"/>
        <w:gridCol w:w="261"/>
        <w:gridCol w:w="957"/>
        <w:gridCol w:w="1911"/>
        <w:gridCol w:w="1508"/>
        <w:gridCol w:w="673"/>
        <w:gridCol w:w="882"/>
        <w:gridCol w:w="753"/>
        <w:gridCol w:w="147"/>
        <w:gridCol w:w="9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3" w:hRule="atLeast"/>
        </w:trPr>
        <w:tc>
          <w:tcPr>
            <w:tcW w:w="1478" w:type="dxa"/>
            <w:gridSpan w:val="2"/>
            <w:vAlign w:val="center"/>
          </w:tcPr>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项目名称</w:t>
            </w:r>
          </w:p>
        </w:tc>
        <w:tc>
          <w:tcPr>
            <w:tcW w:w="312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eastAsia="zh-CN"/>
              </w:rPr>
            </w:pPr>
            <w:r>
              <w:rPr>
                <w:rFonts w:hint="default" w:ascii="Times New Roman" w:hAnsi="Times New Roman" w:eastAsia="仿宋" w:cs="Times New Roman"/>
                <w:color w:val="auto"/>
                <w:kern w:val="0"/>
                <w:sz w:val="18"/>
                <w:szCs w:val="18"/>
                <w:lang w:eastAsia="zh-CN"/>
              </w:rPr>
              <w:t>嘉溢华片区二支路</w:t>
            </w:r>
          </w:p>
        </w:tc>
        <w:tc>
          <w:tcPr>
            <w:tcW w:w="3063"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流域管理机构</w:t>
            </w:r>
          </w:p>
        </w:tc>
        <w:tc>
          <w:tcPr>
            <w:tcW w:w="184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长江水利委员会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6" w:hRule="atLeast"/>
        </w:trPr>
        <w:tc>
          <w:tcPr>
            <w:tcW w:w="1478"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涉及省市</w:t>
            </w:r>
          </w:p>
        </w:tc>
        <w:tc>
          <w:tcPr>
            <w:tcW w:w="312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重庆市</w:t>
            </w:r>
          </w:p>
        </w:tc>
        <w:tc>
          <w:tcPr>
            <w:tcW w:w="3063"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涉及区县</w:t>
            </w:r>
          </w:p>
        </w:tc>
        <w:tc>
          <w:tcPr>
            <w:tcW w:w="184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eastAsia="zh-CN"/>
              </w:rPr>
            </w:pPr>
            <w:r>
              <w:rPr>
                <w:rFonts w:hint="default" w:ascii="Times New Roman" w:hAnsi="Times New Roman" w:eastAsia="仿宋" w:cs="Times New Roman"/>
                <w:color w:val="auto"/>
                <w:kern w:val="0"/>
                <w:sz w:val="18"/>
                <w:szCs w:val="18"/>
                <w:lang w:eastAsia="zh-CN"/>
              </w:rPr>
              <w:t>江北区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5" w:hRule="atLeast"/>
        </w:trPr>
        <w:tc>
          <w:tcPr>
            <w:tcW w:w="1478"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项目规模</w:t>
            </w:r>
          </w:p>
        </w:tc>
        <w:tc>
          <w:tcPr>
            <w:tcW w:w="312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lang w:val="en-US" w:eastAsia="zh-CN"/>
              </w:rPr>
              <w:t>道路全长257.741</w:t>
            </w:r>
            <w:r>
              <w:rPr>
                <w:rFonts w:hint="default" w:ascii="Times New Roman" w:hAnsi="Times New Roman" w:eastAsia="仿宋" w:cs="Times New Roman"/>
                <w:color w:val="auto"/>
                <w:kern w:val="0"/>
                <w:sz w:val="18"/>
                <w:szCs w:val="18"/>
              </w:rPr>
              <w:t>m</w:t>
            </w:r>
          </w:p>
        </w:tc>
        <w:tc>
          <w:tcPr>
            <w:tcW w:w="1508"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总投资</w:t>
            </w:r>
          </w:p>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(万元)</w:t>
            </w:r>
          </w:p>
        </w:tc>
        <w:tc>
          <w:tcPr>
            <w:tcW w:w="155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eastAsia="zh-CN"/>
              </w:rPr>
            </w:pPr>
            <w:r>
              <w:rPr>
                <w:rFonts w:hint="default" w:ascii="Times New Roman" w:hAnsi="Times New Roman" w:eastAsia="仿宋" w:cs="Times New Roman"/>
                <w:color w:val="auto"/>
                <w:kern w:val="0"/>
                <w:sz w:val="18"/>
                <w:szCs w:val="18"/>
                <w:lang w:eastAsia="zh-CN"/>
              </w:rPr>
              <w:t>1494.02</w:t>
            </w:r>
          </w:p>
        </w:tc>
        <w:tc>
          <w:tcPr>
            <w:tcW w:w="900"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土建投资（万元）</w:t>
            </w:r>
          </w:p>
        </w:tc>
        <w:tc>
          <w:tcPr>
            <w:tcW w:w="949"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eastAsia="zh-CN"/>
              </w:rPr>
            </w:pPr>
            <w:r>
              <w:rPr>
                <w:rFonts w:hint="default" w:ascii="Times New Roman" w:hAnsi="Times New Roman" w:eastAsia="仿宋" w:cs="Times New Roman"/>
                <w:color w:val="auto"/>
                <w:kern w:val="0"/>
                <w:sz w:val="18"/>
                <w:szCs w:val="18"/>
                <w:lang w:eastAsia="zh-CN"/>
              </w:rPr>
              <w:t>1245.59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6" w:hRule="atLeast"/>
        </w:trPr>
        <w:tc>
          <w:tcPr>
            <w:tcW w:w="1478"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开工时间</w:t>
            </w:r>
          </w:p>
        </w:tc>
        <w:tc>
          <w:tcPr>
            <w:tcW w:w="1218"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202</w:t>
            </w:r>
            <w:r>
              <w:rPr>
                <w:rFonts w:hint="default" w:ascii="Times New Roman" w:hAnsi="Times New Roman" w:eastAsia="仿宋" w:cs="Times New Roman"/>
                <w:color w:val="auto"/>
                <w:kern w:val="0"/>
                <w:sz w:val="18"/>
                <w:szCs w:val="18"/>
                <w:lang w:val="en-US" w:eastAsia="zh-CN"/>
              </w:rPr>
              <w:t>3</w:t>
            </w:r>
            <w:r>
              <w:rPr>
                <w:rFonts w:hint="default" w:ascii="Times New Roman" w:hAnsi="Times New Roman" w:eastAsia="仿宋" w:cs="Times New Roman"/>
                <w:color w:val="auto"/>
                <w:kern w:val="0"/>
                <w:sz w:val="18"/>
                <w:szCs w:val="18"/>
              </w:rPr>
              <w:t>年</w:t>
            </w:r>
            <w:r>
              <w:rPr>
                <w:rFonts w:hint="default" w:ascii="Times New Roman" w:hAnsi="Times New Roman" w:eastAsia="仿宋" w:cs="Times New Roman"/>
                <w:color w:val="auto"/>
                <w:kern w:val="0"/>
                <w:sz w:val="18"/>
                <w:szCs w:val="18"/>
                <w:lang w:val="en-US" w:eastAsia="zh-CN"/>
              </w:rPr>
              <w:t>10</w:t>
            </w:r>
            <w:r>
              <w:rPr>
                <w:rFonts w:hint="default" w:ascii="Times New Roman" w:hAnsi="Times New Roman" w:eastAsia="仿宋" w:cs="Times New Roman"/>
                <w:color w:val="auto"/>
                <w:kern w:val="0"/>
                <w:sz w:val="18"/>
                <w:szCs w:val="18"/>
              </w:rPr>
              <w:t>月</w:t>
            </w:r>
          </w:p>
        </w:tc>
        <w:tc>
          <w:tcPr>
            <w:tcW w:w="1911"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完工时间</w:t>
            </w:r>
          </w:p>
        </w:tc>
        <w:tc>
          <w:tcPr>
            <w:tcW w:w="1508"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2024年</w:t>
            </w:r>
            <w:r>
              <w:rPr>
                <w:rFonts w:hint="default" w:ascii="Times New Roman" w:hAnsi="Times New Roman" w:eastAsia="仿宋" w:cs="Times New Roman"/>
                <w:color w:val="auto"/>
                <w:kern w:val="0"/>
                <w:sz w:val="18"/>
                <w:szCs w:val="18"/>
                <w:lang w:val="en-US" w:eastAsia="zh-CN"/>
              </w:rPr>
              <w:t>9</w:t>
            </w:r>
            <w:r>
              <w:rPr>
                <w:rFonts w:hint="default" w:ascii="Times New Roman" w:hAnsi="Times New Roman" w:eastAsia="仿宋" w:cs="Times New Roman"/>
                <w:color w:val="auto"/>
                <w:kern w:val="0"/>
                <w:sz w:val="18"/>
                <w:szCs w:val="18"/>
              </w:rPr>
              <w:t>月</w:t>
            </w:r>
          </w:p>
        </w:tc>
        <w:tc>
          <w:tcPr>
            <w:tcW w:w="155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方案设计水平年</w:t>
            </w:r>
          </w:p>
        </w:tc>
        <w:tc>
          <w:tcPr>
            <w:tcW w:w="184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2024年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6" w:hRule="atLeast"/>
        </w:trPr>
        <w:tc>
          <w:tcPr>
            <w:tcW w:w="1478"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工程占地（hm²）</w:t>
            </w:r>
          </w:p>
        </w:tc>
        <w:tc>
          <w:tcPr>
            <w:tcW w:w="1218"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1.07</w:t>
            </w:r>
          </w:p>
        </w:tc>
        <w:tc>
          <w:tcPr>
            <w:tcW w:w="1911"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永久占地（hm²）</w:t>
            </w:r>
          </w:p>
        </w:tc>
        <w:tc>
          <w:tcPr>
            <w:tcW w:w="1508"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0.51</w:t>
            </w:r>
          </w:p>
        </w:tc>
        <w:tc>
          <w:tcPr>
            <w:tcW w:w="155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临时占地（hm²）</w:t>
            </w:r>
          </w:p>
        </w:tc>
        <w:tc>
          <w:tcPr>
            <w:tcW w:w="184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0.56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6" w:hRule="atLeast"/>
        </w:trPr>
        <w:tc>
          <w:tcPr>
            <w:tcW w:w="2696" w:type="dxa"/>
            <w:gridSpan w:val="4"/>
            <w:vMerge w:val="restart"/>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土石方量（万m³）</w:t>
            </w:r>
          </w:p>
        </w:tc>
        <w:tc>
          <w:tcPr>
            <w:tcW w:w="1911"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挖方</w:t>
            </w:r>
          </w:p>
        </w:tc>
        <w:tc>
          <w:tcPr>
            <w:tcW w:w="1508"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填方</w:t>
            </w:r>
          </w:p>
        </w:tc>
        <w:tc>
          <w:tcPr>
            <w:tcW w:w="155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借方</w:t>
            </w:r>
          </w:p>
        </w:tc>
        <w:tc>
          <w:tcPr>
            <w:tcW w:w="184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余（弃）方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6" w:hRule="atLeast"/>
        </w:trPr>
        <w:tc>
          <w:tcPr>
            <w:tcW w:w="2696" w:type="dxa"/>
            <w:gridSpan w:val="4"/>
            <w:vMerge w:val="continue"/>
            <w:vAlign w:val="center"/>
          </w:tcPr>
          <w:p>
            <w:pPr>
              <w:keepNext w:val="0"/>
              <w:keepLines w:val="0"/>
              <w:pageBreakBefore w:val="0"/>
              <w:widowControl/>
              <w:kinsoku/>
              <w:wordWrap/>
              <w:overflowPunct/>
              <w:topLinePunct w:val="0"/>
              <w:bidi w:val="0"/>
              <w:adjustRightInd/>
              <w:spacing w:line="240" w:lineRule="exact"/>
              <w:ind w:firstLine="0" w:firstLineChars="0"/>
              <w:jc w:val="left"/>
              <w:textAlignment w:val="auto"/>
              <w:rPr>
                <w:rFonts w:hint="default" w:ascii="Times New Roman" w:hAnsi="Times New Roman" w:eastAsia="仿宋" w:cs="Times New Roman"/>
                <w:color w:val="auto"/>
                <w:kern w:val="0"/>
                <w:sz w:val="18"/>
                <w:szCs w:val="18"/>
              </w:rPr>
            </w:pPr>
          </w:p>
        </w:tc>
        <w:tc>
          <w:tcPr>
            <w:tcW w:w="1911"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4.52</w:t>
            </w:r>
          </w:p>
        </w:tc>
        <w:tc>
          <w:tcPr>
            <w:tcW w:w="1508"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2.58</w:t>
            </w:r>
          </w:p>
        </w:tc>
        <w:tc>
          <w:tcPr>
            <w:tcW w:w="155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0</w:t>
            </w:r>
          </w:p>
        </w:tc>
        <w:tc>
          <w:tcPr>
            <w:tcW w:w="184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1.94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6" w:hRule="atLeast"/>
        </w:trPr>
        <w:tc>
          <w:tcPr>
            <w:tcW w:w="2696"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重点防治区名称</w:t>
            </w:r>
          </w:p>
        </w:tc>
        <w:tc>
          <w:tcPr>
            <w:tcW w:w="6823" w:type="dxa"/>
            <w:gridSpan w:val="7"/>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lang w:val="en-US" w:eastAsia="zh-CN"/>
              </w:rPr>
              <w:t>不涉及</w:t>
            </w:r>
            <w:r>
              <w:rPr>
                <w:rFonts w:hint="default" w:ascii="Times New Roman" w:hAnsi="Times New Roman" w:eastAsia="仿宋" w:cs="Times New Roman"/>
                <w:color w:val="auto"/>
                <w:kern w:val="0"/>
                <w:sz w:val="18"/>
                <w:szCs w:val="18"/>
              </w:rPr>
              <w:t>重庆市水土流失重点预防区</w:t>
            </w:r>
            <w:r>
              <w:rPr>
                <w:rFonts w:hint="default" w:ascii="Times New Roman" w:hAnsi="Times New Roman" w:eastAsia="仿宋" w:cs="Times New Roman"/>
                <w:color w:val="auto"/>
                <w:kern w:val="0"/>
                <w:sz w:val="18"/>
                <w:szCs w:val="18"/>
                <w:lang w:val="en-US" w:eastAsia="zh-CN"/>
              </w:rPr>
              <w:t>和重点治理区</w:t>
            </w:r>
            <w:r>
              <w:rPr>
                <w:rFonts w:hint="default" w:ascii="Times New Roman" w:hAnsi="Times New Roman" w:eastAsia="仿宋" w:cs="Times New Roman"/>
                <w:color w:val="auto"/>
                <w:kern w:val="0"/>
                <w:sz w:val="18"/>
                <w:szCs w:val="1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6" w:hRule="atLeast"/>
        </w:trPr>
        <w:tc>
          <w:tcPr>
            <w:tcW w:w="2696"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地貌类型</w:t>
            </w:r>
          </w:p>
        </w:tc>
        <w:tc>
          <w:tcPr>
            <w:tcW w:w="1911"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丘陵地貌</w:t>
            </w:r>
          </w:p>
        </w:tc>
        <w:tc>
          <w:tcPr>
            <w:tcW w:w="2181"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水土保持区划</w:t>
            </w:r>
          </w:p>
        </w:tc>
        <w:tc>
          <w:tcPr>
            <w:tcW w:w="2731"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西南紫色土区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6" w:hRule="atLeast"/>
        </w:trPr>
        <w:tc>
          <w:tcPr>
            <w:tcW w:w="2696"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土壤侵蚀类型</w:t>
            </w:r>
          </w:p>
        </w:tc>
        <w:tc>
          <w:tcPr>
            <w:tcW w:w="1911"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水力侵蚀</w:t>
            </w:r>
          </w:p>
        </w:tc>
        <w:tc>
          <w:tcPr>
            <w:tcW w:w="2181"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土壤侵蚀强度</w:t>
            </w:r>
          </w:p>
        </w:tc>
        <w:tc>
          <w:tcPr>
            <w:tcW w:w="2731"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轻度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6" w:hRule="atLeast"/>
        </w:trPr>
        <w:tc>
          <w:tcPr>
            <w:tcW w:w="2696"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防治责任范围面积(hm²)</w:t>
            </w:r>
          </w:p>
        </w:tc>
        <w:tc>
          <w:tcPr>
            <w:tcW w:w="1911"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1.07</w:t>
            </w:r>
          </w:p>
        </w:tc>
        <w:tc>
          <w:tcPr>
            <w:tcW w:w="2181"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容许土壤流失量t/(km²·a)</w:t>
            </w:r>
          </w:p>
        </w:tc>
        <w:tc>
          <w:tcPr>
            <w:tcW w:w="2731"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6" w:hRule="atLeast"/>
        </w:trPr>
        <w:tc>
          <w:tcPr>
            <w:tcW w:w="2696"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土壤流失预测总量(t)</w:t>
            </w:r>
          </w:p>
        </w:tc>
        <w:tc>
          <w:tcPr>
            <w:tcW w:w="1911"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63</w:t>
            </w:r>
          </w:p>
        </w:tc>
        <w:tc>
          <w:tcPr>
            <w:tcW w:w="2181"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新增水土流失量(t)</w:t>
            </w:r>
          </w:p>
        </w:tc>
        <w:tc>
          <w:tcPr>
            <w:tcW w:w="2731"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47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6" w:hRule="atLeast"/>
        </w:trPr>
        <w:tc>
          <w:tcPr>
            <w:tcW w:w="2696"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水土流失防治执行等级</w:t>
            </w:r>
          </w:p>
        </w:tc>
        <w:tc>
          <w:tcPr>
            <w:tcW w:w="6823" w:type="dxa"/>
            <w:gridSpan w:val="7"/>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西南紫色土区建设类项目一级标准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6" w:hRule="atLeast"/>
        </w:trPr>
        <w:tc>
          <w:tcPr>
            <w:tcW w:w="926" w:type="dxa"/>
            <w:vMerge w:val="restart"/>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防治目标</w:t>
            </w:r>
          </w:p>
        </w:tc>
        <w:tc>
          <w:tcPr>
            <w:tcW w:w="1770"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水土流失治理度(%)</w:t>
            </w:r>
          </w:p>
        </w:tc>
        <w:tc>
          <w:tcPr>
            <w:tcW w:w="1911"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97</w:t>
            </w:r>
          </w:p>
        </w:tc>
        <w:tc>
          <w:tcPr>
            <w:tcW w:w="2181"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土壤流失控制比</w:t>
            </w:r>
          </w:p>
        </w:tc>
        <w:tc>
          <w:tcPr>
            <w:tcW w:w="2731"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6" w:hRule="atLeast"/>
        </w:trPr>
        <w:tc>
          <w:tcPr>
            <w:tcW w:w="926" w:type="dxa"/>
            <w:vMerge w:val="continue"/>
            <w:vAlign w:val="center"/>
          </w:tcPr>
          <w:p>
            <w:pPr>
              <w:keepNext w:val="0"/>
              <w:keepLines w:val="0"/>
              <w:pageBreakBefore w:val="0"/>
              <w:widowControl/>
              <w:kinsoku/>
              <w:wordWrap/>
              <w:overflowPunct/>
              <w:topLinePunct w:val="0"/>
              <w:bidi w:val="0"/>
              <w:adjustRightInd/>
              <w:spacing w:line="240" w:lineRule="exact"/>
              <w:ind w:firstLine="0" w:firstLineChars="0"/>
              <w:jc w:val="left"/>
              <w:textAlignment w:val="auto"/>
              <w:rPr>
                <w:rFonts w:hint="default" w:ascii="Times New Roman" w:hAnsi="Times New Roman" w:eastAsia="仿宋" w:cs="Times New Roman"/>
                <w:color w:val="auto"/>
                <w:kern w:val="0"/>
                <w:sz w:val="18"/>
                <w:szCs w:val="18"/>
              </w:rPr>
            </w:pPr>
          </w:p>
        </w:tc>
        <w:tc>
          <w:tcPr>
            <w:tcW w:w="1770"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渣土防护率（%）</w:t>
            </w:r>
          </w:p>
        </w:tc>
        <w:tc>
          <w:tcPr>
            <w:tcW w:w="1911"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94</w:t>
            </w:r>
          </w:p>
        </w:tc>
        <w:tc>
          <w:tcPr>
            <w:tcW w:w="2181"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表土保护率(%)</w:t>
            </w:r>
          </w:p>
        </w:tc>
        <w:tc>
          <w:tcPr>
            <w:tcW w:w="2731"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6" w:hRule="atLeast"/>
        </w:trPr>
        <w:tc>
          <w:tcPr>
            <w:tcW w:w="926" w:type="dxa"/>
            <w:vMerge w:val="continue"/>
            <w:vAlign w:val="center"/>
          </w:tcPr>
          <w:p>
            <w:pPr>
              <w:keepNext w:val="0"/>
              <w:keepLines w:val="0"/>
              <w:pageBreakBefore w:val="0"/>
              <w:widowControl/>
              <w:kinsoku/>
              <w:wordWrap/>
              <w:overflowPunct/>
              <w:topLinePunct w:val="0"/>
              <w:bidi w:val="0"/>
              <w:adjustRightInd/>
              <w:spacing w:line="240" w:lineRule="exact"/>
              <w:ind w:firstLine="0" w:firstLineChars="0"/>
              <w:jc w:val="left"/>
              <w:textAlignment w:val="auto"/>
              <w:rPr>
                <w:rFonts w:hint="default" w:ascii="Times New Roman" w:hAnsi="Times New Roman" w:eastAsia="仿宋" w:cs="Times New Roman"/>
                <w:color w:val="auto"/>
                <w:kern w:val="0"/>
                <w:sz w:val="18"/>
                <w:szCs w:val="18"/>
              </w:rPr>
            </w:pPr>
          </w:p>
        </w:tc>
        <w:tc>
          <w:tcPr>
            <w:tcW w:w="1770"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林草植被恢复率(%)</w:t>
            </w:r>
          </w:p>
        </w:tc>
        <w:tc>
          <w:tcPr>
            <w:tcW w:w="1911"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97</w:t>
            </w:r>
          </w:p>
        </w:tc>
        <w:tc>
          <w:tcPr>
            <w:tcW w:w="2181"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林草覆盖率(%)</w:t>
            </w:r>
          </w:p>
        </w:tc>
        <w:tc>
          <w:tcPr>
            <w:tcW w:w="2731"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6" w:hRule="atLeast"/>
        </w:trPr>
        <w:tc>
          <w:tcPr>
            <w:tcW w:w="926"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防治分区</w:t>
            </w:r>
          </w:p>
        </w:tc>
        <w:tc>
          <w:tcPr>
            <w:tcW w:w="1770"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防治分区</w:t>
            </w:r>
          </w:p>
        </w:tc>
        <w:tc>
          <w:tcPr>
            <w:tcW w:w="1911"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工程措施</w:t>
            </w:r>
          </w:p>
        </w:tc>
        <w:tc>
          <w:tcPr>
            <w:tcW w:w="2181"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植物措施</w:t>
            </w:r>
          </w:p>
        </w:tc>
        <w:tc>
          <w:tcPr>
            <w:tcW w:w="2731"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临时措施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34" w:hRule="atLeast"/>
        </w:trPr>
        <w:tc>
          <w:tcPr>
            <w:tcW w:w="926" w:type="dxa"/>
            <w:vMerge w:val="restart"/>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防治措施及工程量</w:t>
            </w:r>
          </w:p>
        </w:tc>
        <w:tc>
          <w:tcPr>
            <w:tcW w:w="1770"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路基工程防治区</w:t>
            </w:r>
          </w:p>
        </w:tc>
        <w:tc>
          <w:tcPr>
            <w:tcW w:w="1911" w:type="dxa"/>
            <w:vAlign w:val="center"/>
          </w:tcPr>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主体设计：雨水管网</w:t>
            </w:r>
            <w:r>
              <w:rPr>
                <w:rFonts w:hint="default" w:ascii="Times New Roman" w:hAnsi="Times New Roman" w:eastAsia="仿宋" w:cs="Times New Roman"/>
                <w:color w:val="auto"/>
                <w:kern w:val="0"/>
                <w:sz w:val="18"/>
                <w:szCs w:val="18"/>
                <w:lang w:val="en-US" w:eastAsia="zh-CN"/>
              </w:rPr>
              <w:t>453</w:t>
            </w:r>
            <w:r>
              <w:rPr>
                <w:rFonts w:hint="default" w:ascii="Times New Roman" w:hAnsi="Times New Roman" w:eastAsia="仿宋" w:cs="Times New Roman"/>
                <w:color w:val="auto"/>
                <w:kern w:val="0"/>
                <w:sz w:val="18"/>
                <w:szCs w:val="18"/>
              </w:rPr>
              <w:t>m、人行道透水铺装</w:t>
            </w:r>
            <w:r>
              <w:rPr>
                <w:rFonts w:hint="default" w:ascii="Times New Roman" w:hAnsi="Times New Roman" w:eastAsia="仿宋" w:cs="Times New Roman"/>
                <w:color w:val="auto"/>
                <w:kern w:val="0"/>
                <w:sz w:val="18"/>
                <w:szCs w:val="18"/>
                <w:lang w:val="en-US" w:eastAsia="zh-CN"/>
              </w:rPr>
              <w:t>2107</w:t>
            </w:r>
            <w:r>
              <w:rPr>
                <w:rFonts w:hint="default" w:ascii="Times New Roman" w:hAnsi="Times New Roman" w:eastAsia="仿宋" w:cs="Times New Roman"/>
                <w:color w:val="auto"/>
                <w:kern w:val="0"/>
                <w:sz w:val="18"/>
                <w:szCs w:val="18"/>
              </w:rPr>
              <w:t xml:space="preserve"> m²</w:t>
            </w:r>
          </w:p>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方案新增：表土剥离</w:t>
            </w:r>
            <w:r>
              <w:rPr>
                <w:rFonts w:hint="default" w:ascii="Times New Roman" w:hAnsi="Times New Roman" w:eastAsia="仿宋" w:cs="Times New Roman"/>
                <w:color w:val="auto"/>
                <w:kern w:val="0"/>
                <w:sz w:val="18"/>
                <w:szCs w:val="18"/>
                <w:lang w:val="en-US" w:eastAsia="zh-CN"/>
              </w:rPr>
              <w:t>0.19</w:t>
            </w:r>
            <w:r>
              <w:rPr>
                <w:rFonts w:hint="default" w:ascii="Times New Roman" w:hAnsi="Times New Roman" w:eastAsia="仿宋" w:cs="Times New Roman"/>
                <w:color w:val="auto"/>
                <w:kern w:val="0"/>
                <w:sz w:val="18"/>
                <w:szCs w:val="18"/>
              </w:rPr>
              <w:t>万m³、表土回填</w:t>
            </w:r>
            <w:r>
              <w:rPr>
                <w:rFonts w:hint="default" w:ascii="Times New Roman" w:hAnsi="Times New Roman" w:eastAsia="仿宋" w:cs="Times New Roman"/>
                <w:color w:val="auto"/>
                <w:kern w:val="0"/>
                <w:sz w:val="18"/>
                <w:szCs w:val="18"/>
                <w:lang w:val="en-US" w:eastAsia="zh-CN"/>
              </w:rPr>
              <w:t>0.05</w:t>
            </w:r>
            <w:r>
              <w:rPr>
                <w:rFonts w:hint="default" w:ascii="Times New Roman" w:hAnsi="Times New Roman" w:eastAsia="仿宋" w:cs="Times New Roman"/>
                <w:color w:val="auto"/>
                <w:kern w:val="0"/>
                <w:sz w:val="18"/>
                <w:szCs w:val="18"/>
              </w:rPr>
              <w:t>万m³</w:t>
            </w:r>
          </w:p>
        </w:tc>
        <w:tc>
          <w:tcPr>
            <w:tcW w:w="2181" w:type="dxa"/>
            <w:gridSpan w:val="2"/>
            <w:vAlign w:val="center"/>
          </w:tcPr>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主体设计：</w:t>
            </w:r>
            <w:r>
              <w:rPr>
                <w:rFonts w:hint="default" w:ascii="Times New Roman" w:hAnsi="Times New Roman" w:eastAsia="仿宋" w:cs="Times New Roman"/>
                <w:color w:val="auto"/>
                <w:kern w:val="0"/>
                <w:sz w:val="18"/>
                <w:szCs w:val="18"/>
                <w:lang w:val="en-US" w:eastAsia="zh-CN"/>
              </w:rPr>
              <w:t>行道树91株</w:t>
            </w:r>
            <w:r>
              <w:rPr>
                <w:rFonts w:hint="default" w:ascii="Times New Roman" w:hAnsi="Times New Roman" w:eastAsia="仿宋" w:cs="Times New Roman"/>
                <w:color w:val="auto"/>
                <w:kern w:val="0"/>
                <w:sz w:val="18"/>
                <w:szCs w:val="18"/>
              </w:rPr>
              <w:t>、TBS生态护坡3877.5m</w:t>
            </w:r>
            <w:r>
              <w:rPr>
                <w:rFonts w:hint="default" w:ascii="Times New Roman" w:hAnsi="Times New Roman" w:eastAsia="仿宋" w:cs="Times New Roman"/>
                <w:color w:val="auto"/>
                <w:kern w:val="0"/>
                <w:sz w:val="18"/>
                <w:szCs w:val="18"/>
                <w:vertAlign w:val="superscript"/>
              </w:rPr>
              <w:t>2</w:t>
            </w:r>
            <w:r>
              <w:rPr>
                <w:rFonts w:hint="default" w:ascii="Times New Roman" w:hAnsi="Times New Roman" w:eastAsia="仿宋" w:cs="Times New Roman"/>
                <w:color w:val="auto"/>
                <w:kern w:val="0"/>
                <w:sz w:val="18"/>
                <w:szCs w:val="18"/>
              </w:rPr>
              <w:t>、喷播植草2850.5m²、</w:t>
            </w:r>
          </w:p>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rPr>
              <w:t>方案新增：</w:t>
            </w:r>
            <w:r>
              <w:rPr>
                <w:rFonts w:hint="default" w:ascii="Times New Roman" w:hAnsi="Times New Roman" w:eastAsia="仿宋" w:cs="Times New Roman"/>
                <w:color w:val="auto"/>
                <w:kern w:val="0"/>
                <w:sz w:val="18"/>
                <w:szCs w:val="18"/>
                <w:lang w:val="en-US" w:eastAsia="zh-CN"/>
              </w:rPr>
              <w:t>无</w:t>
            </w:r>
          </w:p>
        </w:tc>
        <w:tc>
          <w:tcPr>
            <w:tcW w:w="2731" w:type="dxa"/>
            <w:gridSpan w:val="4"/>
            <w:vAlign w:val="center"/>
          </w:tcPr>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主体设计：无</w:t>
            </w:r>
          </w:p>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方案新增：</w:t>
            </w:r>
            <w:r>
              <w:rPr>
                <w:rFonts w:hint="default" w:ascii="Times New Roman" w:hAnsi="Times New Roman" w:eastAsia="仿宋" w:cs="Times New Roman"/>
                <w:color w:val="auto"/>
                <w:kern w:val="0"/>
                <w:sz w:val="18"/>
                <w:szCs w:val="18"/>
                <w:lang w:val="en-US" w:eastAsia="zh-CN"/>
              </w:rPr>
              <w:t>临时截排水沟327m、</w:t>
            </w:r>
            <w:r>
              <w:rPr>
                <w:rFonts w:hint="default" w:ascii="Times New Roman" w:hAnsi="Times New Roman" w:eastAsia="仿宋" w:cs="Times New Roman"/>
                <w:color w:val="auto"/>
                <w:kern w:val="0"/>
                <w:sz w:val="18"/>
                <w:szCs w:val="18"/>
              </w:rPr>
              <w:t>临时沉砂池</w:t>
            </w:r>
            <w:r>
              <w:rPr>
                <w:rFonts w:hint="default" w:ascii="Times New Roman" w:hAnsi="Times New Roman" w:eastAsia="仿宋" w:cs="Times New Roman"/>
                <w:color w:val="auto"/>
                <w:kern w:val="0"/>
                <w:sz w:val="18"/>
                <w:szCs w:val="18"/>
                <w:lang w:val="en-US" w:eastAsia="zh-CN"/>
              </w:rPr>
              <w:t>3</w:t>
            </w:r>
            <w:r>
              <w:rPr>
                <w:rFonts w:hint="default" w:ascii="Times New Roman" w:hAnsi="Times New Roman" w:eastAsia="仿宋" w:cs="Times New Roman"/>
                <w:color w:val="auto"/>
                <w:kern w:val="0"/>
                <w:sz w:val="18"/>
                <w:szCs w:val="18"/>
              </w:rPr>
              <w:t>个、填土编织袋临时拦挡</w:t>
            </w:r>
            <w:r>
              <w:rPr>
                <w:rFonts w:hint="default" w:ascii="Times New Roman" w:hAnsi="Times New Roman" w:eastAsia="仿宋" w:cs="Times New Roman"/>
                <w:color w:val="auto"/>
                <w:kern w:val="0"/>
                <w:sz w:val="18"/>
                <w:szCs w:val="18"/>
                <w:lang w:val="en-US" w:eastAsia="zh-CN"/>
              </w:rPr>
              <w:t>139</w:t>
            </w:r>
            <w:r>
              <w:rPr>
                <w:rFonts w:hint="default" w:ascii="Times New Roman" w:hAnsi="Times New Roman" w:eastAsia="仿宋" w:cs="Times New Roman"/>
                <w:color w:val="auto"/>
                <w:kern w:val="0"/>
                <w:sz w:val="18"/>
                <w:szCs w:val="18"/>
              </w:rPr>
              <w:t>m、彩条布</w:t>
            </w:r>
            <w:r>
              <w:rPr>
                <w:rFonts w:hint="default" w:ascii="Times New Roman" w:hAnsi="Times New Roman" w:eastAsia="仿宋" w:cs="Times New Roman"/>
                <w:color w:val="auto"/>
                <w:kern w:val="0"/>
                <w:sz w:val="18"/>
                <w:szCs w:val="18"/>
                <w:lang w:val="en-US" w:eastAsia="zh-CN"/>
              </w:rPr>
              <w:t>6800</w:t>
            </w:r>
            <w:r>
              <w:rPr>
                <w:rFonts w:hint="default" w:ascii="Times New Roman" w:hAnsi="Times New Roman" w:eastAsia="仿宋" w:cs="Times New Roman"/>
                <w:color w:val="auto"/>
                <w:kern w:val="0"/>
                <w:sz w:val="18"/>
                <w:szCs w:val="18"/>
              </w:rPr>
              <w:t>m²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6" w:hRule="atLeast"/>
        </w:trPr>
        <w:tc>
          <w:tcPr>
            <w:tcW w:w="926" w:type="dxa"/>
            <w:vMerge w:val="continue"/>
            <w:vAlign w:val="center"/>
          </w:tcPr>
          <w:p>
            <w:pPr>
              <w:keepNext w:val="0"/>
              <w:keepLines w:val="0"/>
              <w:pageBreakBefore w:val="0"/>
              <w:widowControl/>
              <w:kinsoku/>
              <w:wordWrap/>
              <w:overflowPunct/>
              <w:topLinePunct w:val="0"/>
              <w:bidi w:val="0"/>
              <w:adjustRightInd/>
              <w:spacing w:line="240" w:lineRule="exact"/>
              <w:ind w:firstLine="0" w:firstLineChars="0"/>
              <w:jc w:val="left"/>
              <w:textAlignment w:val="auto"/>
              <w:rPr>
                <w:rFonts w:hint="default" w:ascii="Times New Roman" w:hAnsi="Times New Roman" w:eastAsia="仿宋" w:cs="Times New Roman"/>
                <w:color w:val="auto"/>
                <w:kern w:val="0"/>
                <w:sz w:val="18"/>
                <w:szCs w:val="18"/>
              </w:rPr>
            </w:pPr>
          </w:p>
        </w:tc>
        <w:tc>
          <w:tcPr>
            <w:tcW w:w="1770"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投资(万元)</w:t>
            </w:r>
          </w:p>
        </w:tc>
        <w:tc>
          <w:tcPr>
            <w:tcW w:w="1911"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rPr>
              <w:t>主体设计：</w:t>
            </w:r>
            <w:r>
              <w:rPr>
                <w:rFonts w:hint="default" w:ascii="Times New Roman" w:hAnsi="Times New Roman" w:eastAsia="仿宋" w:cs="Times New Roman"/>
                <w:color w:val="auto"/>
                <w:kern w:val="0"/>
                <w:sz w:val="18"/>
                <w:szCs w:val="18"/>
                <w:lang w:val="en-US" w:eastAsia="zh-CN"/>
              </w:rPr>
              <w:t>59.71</w:t>
            </w:r>
          </w:p>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rPr>
              <w:t>方案新增：</w:t>
            </w:r>
            <w:r>
              <w:rPr>
                <w:rFonts w:hint="default" w:ascii="Times New Roman" w:hAnsi="Times New Roman" w:eastAsia="仿宋" w:cs="Times New Roman"/>
                <w:color w:val="auto"/>
                <w:kern w:val="0"/>
                <w:sz w:val="18"/>
                <w:szCs w:val="18"/>
                <w:lang w:val="en-US" w:eastAsia="zh-CN"/>
              </w:rPr>
              <w:t>3.30</w:t>
            </w:r>
          </w:p>
        </w:tc>
        <w:tc>
          <w:tcPr>
            <w:tcW w:w="2181"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rPr>
              <w:t>主体设计：</w:t>
            </w:r>
            <w:r>
              <w:rPr>
                <w:rFonts w:hint="default" w:ascii="Times New Roman" w:hAnsi="Times New Roman" w:eastAsia="仿宋" w:cs="Times New Roman"/>
                <w:color w:val="auto"/>
                <w:kern w:val="0"/>
                <w:sz w:val="18"/>
                <w:szCs w:val="18"/>
                <w:lang w:val="en-US" w:eastAsia="zh-CN"/>
              </w:rPr>
              <w:t>82.88</w:t>
            </w:r>
          </w:p>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eastAsia="zh-CN"/>
              </w:rPr>
            </w:pPr>
            <w:r>
              <w:rPr>
                <w:rFonts w:hint="default" w:ascii="Times New Roman" w:hAnsi="Times New Roman" w:eastAsia="仿宋" w:cs="Times New Roman"/>
                <w:color w:val="auto"/>
                <w:kern w:val="0"/>
                <w:sz w:val="18"/>
                <w:szCs w:val="18"/>
              </w:rPr>
              <w:t>方案新增：</w:t>
            </w:r>
            <w:r>
              <w:rPr>
                <w:rFonts w:hint="default" w:ascii="Times New Roman" w:hAnsi="Times New Roman" w:eastAsia="仿宋" w:cs="Times New Roman"/>
                <w:color w:val="auto"/>
                <w:kern w:val="0"/>
                <w:sz w:val="18"/>
                <w:szCs w:val="18"/>
                <w:lang w:val="en-US" w:eastAsia="zh-CN"/>
              </w:rPr>
              <w:t>0</w:t>
            </w:r>
          </w:p>
        </w:tc>
        <w:tc>
          <w:tcPr>
            <w:tcW w:w="2731"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rPr>
              <w:t>主体设计：</w:t>
            </w:r>
            <w:r>
              <w:rPr>
                <w:rFonts w:hint="default" w:ascii="Times New Roman" w:hAnsi="Times New Roman" w:eastAsia="仿宋" w:cs="Times New Roman"/>
                <w:color w:val="auto"/>
                <w:kern w:val="0"/>
                <w:sz w:val="18"/>
                <w:szCs w:val="18"/>
                <w:lang w:val="en-US" w:eastAsia="zh-CN"/>
              </w:rPr>
              <w:t>0</w:t>
            </w:r>
          </w:p>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rPr>
              <w:t>方案新增：</w:t>
            </w:r>
            <w:r>
              <w:rPr>
                <w:rFonts w:hint="default" w:ascii="Times New Roman" w:hAnsi="Times New Roman" w:eastAsia="仿宋" w:cs="Times New Roman"/>
                <w:color w:val="auto"/>
                <w:kern w:val="0"/>
                <w:sz w:val="18"/>
                <w:szCs w:val="18"/>
                <w:lang w:val="en-US" w:eastAsia="zh-CN"/>
              </w:rPr>
              <w:t>6.44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6" w:hRule="atLeast"/>
        </w:trPr>
        <w:tc>
          <w:tcPr>
            <w:tcW w:w="2696"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水土保持总投资(万元)</w:t>
            </w:r>
          </w:p>
        </w:tc>
        <w:tc>
          <w:tcPr>
            <w:tcW w:w="1911"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172.30</w:t>
            </w:r>
          </w:p>
        </w:tc>
        <w:tc>
          <w:tcPr>
            <w:tcW w:w="2181"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独立费用(万元)</w:t>
            </w:r>
          </w:p>
        </w:tc>
        <w:tc>
          <w:tcPr>
            <w:tcW w:w="2731"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7.79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6" w:hRule="atLeast"/>
        </w:trPr>
        <w:tc>
          <w:tcPr>
            <w:tcW w:w="173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监理费(万元)</w:t>
            </w:r>
          </w:p>
        </w:tc>
        <w:tc>
          <w:tcPr>
            <w:tcW w:w="957"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sz w:val="18"/>
                <w:szCs w:val="18"/>
                <w:lang w:val="en-US" w:eastAsia="zh-CN"/>
              </w:rPr>
              <w:t>0.41</w:t>
            </w:r>
          </w:p>
        </w:tc>
        <w:tc>
          <w:tcPr>
            <w:tcW w:w="1911"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监测费(万元)</w:t>
            </w:r>
          </w:p>
        </w:tc>
        <w:tc>
          <w:tcPr>
            <w:tcW w:w="2181"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9.08</w:t>
            </w:r>
          </w:p>
        </w:tc>
        <w:tc>
          <w:tcPr>
            <w:tcW w:w="163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补偿费(元)</w:t>
            </w:r>
          </w:p>
        </w:tc>
        <w:tc>
          <w:tcPr>
            <w:tcW w:w="1096"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1503</w:t>
            </w:r>
            <w:r>
              <w:rPr>
                <w:rFonts w:hint="eastAsia" w:ascii="Times New Roman" w:hAnsi="Times New Roman" w:eastAsia="仿宋" w:cs="Times New Roman"/>
                <w:color w:val="auto"/>
                <w:kern w:val="0"/>
                <w:sz w:val="18"/>
                <w:szCs w:val="18"/>
                <w:lang w:val="en-US" w:eastAsia="zh-CN"/>
              </w:rPr>
              <w:t>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6" w:hRule="atLeast"/>
        </w:trPr>
        <w:tc>
          <w:tcPr>
            <w:tcW w:w="173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方案编制单位</w:t>
            </w:r>
          </w:p>
        </w:tc>
        <w:tc>
          <w:tcPr>
            <w:tcW w:w="2868"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中煤科工重庆设计研究院（集团）有限公司</w:t>
            </w:r>
          </w:p>
        </w:tc>
        <w:tc>
          <w:tcPr>
            <w:tcW w:w="2181"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建设单位</w:t>
            </w:r>
          </w:p>
        </w:tc>
        <w:tc>
          <w:tcPr>
            <w:tcW w:w="2731" w:type="dxa"/>
            <w:gridSpan w:val="4"/>
            <w:vAlign w:val="center"/>
          </w:tcPr>
          <w:p>
            <w:pPr>
              <w:keepNext w:val="0"/>
              <w:keepLines w:val="0"/>
              <w:pageBreakBefore w:val="0"/>
              <w:widowControl/>
              <w:kinsoku/>
              <w:wordWrap/>
              <w:overflowPunct/>
              <w:topLinePunct w:val="0"/>
              <w:bidi w:val="0"/>
              <w:adjustRightInd/>
              <w:spacing w:line="240" w:lineRule="exact"/>
              <w:ind w:firstLine="540" w:firstLineChars="300"/>
              <w:textAlignment w:val="auto"/>
              <w:rPr>
                <w:rFonts w:hint="default" w:ascii="Times New Roman" w:hAnsi="Times New Roman" w:eastAsia="仿宋" w:cs="Times New Roman"/>
                <w:color w:val="auto"/>
                <w:kern w:val="0"/>
                <w:sz w:val="18"/>
                <w:szCs w:val="18"/>
                <w:lang w:eastAsia="zh-CN"/>
              </w:rPr>
            </w:pPr>
            <w:r>
              <w:rPr>
                <w:rFonts w:hint="default" w:ascii="Times New Roman" w:hAnsi="Times New Roman" w:eastAsia="仿宋" w:cs="Times New Roman"/>
                <w:color w:val="auto"/>
                <w:kern w:val="0"/>
                <w:sz w:val="18"/>
                <w:szCs w:val="18"/>
                <w:lang w:eastAsia="zh-CN"/>
              </w:rPr>
              <w:t>重庆市地产集团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6" w:hRule="atLeast"/>
        </w:trPr>
        <w:tc>
          <w:tcPr>
            <w:tcW w:w="173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法定代表人及电话</w:t>
            </w:r>
          </w:p>
        </w:tc>
        <w:tc>
          <w:tcPr>
            <w:tcW w:w="2868"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薛巍</w:t>
            </w:r>
          </w:p>
        </w:tc>
        <w:tc>
          <w:tcPr>
            <w:tcW w:w="2181"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法定代表人及电话</w:t>
            </w:r>
          </w:p>
        </w:tc>
        <w:tc>
          <w:tcPr>
            <w:tcW w:w="2731" w:type="dxa"/>
            <w:gridSpan w:val="4"/>
            <w:vAlign w:val="center"/>
          </w:tcPr>
          <w:p>
            <w:pPr>
              <w:keepNext w:val="0"/>
              <w:keepLines w:val="0"/>
              <w:pageBreakBefore w:val="0"/>
              <w:widowControl/>
              <w:kinsoku/>
              <w:wordWrap/>
              <w:overflowPunct/>
              <w:topLinePunct w:val="0"/>
              <w:bidi w:val="0"/>
              <w:adjustRightInd/>
              <w:spacing w:line="240" w:lineRule="exact"/>
              <w:ind w:firstLine="1080" w:firstLineChars="600"/>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李仕川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6" w:hRule="atLeast"/>
        </w:trPr>
        <w:tc>
          <w:tcPr>
            <w:tcW w:w="173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地址</w:t>
            </w:r>
          </w:p>
        </w:tc>
        <w:tc>
          <w:tcPr>
            <w:tcW w:w="2868"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重庆市渝中区经纬大道784号</w:t>
            </w:r>
          </w:p>
        </w:tc>
        <w:tc>
          <w:tcPr>
            <w:tcW w:w="2181"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地址</w:t>
            </w:r>
          </w:p>
        </w:tc>
        <w:tc>
          <w:tcPr>
            <w:tcW w:w="2731" w:type="dxa"/>
            <w:gridSpan w:val="4"/>
            <w:vAlign w:val="center"/>
          </w:tcPr>
          <w:p>
            <w:pPr>
              <w:keepNext w:val="0"/>
              <w:keepLines w:val="0"/>
              <w:pageBreakBefore w:val="0"/>
              <w:widowControl/>
              <w:kinsoku/>
              <w:wordWrap/>
              <w:overflowPunct/>
              <w:topLinePunct w:val="0"/>
              <w:bidi w:val="0"/>
              <w:adjustRightInd/>
              <w:spacing w:line="240" w:lineRule="exact"/>
              <w:ind w:firstLine="540" w:firstLineChars="300"/>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lang w:val="en-US" w:eastAsia="zh-CN"/>
              </w:rPr>
              <w:t>重庆</w:t>
            </w:r>
            <w:r>
              <w:rPr>
                <w:rFonts w:hint="default" w:ascii="Times New Roman" w:hAnsi="Times New Roman" w:eastAsia="仿宋" w:cs="Times New Roman"/>
                <w:color w:val="auto"/>
                <w:kern w:val="0"/>
                <w:sz w:val="18"/>
                <w:szCs w:val="18"/>
              </w:rPr>
              <w:t>市渝北区佳园路2号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6" w:hRule="atLeast"/>
        </w:trPr>
        <w:tc>
          <w:tcPr>
            <w:tcW w:w="173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邮编</w:t>
            </w:r>
          </w:p>
        </w:tc>
        <w:tc>
          <w:tcPr>
            <w:tcW w:w="2868"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400016</w:t>
            </w:r>
          </w:p>
        </w:tc>
        <w:tc>
          <w:tcPr>
            <w:tcW w:w="2181"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邮编</w:t>
            </w:r>
          </w:p>
        </w:tc>
        <w:tc>
          <w:tcPr>
            <w:tcW w:w="2731"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eastAsia="zh-CN"/>
              </w:rPr>
            </w:pPr>
            <w:r>
              <w:rPr>
                <w:rFonts w:hint="default" w:ascii="Times New Roman" w:hAnsi="Times New Roman" w:eastAsia="仿宋" w:cs="Times New Roman"/>
                <w:color w:val="auto"/>
                <w:kern w:val="0"/>
                <w:sz w:val="18"/>
                <w:szCs w:val="18"/>
              </w:rPr>
              <w:t>40112</w:t>
            </w:r>
            <w:r>
              <w:rPr>
                <w:rFonts w:hint="default" w:ascii="Times New Roman" w:hAnsi="Times New Roman" w:eastAsia="仿宋" w:cs="Times New Roman"/>
                <w:color w:val="auto"/>
                <w:kern w:val="0"/>
                <w:sz w:val="18"/>
                <w:szCs w:val="18"/>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6" w:hRule="atLeast"/>
        </w:trPr>
        <w:tc>
          <w:tcPr>
            <w:tcW w:w="173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联系人及电话</w:t>
            </w:r>
          </w:p>
        </w:tc>
        <w:tc>
          <w:tcPr>
            <w:tcW w:w="2868"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田太强/18883355220</w:t>
            </w:r>
          </w:p>
        </w:tc>
        <w:tc>
          <w:tcPr>
            <w:tcW w:w="2181"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联系人及电话</w:t>
            </w:r>
          </w:p>
        </w:tc>
        <w:tc>
          <w:tcPr>
            <w:tcW w:w="2731"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 xml:space="preserve">张林/17723692810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6" w:hRule="atLeast"/>
        </w:trPr>
        <w:tc>
          <w:tcPr>
            <w:tcW w:w="173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传真</w:t>
            </w:r>
          </w:p>
        </w:tc>
        <w:tc>
          <w:tcPr>
            <w:tcW w:w="2868"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（023）68713941</w:t>
            </w:r>
          </w:p>
        </w:tc>
        <w:tc>
          <w:tcPr>
            <w:tcW w:w="2181"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传真</w:t>
            </w:r>
          </w:p>
        </w:tc>
        <w:tc>
          <w:tcPr>
            <w:tcW w:w="2731"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0" w:hRule="atLeast"/>
        </w:trPr>
        <w:tc>
          <w:tcPr>
            <w:tcW w:w="173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电子信箱</w:t>
            </w:r>
          </w:p>
        </w:tc>
        <w:tc>
          <w:tcPr>
            <w:tcW w:w="2868"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735503561@qq.com</w:t>
            </w:r>
          </w:p>
        </w:tc>
        <w:tc>
          <w:tcPr>
            <w:tcW w:w="2181"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电子信箱</w:t>
            </w:r>
          </w:p>
        </w:tc>
        <w:tc>
          <w:tcPr>
            <w:tcW w:w="2731"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273563436@qq.com</w:t>
            </w: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方正黑体_GBK" w:hAnsi="宋体" w:eastAsia="方正黑体_GBK" w:cs="宋体"/>
          <w:bCs/>
          <w:sz w:val="32"/>
          <w:szCs w:val="32"/>
        </w:rPr>
      </w:pPr>
      <w:r>
        <w:rPr>
          <w:rFonts w:hint="eastAsia" w:ascii="方正黑体_GBK" w:hAnsi="宋体" w:eastAsia="方正黑体_GBK" w:cs="宋体"/>
          <w:bCs/>
          <w:sz w:val="32"/>
          <w:szCs w:val="32"/>
        </w:rPr>
        <w:br w:type="page"/>
      </w:r>
      <w:r>
        <w:rPr>
          <w:rFonts w:hint="eastAsia" w:ascii="方正黑体_GBK" w:hAnsi="宋体" w:eastAsia="方正黑体_GBK" w:cs="宋体"/>
          <w:bCs/>
          <w:sz w:val="32"/>
          <w:szCs w:val="32"/>
        </w:rPr>
        <w:t>附件2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val="0"/>
          <w:bCs w:val="0"/>
          <w:spacing w:val="2"/>
          <w:sz w:val="35"/>
          <w:szCs w:val="35"/>
          <w:lang w:eastAsia="zh-CN"/>
        </w:rPr>
      </w:pPr>
      <w:r>
        <w:rPr>
          <w:rFonts w:hint="eastAsia" w:ascii="方正小标宋_GBK" w:hAnsi="方正小标宋_GBK" w:eastAsia="方正小标宋_GBK" w:cs="方正小标宋_GBK"/>
          <w:b w:val="0"/>
          <w:bCs w:val="0"/>
          <w:spacing w:val="2"/>
          <w:sz w:val="35"/>
          <w:szCs w:val="35"/>
          <w:lang w:eastAsia="zh-CN"/>
        </w:rPr>
        <w:t>嘉溢华片区二支路</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 w:val="35"/>
          <w:szCs w:val="35"/>
        </w:rPr>
      </w:pPr>
      <w:r>
        <w:rPr>
          <w:rFonts w:hint="eastAsia" w:ascii="方正小标宋_GBK" w:hAnsi="方正小标宋_GBK" w:eastAsia="方正小标宋_GBK" w:cs="方正小标宋_GBK"/>
          <w:b w:val="0"/>
          <w:bCs w:val="0"/>
          <w:spacing w:val="2"/>
          <w:sz w:val="35"/>
          <w:szCs w:val="35"/>
        </w:rPr>
        <w:t>水土保持方案报告书专家评审意见</w:t>
      </w:r>
    </w:p>
    <w:p>
      <w:pPr>
        <w:spacing w:line="300" w:lineRule="auto"/>
        <w:rPr>
          <w:rFonts w:ascii="Arial"/>
          <w:sz w:val="21"/>
        </w:rPr>
      </w:pP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lang w:val="en-US" w:eastAsia="zh-CN"/>
        </w:rPr>
        <w:t>3</w:t>
      </w:r>
      <w:r>
        <w:rPr>
          <w:rFonts w:hint="eastAsia"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lang w:val="en-US" w:eastAsia="zh-CN"/>
        </w:rPr>
        <w:t>7</w:t>
      </w:r>
      <w:r>
        <w:rPr>
          <w:rFonts w:hint="eastAsia"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lang w:val="en-US" w:eastAsia="zh-CN"/>
        </w:rPr>
        <w:t>28</w:t>
      </w:r>
      <w:r>
        <w:rPr>
          <w:rFonts w:hint="eastAsia" w:ascii="Times New Roman" w:hAnsi="Times New Roman" w:eastAsia="方正仿宋_GBK" w:cs="Times New Roman"/>
          <w:kern w:val="0"/>
          <w:sz w:val="32"/>
          <w:szCs w:val="32"/>
        </w:rPr>
        <w:t>日，重庆市</w:t>
      </w:r>
      <w:r>
        <w:rPr>
          <w:rFonts w:hint="eastAsia" w:ascii="Times New Roman" w:hAnsi="Times New Roman" w:eastAsia="方正仿宋_GBK" w:cs="Times New Roman"/>
          <w:kern w:val="0"/>
          <w:sz w:val="32"/>
          <w:szCs w:val="32"/>
          <w:lang w:val="en-US" w:eastAsia="zh-CN"/>
        </w:rPr>
        <w:t>江北区农业农村委员会</w:t>
      </w:r>
      <w:r>
        <w:rPr>
          <w:rFonts w:hint="eastAsia" w:ascii="Times New Roman" w:hAnsi="Times New Roman" w:eastAsia="方正仿宋_GBK" w:cs="Times New Roman"/>
          <w:kern w:val="0"/>
          <w:sz w:val="32"/>
          <w:szCs w:val="32"/>
        </w:rPr>
        <w:t>组织召开了《</w:t>
      </w:r>
      <w:r>
        <w:rPr>
          <w:rFonts w:hint="eastAsia" w:ascii="Times New Roman" w:hAnsi="Times New Roman" w:eastAsia="方正仿宋_GBK" w:cs="Times New Roman"/>
          <w:kern w:val="0"/>
          <w:sz w:val="32"/>
          <w:szCs w:val="32"/>
          <w:lang w:eastAsia="zh-CN"/>
        </w:rPr>
        <w:t>嘉溢华片区二支路</w:t>
      </w:r>
      <w:r>
        <w:rPr>
          <w:rFonts w:hint="eastAsia" w:ascii="Times New Roman" w:hAnsi="Times New Roman" w:eastAsia="方正仿宋_GBK" w:cs="Times New Roman"/>
          <w:kern w:val="0"/>
          <w:sz w:val="32"/>
          <w:szCs w:val="32"/>
        </w:rPr>
        <w:t>水土保持方案报告书》（以下简称《水保方案》）专家评审会。</w:t>
      </w:r>
      <w:r>
        <w:rPr>
          <w:rFonts w:hint="eastAsia" w:ascii="Times New Roman" w:hAnsi="Times New Roman" w:eastAsia="方正仿宋_GBK" w:cs="Times New Roman"/>
          <w:kern w:val="0"/>
          <w:sz w:val="32"/>
          <w:szCs w:val="32"/>
          <w:lang w:val="en-US" w:eastAsia="zh-CN"/>
        </w:rPr>
        <w:t>重庆市</w:t>
      </w:r>
      <w:r>
        <w:rPr>
          <w:rFonts w:hint="eastAsia" w:ascii="Times New Roman" w:hAnsi="Times New Roman" w:eastAsia="方正仿宋_GBK" w:cs="Times New Roman"/>
          <w:kern w:val="0"/>
          <w:sz w:val="32"/>
          <w:szCs w:val="32"/>
        </w:rPr>
        <w:t>江北区农业农村委员会、</w:t>
      </w:r>
      <w:r>
        <w:rPr>
          <w:rFonts w:hint="eastAsia" w:ascii="Times New Roman" w:hAnsi="Times New Roman" w:eastAsia="方正仿宋_GBK" w:cs="Times New Roman"/>
          <w:kern w:val="0"/>
          <w:sz w:val="32"/>
          <w:szCs w:val="32"/>
          <w:lang w:eastAsia="zh-CN"/>
        </w:rPr>
        <w:t>重庆市地产集团</w:t>
      </w:r>
      <w:r>
        <w:rPr>
          <w:rFonts w:hint="eastAsia" w:ascii="Times New Roman" w:hAnsi="Times New Roman" w:eastAsia="方正仿宋_GBK" w:cs="Times New Roman"/>
          <w:kern w:val="0"/>
          <w:sz w:val="32"/>
          <w:szCs w:val="32"/>
        </w:rPr>
        <w:t>（以下简称</w:t>
      </w:r>
      <w:r>
        <w:rPr>
          <w:rFonts w:hint="eastAsia" w:ascii="Times New Roman" w:hAnsi="Times New Roman" w:eastAsia="方正仿宋_GBK" w:cs="Times New Roman"/>
          <w:kern w:val="0"/>
          <w:sz w:val="32"/>
          <w:szCs w:val="32"/>
          <w:lang w:val="en-US" w:eastAsia="zh-CN"/>
        </w:rPr>
        <w:t>建设单位</w:t>
      </w:r>
      <w:r>
        <w:rPr>
          <w:rFonts w:hint="eastAsia" w:ascii="Times New Roman" w:hAnsi="Times New Roman" w:eastAsia="方正仿宋_GBK" w:cs="Times New Roman"/>
          <w:kern w:val="0"/>
          <w:sz w:val="32"/>
          <w:szCs w:val="32"/>
        </w:rPr>
        <w:t>）和中煤科工重庆设计研究院（集团）有限公司（以下简称报告编制单位）的代表及特邀专家参加了会议。会议成立了</w:t>
      </w:r>
      <w:r>
        <w:rPr>
          <w:rFonts w:hint="eastAsia" w:ascii="Times New Roman" w:hAnsi="Times New Roman" w:eastAsia="方正仿宋_GBK" w:cs="Times New Roman"/>
          <w:kern w:val="0"/>
          <w:sz w:val="32"/>
          <w:szCs w:val="32"/>
          <w:lang w:val="en-US" w:eastAsia="zh-CN"/>
        </w:rPr>
        <w:t>由张志兰同志任组长</w:t>
      </w: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于亚莉和刘德忠同志为成员的专家组。</w:t>
      </w:r>
      <w:r>
        <w:rPr>
          <w:rFonts w:hint="eastAsia" w:ascii="Times New Roman" w:hAnsi="Times New Roman" w:eastAsia="方正仿宋_GBK" w:cs="Times New Roman"/>
          <w:kern w:val="0"/>
          <w:sz w:val="32"/>
          <w:szCs w:val="32"/>
        </w:rPr>
        <w:t>专家组成员会前详细审阅了《水保方案》，会上</w:t>
      </w:r>
      <w:r>
        <w:rPr>
          <w:rFonts w:hint="eastAsia" w:ascii="Times New Roman" w:hAnsi="Times New Roman" w:eastAsia="方正仿宋_GBK" w:cs="Times New Roman"/>
          <w:kern w:val="0"/>
          <w:sz w:val="32"/>
          <w:szCs w:val="32"/>
          <w:lang w:val="en-US" w:eastAsia="zh-CN"/>
        </w:rPr>
        <w:t>与会人员</w:t>
      </w:r>
      <w:r>
        <w:rPr>
          <w:rFonts w:hint="eastAsia" w:ascii="Times New Roman" w:hAnsi="Times New Roman" w:eastAsia="方正仿宋_GBK" w:cs="Times New Roman"/>
          <w:kern w:val="0"/>
          <w:sz w:val="32"/>
          <w:szCs w:val="32"/>
        </w:rPr>
        <w:t>认真听取了报告编制单位的汇报，进行了深入讨论。根据“渝水〔2018〕267号”、“渝水办水保〔2019〕5号”</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办水保</w:t>
      </w:r>
      <w:r>
        <w:rPr>
          <w:rFonts w:hint="eastAsia"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lang w:val="en-US" w:eastAsia="zh-CN"/>
        </w:rPr>
        <w:t>3</w:t>
      </w: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177</w:t>
      </w:r>
      <w:r>
        <w:rPr>
          <w:rFonts w:hint="eastAsia" w:ascii="Times New Roman" w:hAnsi="Times New Roman" w:eastAsia="方正仿宋_GBK" w:cs="Times New Roman"/>
          <w:kern w:val="0"/>
          <w:sz w:val="32"/>
          <w:szCs w:val="32"/>
        </w:rPr>
        <w:t>号”和“渝水规范〔2021〕2号”，专家组对《水保方案》进行了质量评分，质量评定等级合格。报告编制单位对《水保方案》进行了修改、补充和完善，</w:t>
      </w:r>
      <w:r>
        <w:rPr>
          <w:rFonts w:hint="eastAsia" w:ascii="Times New Roman" w:hAnsi="Times New Roman" w:eastAsia="方正仿宋_GBK" w:cs="Times New Roman"/>
          <w:kern w:val="0"/>
          <w:sz w:val="32"/>
          <w:szCs w:val="32"/>
          <w:lang w:val="en-US" w:eastAsia="zh-CN"/>
        </w:rPr>
        <w:t>项目法人于2023年8月10日提交了《</w:t>
      </w:r>
      <w:r>
        <w:rPr>
          <w:rFonts w:hint="eastAsia" w:ascii="Times New Roman" w:hAnsi="Times New Roman" w:eastAsia="方正仿宋_GBK" w:cs="Times New Roman"/>
          <w:kern w:val="0"/>
          <w:sz w:val="32"/>
          <w:szCs w:val="32"/>
          <w:lang w:eastAsia="zh-CN"/>
        </w:rPr>
        <w:t>嘉溢华片区二支路</w:t>
      </w:r>
      <w:r>
        <w:rPr>
          <w:rFonts w:hint="eastAsia" w:ascii="Times New Roman" w:hAnsi="Times New Roman" w:eastAsia="方正仿宋_GBK" w:cs="Times New Roman"/>
          <w:kern w:val="0"/>
          <w:sz w:val="32"/>
          <w:szCs w:val="32"/>
        </w:rPr>
        <w:t>水土保持方案报告书</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报批稿</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w:t>
      </w:r>
      <w:r>
        <w:rPr>
          <w:rFonts w:hint="eastAsia" w:ascii="Times New Roman" w:hAnsi="Times New Roman" w:eastAsia="方正仿宋_GBK" w:cs="Times New Roman"/>
          <w:kern w:val="0"/>
          <w:sz w:val="32"/>
          <w:szCs w:val="32"/>
        </w:rPr>
        <w:t>经专家组复核，形成了专家评审意见</w:t>
      </w:r>
      <w:r>
        <w:rPr>
          <w:rFonts w:hint="eastAsia" w:ascii="Times New Roman" w:hAnsi="Times New Roman" w:eastAsia="方正仿宋_GBK" w:cs="Times New Roman"/>
          <w:kern w:val="0"/>
          <w:sz w:val="32"/>
          <w:szCs w:val="32"/>
          <w:lang w:eastAsia="zh-CN"/>
        </w:rPr>
        <w:t>如下</w:t>
      </w:r>
      <w:r>
        <w:rPr>
          <w:rFonts w:hint="eastAsia" w:ascii="Times New Roman" w:hAnsi="Times New Roman" w:eastAsia="方正仿宋_GBK" w:cs="Times New Roman"/>
          <w:kern w:val="0"/>
          <w:sz w:val="32"/>
          <w:szCs w:val="32"/>
        </w:rPr>
        <w:t>。</w:t>
      </w:r>
    </w:p>
    <w:p>
      <w:pPr>
        <w:pageBreakBefore w:val="0"/>
        <w:kinsoku/>
        <w:wordWrap/>
        <w:overflowPunct/>
        <w:topLinePunct w:val="0"/>
        <w:autoSpaceDE/>
        <w:autoSpaceDN/>
        <w:bidi w:val="0"/>
        <w:spacing w:line="596" w:lineRule="exact"/>
        <w:ind w:firstLine="640" w:firstLineChars="20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一、综合说明</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（一）方案编制所依据的法律法规、规范性文件、标准规范、技术文件及采用的资料基本正确。</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（二）同意方案设计水平年为202</w:t>
      </w:r>
      <w:r>
        <w:rPr>
          <w:rFonts w:hint="eastAsia" w:ascii="Times New Roman" w:hAnsi="Times New Roman" w:eastAsia="方正仿宋_GBK" w:cs="Times New Roman"/>
          <w:kern w:val="0"/>
          <w:sz w:val="32"/>
          <w:szCs w:val="32"/>
          <w:lang w:val="en-US" w:eastAsia="zh-CN"/>
        </w:rPr>
        <w:t>4</w:t>
      </w:r>
      <w:r>
        <w:rPr>
          <w:rFonts w:hint="eastAsia" w:ascii="Times New Roman" w:hAnsi="Times New Roman" w:eastAsia="方正仿宋_GBK" w:cs="Times New Roman"/>
          <w:kern w:val="0"/>
          <w:sz w:val="32"/>
          <w:szCs w:val="32"/>
        </w:rPr>
        <w:t>年。</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（三）同意水土流失防治责任范围的界定，水土流失防治责任范围面积为</w:t>
      </w:r>
      <w:r>
        <w:rPr>
          <w:rFonts w:hint="eastAsia" w:ascii="Times New Roman" w:hAnsi="Times New Roman" w:eastAsia="方正仿宋_GBK" w:cs="Times New Roman"/>
          <w:kern w:val="0"/>
          <w:sz w:val="32"/>
          <w:szCs w:val="32"/>
          <w:lang w:val="en-US" w:eastAsia="zh-CN"/>
        </w:rPr>
        <w:t>1.07</w:t>
      </w:r>
      <w:r>
        <w:rPr>
          <w:rFonts w:hint="eastAsia" w:ascii="Times New Roman" w:hAnsi="Times New Roman" w:eastAsia="方正仿宋_GBK" w:cs="Times New Roman"/>
          <w:kern w:val="0"/>
          <w:sz w:val="32"/>
          <w:szCs w:val="32"/>
        </w:rPr>
        <w:t>hm</w:t>
      </w:r>
      <w:r>
        <w:rPr>
          <w:rFonts w:hint="eastAsia" w:ascii="Times New Roman" w:hAnsi="Times New Roman" w:eastAsia="方正仿宋_GBK" w:cs="Times New Roman"/>
          <w:kern w:val="0"/>
          <w:sz w:val="32"/>
          <w:szCs w:val="32"/>
          <w:vertAlign w:val="superscript"/>
        </w:rPr>
        <w:t>2</w:t>
      </w:r>
      <w:r>
        <w:rPr>
          <w:rFonts w:hint="eastAsia" w:ascii="Times New Roman" w:hAnsi="Times New Roman" w:eastAsia="方正仿宋_GBK" w:cs="Times New Roman"/>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（四）同意项目水土流失防治标准等级执行西南紫色土区建设类项目一级标准。</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（五）同意水土流失防治目标。其中：水土流失治理度97％，土壤流失控制比1.0，渣土防护率94％，表土保护率92％，林草植被恢复率97％，林草覆盖率2</w:t>
      </w:r>
      <w:r>
        <w:rPr>
          <w:rFonts w:hint="eastAsia" w:ascii="Times New Roman" w:hAnsi="Times New Roman" w:eastAsia="方正仿宋_GBK" w:cs="Times New Roman"/>
          <w:kern w:val="0"/>
          <w:sz w:val="32"/>
          <w:szCs w:val="32"/>
          <w:lang w:val="en-US" w:eastAsia="zh-CN"/>
        </w:rPr>
        <w:t>5</w:t>
      </w:r>
      <w:r>
        <w:rPr>
          <w:rFonts w:hint="eastAsia" w:ascii="Times New Roman" w:hAnsi="Times New Roman" w:eastAsia="方正仿宋_GBK" w:cs="Times New Roman"/>
          <w:kern w:val="0"/>
          <w:sz w:val="32"/>
          <w:szCs w:val="32"/>
        </w:rPr>
        <w:t>％。</w:t>
      </w:r>
    </w:p>
    <w:p>
      <w:pPr>
        <w:pageBreakBefore w:val="0"/>
        <w:kinsoku/>
        <w:wordWrap/>
        <w:overflowPunct/>
        <w:topLinePunct w:val="0"/>
        <w:autoSpaceDE/>
        <w:autoSpaceDN/>
        <w:bidi w:val="0"/>
        <w:spacing w:line="596" w:lineRule="exact"/>
        <w:ind w:firstLine="640" w:firstLineChars="20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二、 项目概况</w:t>
      </w:r>
    </w:p>
    <w:p>
      <w:pPr>
        <w:pageBreakBefore w:val="0"/>
        <w:widowControl/>
        <w:shd w:val="clear" w:color="auto" w:fill="FFFFFF"/>
        <w:kinsoku/>
        <w:wordWrap/>
        <w:overflowPunct/>
        <w:topLinePunct w:val="0"/>
        <w:autoSpaceDE/>
        <w:autoSpaceDN/>
        <w:bidi w:val="0"/>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一</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rPr>
        <w:t>项目概况阐述基本清楚。</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0"/>
          <w:sz w:val="32"/>
          <w:szCs w:val="32"/>
          <w:lang w:eastAsia="zh-CN"/>
        </w:rPr>
        <w:t>嘉溢华片区二支路</w:t>
      </w:r>
      <w:r>
        <w:rPr>
          <w:rFonts w:hint="eastAsia" w:ascii="Times New Roman" w:hAnsi="Times New Roman" w:eastAsia="方正仿宋_GBK" w:cs="Times New Roman"/>
          <w:kern w:val="0"/>
          <w:sz w:val="32"/>
          <w:szCs w:val="32"/>
          <w:lang w:val="en-US" w:eastAsia="zh-CN"/>
        </w:rPr>
        <w:t>位于</w:t>
      </w:r>
      <w:r>
        <w:rPr>
          <w:rFonts w:hint="eastAsia" w:ascii="Times New Roman" w:hAnsi="Times New Roman" w:eastAsia="方正仿宋_GBK" w:cs="Times New Roman"/>
          <w:kern w:val="2"/>
          <w:sz w:val="32"/>
          <w:szCs w:val="32"/>
          <w:lang w:val="en-US" w:eastAsia="zh-CN" w:bidi="ar-SA"/>
        </w:rPr>
        <w:t>江北区寸滩街道，为新建项目，</w:t>
      </w:r>
      <w:r>
        <w:rPr>
          <w:rFonts w:hint="eastAsia" w:ascii="Times New Roman" w:hAnsi="Times New Roman" w:eastAsia="方正仿宋_GBK" w:cs="Times New Roman"/>
          <w:kern w:val="0"/>
          <w:sz w:val="32"/>
          <w:szCs w:val="32"/>
          <w:lang w:eastAsia="zh-CN"/>
        </w:rPr>
        <w:t>建设单位为重庆市地产集团。</w:t>
      </w:r>
      <w:r>
        <w:rPr>
          <w:rFonts w:hint="eastAsia" w:ascii="Times New Roman" w:hAnsi="Times New Roman" w:eastAsia="方正仿宋_GBK" w:cs="Times New Roman"/>
          <w:kern w:val="0"/>
          <w:sz w:val="32"/>
          <w:szCs w:val="32"/>
          <w:lang w:val="en-US" w:eastAsia="zh-CN"/>
        </w:rPr>
        <w:t>道路整体呈东北至西南走向，起点为Z2K0+007.143</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终点为Z2K0+264.884</w:t>
      </w:r>
      <w:r>
        <w:rPr>
          <w:rFonts w:hint="eastAsia" w:ascii="Times New Roman" w:hAnsi="Times New Roman" w:eastAsia="方正仿宋_GBK" w:cs="Times New Roman"/>
          <w:kern w:val="0"/>
          <w:sz w:val="32"/>
          <w:szCs w:val="32"/>
          <w:lang w:eastAsia="zh-CN"/>
        </w:rPr>
        <w:t>，全长257.741m。项目等级为城市</w:t>
      </w:r>
      <w:r>
        <w:rPr>
          <w:rFonts w:hint="eastAsia" w:ascii="Times New Roman" w:hAnsi="Times New Roman" w:eastAsia="方正仿宋_GBK" w:cs="Times New Roman"/>
          <w:kern w:val="0"/>
          <w:sz w:val="32"/>
          <w:szCs w:val="32"/>
          <w:lang w:val="en-US" w:eastAsia="zh-CN"/>
        </w:rPr>
        <w:t>支</w:t>
      </w:r>
      <w:r>
        <w:rPr>
          <w:rFonts w:hint="eastAsia" w:ascii="Times New Roman" w:hAnsi="Times New Roman" w:eastAsia="方正仿宋_GBK" w:cs="Times New Roman"/>
          <w:kern w:val="0"/>
          <w:sz w:val="32"/>
          <w:szCs w:val="32"/>
          <w:lang w:eastAsia="zh-CN"/>
        </w:rPr>
        <w:t>路，设计车速为</w:t>
      </w:r>
      <w:r>
        <w:rPr>
          <w:rFonts w:hint="eastAsia" w:ascii="Times New Roman" w:hAnsi="Times New Roman" w:eastAsia="方正仿宋_GBK" w:cs="Times New Roman"/>
          <w:kern w:val="0"/>
          <w:sz w:val="32"/>
          <w:szCs w:val="32"/>
          <w:lang w:val="en-US" w:eastAsia="zh-CN"/>
        </w:rPr>
        <w:t>2</w:t>
      </w:r>
      <w:r>
        <w:rPr>
          <w:rFonts w:hint="eastAsia" w:ascii="Times New Roman" w:hAnsi="Times New Roman" w:eastAsia="方正仿宋_GBK" w:cs="Times New Roman"/>
          <w:kern w:val="0"/>
          <w:sz w:val="32"/>
          <w:szCs w:val="32"/>
          <w:lang w:eastAsia="zh-CN"/>
        </w:rPr>
        <w:t>0km/h，标准路幅宽度</w:t>
      </w:r>
      <w:r>
        <w:rPr>
          <w:rFonts w:hint="eastAsia" w:ascii="Times New Roman" w:hAnsi="Times New Roman" w:eastAsia="方正仿宋_GBK" w:cs="Times New Roman"/>
          <w:kern w:val="0"/>
          <w:sz w:val="32"/>
          <w:szCs w:val="32"/>
          <w:lang w:val="en-US" w:eastAsia="zh-CN"/>
        </w:rPr>
        <w:t>16</w:t>
      </w:r>
      <w:r>
        <w:rPr>
          <w:rFonts w:hint="eastAsia" w:ascii="Times New Roman" w:hAnsi="Times New Roman" w:eastAsia="方正仿宋_GBK" w:cs="Times New Roman"/>
          <w:kern w:val="0"/>
          <w:sz w:val="32"/>
          <w:szCs w:val="32"/>
          <w:lang w:eastAsia="zh-CN"/>
        </w:rPr>
        <w:t>m。项目由路基工程组成，</w:t>
      </w:r>
      <w:r>
        <w:rPr>
          <w:rFonts w:hint="default" w:ascii="Times New Roman" w:hAnsi="Times New Roman" w:eastAsia="方正仿宋_GBK" w:cs="Times New Roman"/>
          <w:sz w:val="32"/>
          <w:szCs w:val="32"/>
        </w:rPr>
        <w:t>建设内容包括</w:t>
      </w:r>
      <w:r>
        <w:rPr>
          <w:rFonts w:hint="default" w:ascii="Times New Roman" w:hAnsi="Times New Roman" w:eastAsia="方正仿宋_GBK" w:cs="Times New Roman"/>
          <w:sz w:val="32"/>
          <w:szCs w:val="32"/>
          <w:lang w:val="en-US" w:eastAsia="zh-CN"/>
        </w:rPr>
        <w:t>道路工程</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综合管网工程</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结构工程</w:t>
      </w:r>
      <w:r>
        <w:rPr>
          <w:rFonts w:hint="default" w:ascii="Times New Roman" w:hAnsi="Times New Roman" w:eastAsia="方正仿宋_GBK" w:cs="Times New Roman"/>
          <w:sz w:val="32"/>
          <w:szCs w:val="32"/>
        </w:rPr>
        <w:t>、照明工程、</w:t>
      </w:r>
      <w:r>
        <w:rPr>
          <w:rFonts w:hint="default" w:ascii="Times New Roman" w:hAnsi="Times New Roman" w:eastAsia="方正仿宋_GBK" w:cs="Times New Roman"/>
          <w:sz w:val="32"/>
          <w:szCs w:val="32"/>
          <w:lang w:val="en-US" w:eastAsia="zh-CN"/>
        </w:rPr>
        <w:t>交通工程、景观绿化及附属工程</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0"/>
          <w:sz w:val="32"/>
          <w:szCs w:val="32"/>
          <w:lang w:eastAsia="zh-CN"/>
        </w:rPr>
        <w:t>项目施工营地、</w:t>
      </w:r>
      <w:r>
        <w:rPr>
          <w:rFonts w:hint="eastAsia" w:ascii="Times New Roman" w:hAnsi="Times New Roman" w:eastAsia="方正仿宋_GBK" w:cs="Times New Roman"/>
          <w:kern w:val="0"/>
          <w:sz w:val="32"/>
          <w:szCs w:val="32"/>
          <w:lang w:val="en-US" w:eastAsia="zh-CN"/>
        </w:rPr>
        <w:t>表土堆场</w:t>
      </w:r>
      <w:r>
        <w:rPr>
          <w:rFonts w:hint="eastAsia" w:ascii="Times New Roman" w:hAnsi="Times New Roman" w:eastAsia="方正仿宋_GBK" w:cs="Times New Roman"/>
          <w:kern w:val="0"/>
          <w:sz w:val="32"/>
          <w:szCs w:val="32"/>
          <w:lang w:eastAsia="zh-CN"/>
        </w:rPr>
        <w:t>与</w:t>
      </w:r>
      <w:r>
        <w:rPr>
          <w:rFonts w:hint="eastAsia" w:ascii="Times New Roman" w:hAnsi="Times New Roman" w:eastAsia="方正仿宋_GBK" w:cs="Times New Roman"/>
          <w:kern w:val="0"/>
          <w:sz w:val="32"/>
          <w:szCs w:val="32"/>
          <w:lang w:val="en-US" w:eastAsia="zh-CN"/>
        </w:rPr>
        <w:t>嘉溢华片区一支路</w:t>
      </w:r>
      <w:r>
        <w:rPr>
          <w:rFonts w:hint="eastAsia" w:ascii="Times New Roman" w:hAnsi="Times New Roman" w:eastAsia="方正仿宋_GBK" w:cs="Times New Roman"/>
          <w:kern w:val="0"/>
          <w:sz w:val="32"/>
          <w:szCs w:val="32"/>
          <w:lang w:eastAsia="zh-CN"/>
        </w:rPr>
        <w:t>共用，</w:t>
      </w:r>
      <w:r>
        <w:rPr>
          <w:rFonts w:hint="eastAsia" w:ascii="Times New Roman" w:hAnsi="Times New Roman" w:eastAsia="方正仿宋_GBK" w:cs="Times New Roman"/>
          <w:kern w:val="0"/>
          <w:sz w:val="32"/>
          <w:szCs w:val="32"/>
          <w:lang w:val="en-US" w:eastAsia="zh-CN"/>
        </w:rPr>
        <w:t>不新增占地</w:t>
      </w:r>
      <w:r>
        <w:rPr>
          <w:rFonts w:hint="eastAsia" w:ascii="Times New Roman" w:hAnsi="Times New Roman" w:eastAsia="方正仿宋_GBK" w:cs="Times New Roman"/>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both"/>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项目总占地面积</w:t>
      </w:r>
      <w:r>
        <w:rPr>
          <w:rFonts w:hint="eastAsia" w:ascii="Times New Roman" w:hAnsi="Times New Roman" w:eastAsia="方正仿宋_GBK" w:cs="Times New Roman"/>
          <w:kern w:val="0"/>
          <w:sz w:val="32"/>
          <w:szCs w:val="32"/>
          <w:lang w:val="en-US" w:eastAsia="zh-CN"/>
        </w:rPr>
        <w:t>1.07</w:t>
      </w:r>
      <w:r>
        <w:rPr>
          <w:rFonts w:hint="eastAsia" w:ascii="Times New Roman" w:hAnsi="Times New Roman" w:eastAsia="方正仿宋_GBK" w:cs="Times New Roman"/>
          <w:kern w:val="0"/>
          <w:sz w:val="32"/>
          <w:szCs w:val="32"/>
          <w:lang w:eastAsia="zh-CN"/>
        </w:rPr>
        <w:t>hm</w:t>
      </w:r>
      <w:r>
        <w:rPr>
          <w:rFonts w:hint="eastAsia" w:ascii="Times New Roman" w:hAnsi="Times New Roman" w:eastAsia="方正仿宋_GBK" w:cs="Times New Roman"/>
          <w:kern w:val="0"/>
          <w:sz w:val="32"/>
          <w:szCs w:val="32"/>
          <w:vertAlign w:val="superscript"/>
          <w:lang w:eastAsia="zh-CN"/>
        </w:rPr>
        <w:t>2</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其中</w:t>
      </w:r>
      <w:r>
        <w:rPr>
          <w:rFonts w:hint="eastAsia" w:ascii="Times New Roman" w:hAnsi="Times New Roman" w:eastAsia="方正仿宋_GBK" w:cs="Times New Roman"/>
          <w:kern w:val="0"/>
          <w:sz w:val="32"/>
          <w:szCs w:val="32"/>
          <w:lang w:eastAsia="zh-CN"/>
        </w:rPr>
        <w:t>永久占地</w:t>
      </w:r>
      <w:r>
        <w:rPr>
          <w:rFonts w:hint="eastAsia" w:ascii="Times New Roman" w:hAnsi="Times New Roman" w:eastAsia="方正仿宋_GBK" w:cs="Times New Roman"/>
          <w:kern w:val="0"/>
          <w:sz w:val="32"/>
          <w:szCs w:val="32"/>
          <w:lang w:val="en-US" w:eastAsia="zh-CN"/>
        </w:rPr>
        <w:t>0.51</w:t>
      </w:r>
      <w:r>
        <w:rPr>
          <w:rFonts w:hint="eastAsia" w:ascii="Times New Roman" w:hAnsi="Times New Roman" w:eastAsia="方正仿宋_GBK" w:cs="Times New Roman"/>
          <w:kern w:val="0"/>
          <w:sz w:val="32"/>
          <w:szCs w:val="32"/>
          <w:lang w:eastAsia="zh-CN"/>
        </w:rPr>
        <w:t>hm</w:t>
      </w:r>
      <w:r>
        <w:rPr>
          <w:rFonts w:hint="eastAsia" w:ascii="Times New Roman" w:hAnsi="Times New Roman" w:eastAsia="方正仿宋_GBK" w:cs="Times New Roman"/>
          <w:kern w:val="0"/>
          <w:sz w:val="32"/>
          <w:szCs w:val="32"/>
          <w:vertAlign w:val="superscript"/>
          <w:lang w:eastAsia="zh-CN"/>
        </w:rPr>
        <w:t>2</w:t>
      </w:r>
      <w:r>
        <w:rPr>
          <w:rFonts w:hint="eastAsia" w:ascii="Times New Roman" w:hAnsi="Times New Roman" w:eastAsia="方正仿宋_GBK" w:cs="Times New Roman"/>
          <w:kern w:val="0"/>
          <w:sz w:val="32"/>
          <w:szCs w:val="32"/>
          <w:lang w:eastAsia="zh-CN"/>
        </w:rPr>
        <w:t>，临时占地</w:t>
      </w:r>
      <w:r>
        <w:rPr>
          <w:rFonts w:hint="eastAsia" w:ascii="Times New Roman" w:hAnsi="Times New Roman" w:eastAsia="方正仿宋_GBK" w:cs="Times New Roman"/>
          <w:kern w:val="0"/>
          <w:sz w:val="32"/>
          <w:szCs w:val="32"/>
          <w:lang w:val="en-US" w:eastAsia="zh-CN"/>
        </w:rPr>
        <w:t>0.56</w:t>
      </w:r>
      <w:r>
        <w:rPr>
          <w:rFonts w:hint="eastAsia" w:ascii="Times New Roman" w:hAnsi="Times New Roman" w:eastAsia="方正仿宋_GBK" w:cs="Times New Roman"/>
          <w:kern w:val="0"/>
          <w:sz w:val="32"/>
          <w:szCs w:val="32"/>
          <w:lang w:eastAsia="zh-CN"/>
        </w:rPr>
        <w:t>hm</w:t>
      </w:r>
      <w:r>
        <w:rPr>
          <w:rFonts w:hint="eastAsia" w:ascii="Times New Roman" w:hAnsi="Times New Roman" w:eastAsia="方正仿宋_GBK" w:cs="Times New Roman"/>
          <w:kern w:val="0"/>
          <w:sz w:val="32"/>
          <w:szCs w:val="32"/>
          <w:vertAlign w:val="superscript"/>
          <w:lang w:eastAsia="zh-CN"/>
        </w:rPr>
        <w:t>2</w:t>
      </w:r>
      <w:r>
        <w:rPr>
          <w:rFonts w:hint="eastAsia" w:ascii="Times New Roman" w:hAnsi="Times New Roman" w:eastAsia="方正仿宋_GBK" w:cs="Times New Roman"/>
          <w:kern w:val="0"/>
          <w:sz w:val="32"/>
          <w:szCs w:val="32"/>
          <w:lang w:eastAsia="zh-CN"/>
        </w:rPr>
        <w:t>。项目总挖方</w:t>
      </w:r>
      <w:r>
        <w:rPr>
          <w:rFonts w:hint="eastAsia" w:ascii="Times New Roman" w:hAnsi="Times New Roman" w:eastAsia="方正仿宋_GBK" w:cs="Times New Roman"/>
          <w:kern w:val="0"/>
          <w:sz w:val="32"/>
          <w:szCs w:val="32"/>
          <w:lang w:val="en-US" w:eastAsia="zh-CN"/>
        </w:rPr>
        <w:t>4.52</w:t>
      </w:r>
      <w:r>
        <w:rPr>
          <w:rFonts w:hint="eastAsia" w:ascii="Times New Roman" w:hAnsi="Times New Roman" w:eastAsia="方正仿宋_GBK" w:cs="Times New Roman"/>
          <w:kern w:val="0"/>
          <w:sz w:val="32"/>
          <w:szCs w:val="32"/>
          <w:lang w:eastAsia="zh-CN"/>
        </w:rPr>
        <w:t>万</w:t>
      </w:r>
      <w:r>
        <w:rPr>
          <w:rFonts w:hint="eastAsia" w:ascii="Times New Roman" w:hAnsi="Times New Roman" w:eastAsia="方正仿宋_GBK" w:cs="Times New Roman"/>
          <w:kern w:val="0"/>
          <w:sz w:val="32"/>
          <w:szCs w:val="32"/>
          <w:lang w:val="en-US" w:eastAsia="zh-CN"/>
        </w:rPr>
        <w:t>方</w:t>
      </w:r>
      <w:r>
        <w:rPr>
          <w:rFonts w:hint="eastAsia" w:ascii="Times New Roman" w:hAnsi="Times New Roman" w:eastAsia="方正仿宋_GBK" w:cs="Times New Roman"/>
          <w:kern w:val="0"/>
          <w:sz w:val="32"/>
          <w:szCs w:val="32"/>
          <w:lang w:eastAsia="zh-CN"/>
        </w:rPr>
        <w:t>，总填方</w:t>
      </w:r>
      <w:r>
        <w:rPr>
          <w:rFonts w:hint="eastAsia" w:ascii="Times New Roman" w:hAnsi="Times New Roman" w:eastAsia="方正仿宋_GBK" w:cs="Times New Roman"/>
          <w:kern w:val="0"/>
          <w:sz w:val="32"/>
          <w:szCs w:val="32"/>
          <w:lang w:val="en-US" w:eastAsia="zh-CN"/>
        </w:rPr>
        <w:t>2.58</w:t>
      </w:r>
      <w:r>
        <w:rPr>
          <w:rFonts w:hint="eastAsia" w:ascii="Times New Roman" w:hAnsi="Times New Roman" w:eastAsia="方正仿宋_GBK" w:cs="Times New Roman"/>
          <w:kern w:val="0"/>
          <w:sz w:val="32"/>
          <w:szCs w:val="32"/>
          <w:lang w:eastAsia="zh-CN"/>
        </w:rPr>
        <w:t>万</w:t>
      </w:r>
      <w:r>
        <w:rPr>
          <w:rFonts w:hint="eastAsia" w:ascii="Times New Roman" w:hAnsi="Times New Roman" w:eastAsia="方正仿宋_GBK" w:cs="Times New Roman"/>
          <w:kern w:val="0"/>
          <w:sz w:val="32"/>
          <w:szCs w:val="32"/>
          <w:lang w:val="en-US" w:eastAsia="zh-CN"/>
        </w:rPr>
        <w:t>方</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无借方，综合利用后</w:t>
      </w:r>
      <w:r>
        <w:rPr>
          <w:rFonts w:hint="eastAsia" w:ascii="Times New Roman" w:hAnsi="Times New Roman" w:eastAsia="方正仿宋_GBK" w:cs="Times New Roman"/>
          <w:kern w:val="0"/>
          <w:sz w:val="32"/>
          <w:szCs w:val="32"/>
          <w:lang w:eastAsia="zh-CN"/>
        </w:rPr>
        <w:t>余方</w:t>
      </w:r>
      <w:r>
        <w:rPr>
          <w:rFonts w:hint="eastAsia" w:ascii="Times New Roman" w:hAnsi="Times New Roman" w:eastAsia="方正仿宋_GBK" w:cs="Times New Roman"/>
          <w:kern w:val="0"/>
          <w:sz w:val="32"/>
          <w:szCs w:val="32"/>
          <w:lang w:val="en-US" w:eastAsia="zh-CN"/>
        </w:rPr>
        <w:t>1.94</w:t>
      </w:r>
      <w:r>
        <w:rPr>
          <w:rFonts w:hint="eastAsia" w:ascii="Times New Roman" w:hAnsi="Times New Roman" w:eastAsia="方正仿宋_GBK" w:cs="Times New Roman"/>
          <w:kern w:val="0"/>
          <w:sz w:val="32"/>
          <w:szCs w:val="32"/>
          <w:lang w:eastAsia="zh-CN"/>
        </w:rPr>
        <w:t>万</w:t>
      </w:r>
      <w:r>
        <w:rPr>
          <w:rFonts w:hint="eastAsia" w:ascii="Times New Roman" w:hAnsi="Times New Roman" w:eastAsia="方正仿宋_GBK" w:cs="Times New Roman"/>
          <w:kern w:val="0"/>
          <w:sz w:val="32"/>
          <w:szCs w:val="32"/>
          <w:lang w:val="en-US" w:eastAsia="zh-CN"/>
        </w:rPr>
        <w:t>方</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余方中0.14</w:t>
      </w:r>
      <w:r>
        <w:rPr>
          <w:rFonts w:hint="eastAsia" w:ascii="Times New Roman" w:hAnsi="Times New Roman" w:eastAsia="方正仿宋_GBK" w:cs="Times New Roman"/>
          <w:kern w:val="0"/>
          <w:sz w:val="32"/>
          <w:szCs w:val="32"/>
          <w:lang w:eastAsia="zh-CN"/>
        </w:rPr>
        <w:t>万</w:t>
      </w:r>
      <w:r>
        <w:rPr>
          <w:rFonts w:hint="eastAsia" w:ascii="Times New Roman" w:hAnsi="Times New Roman" w:eastAsia="方正仿宋_GBK" w:cs="Times New Roman"/>
          <w:kern w:val="0"/>
          <w:sz w:val="32"/>
          <w:szCs w:val="32"/>
          <w:lang w:val="en-US" w:eastAsia="zh-CN"/>
        </w:rPr>
        <w:t>方表土运至嘉溢华片区道路一支路表土堆场绿化覆土利用，其他余方</w:t>
      </w:r>
      <w:r>
        <w:rPr>
          <w:rFonts w:hint="eastAsia" w:ascii="Times New Roman" w:hAnsi="Times New Roman" w:eastAsia="方正仿宋_GBK" w:cs="Times New Roman"/>
          <w:kern w:val="0"/>
          <w:sz w:val="32"/>
          <w:szCs w:val="32"/>
          <w:lang w:eastAsia="zh-CN"/>
        </w:rPr>
        <w:t>将全部外运至花沟片区打捆路网道路及配套工程（地产集团）2号路延伸段道路及配套工程回填利用。项目</w:t>
      </w:r>
      <w:r>
        <w:rPr>
          <w:rFonts w:hint="eastAsia" w:ascii="Times New Roman" w:hAnsi="Times New Roman" w:eastAsia="方正仿宋_GBK" w:cs="Times New Roman"/>
          <w:kern w:val="0"/>
          <w:sz w:val="32"/>
          <w:szCs w:val="32"/>
          <w:lang w:val="en-US" w:eastAsia="zh-CN"/>
        </w:rPr>
        <w:t>不</w:t>
      </w:r>
      <w:r>
        <w:rPr>
          <w:rFonts w:hint="eastAsia" w:ascii="Times New Roman" w:hAnsi="Times New Roman" w:eastAsia="方正仿宋_GBK" w:cs="Times New Roman"/>
          <w:kern w:val="0"/>
          <w:sz w:val="32"/>
          <w:szCs w:val="32"/>
          <w:lang w:eastAsia="zh-CN"/>
        </w:rPr>
        <w:t>涉及拆迁（移民）安置</w:t>
      </w:r>
      <w:r>
        <w:rPr>
          <w:rFonts w:hint="eastAsia" w:ascii="Times New Roman" w:hAnsi="Times New Roman" w:eastAsia="方正仿宋_GBK" w:cs="Times New Roman"/>
          <w:kern w:val="0"/>
          <w:sz w:val="32"/>
          <w:szCs w:val="32"/>
          <w:lang w:val="en-US" w:eastAsia="zh-CN"/>
        </w:rPr>
        <w:t>和专项设施改（迁）建工程</w:t>
      </w:r>
      <w:r>
        <w:rPr>
          <w:rFonts w:hint="eastAsia" w:ascii="Times New Roman" w:hAnsi="Times New Roman" w:eastAsia="方正仿宋_GBK" w:cs="Times New Roman"/>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both"/>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eastAsia="zh-CN"/>
        </w:rPr>
        <w:t>项目计划202</w:t>
      </w:r>
      <w:r>
        <w:rPr>
          <w:rFonts w:hint="eastAsia" w:ascii="Times New Roman" w:hAnsi="Times New Roman" w:eastAsia="方正仿宋_GBK" w:cs="Times New Roman"/>
          <w:kern w:val="0"/>
          <w:sz w:val="32"/>
          <w:szCs w:val="32"/>
          <w:lang w:val="en-US" w:eastAsia="zh-CN"/>
        </w:rPr>
        <w:t>3</w:t>
      </w:r>
      <w:r>
        <w:rPr>
          <w:rFonts w:hint="eastAsia" w:ascii="Times New Roman" w:hAnsi="Times New Roman" w:eastAsia="方正仿宋_GBK" w:cs="Times New Roman"/>
          <w:kern w:val="0"/>
          <w:sz w:val="32"/>
          <w:szCs w:val="32"/>
          <w:lang w:eastAsia="zh-CN"/>
        </w:rPr>
        <w:t>年</w:t>
      </w:r>
      <w:r>
        <w:rPr>
          <w:rFonts w:hint="eastAsia" w:ascii="Times New Roman" w:hAnsi="Times New Roman" w:eastAsia="方正仿宋_GBK" w:cs="Times New Roman"/>
          <w:kern w:val="0"/>
          <w:sz w:val="32"/>
          <w:szCs w:val="32"/>
          <w:lang w:val="en-US" w:eastAsia="zh-CN"/>
        </w:rPr>
        <w:t>10</w:t>
      </w:r>
      <w:r>
        <w:rPr>
          <w:rFonts w:hint="eastAsia" w:ascii="Times New Roman" w:hAnsi="Times New Roman" w:eastAsia="方正仿宋_GBK" w:cs="Times New Roman"/>
          <w:kern w:val="0"/>
          <w:sz w:val="32"/>
          <w:szCs w:val="32"/>
          <w:lang w:eastAsia="zh-CN"/>
        </w:rPr>
        <w:t>月开工，预计202</w:t>
      </w:r>
      <w:r>
        <w:rPr>
          <w:rFonts w:hint="eastAsia" w:ascii="Times New Roman" w:hAnsi="Times New Roman" w:eastAsia="方正仿宋_GBK" w:cs="Times New Roman"/>
          <w:kern w:val="0"/>
          <w:sz w:val="32"/>
          <w:szCs w:val="32"/>
          <w:lang w:val="en-US" w:eastAsia="zh-CN"/>
        </w:rPr>
        <w:t>4</w:t>
      </w:r>
      <w:r>
        <w:rPr>
          <w:rFonts w:hint="eastAsia" w:ascii="Times New Roman" w:hAnsi="Times New Roman" w:eastAsia="方正仿宋_GBK" w:cs="Times New Roman"/>
          <w:kern w:val="0"/>
          <w:sz w:val="32"/>
          <w:szCs w:val="32"/>
          <w:lang w:eastAsia="zh-CN"/>
        </w:rPr>
        <w:t>年</w:t>
      </w:r>
      <w:r>
        <w:rPr>
          <w:rFonts w:hint="eastAsia" w:ascii="Times New Roman" w:hAnsi="Times New Roman" w:eastAsia="方正仿宋_GBK" w:cs="Times New Roman"/>
          <w:kern w:val="0"/>
          <w:sz w:val="32"/>
          <w:szCs w:val="32"/>
          <w:lang w:val="en-US" w:eastAsia="zh-CN"/>
        </w:rPr>
        <w:t>9</w:t>
      </w:r>
      <w:r>
        <w:rPr>
          <w:rFonts w:hint="eastAsia" w:ascii="Times New Roman" w:hAnsi="Times New Roman" w:eastAsia="方正仿宋_GBK" w:cs="Times New Roman"/>
          <w:kern w:val="0"/>
          <w:sz w:val="32"/>
          <w:szCs w:val="32"/>
          <w:lang w:eastAsia="zh-CN"/>
        </w:rPr>
        <w:t>月完工，总工期</w:t>
      </w:r>
      <w:r>
        <w:rPr>
          <w:rFonts w:hint="eastAsia" w:ascii="Times New Roman" w:hAnsi="Times New Roman" w:eastAsia="方正仿宋_GBK" w:cs="Times New Roman"/>
          <w:kern w:val="0"/>
          <w:sz w:val="32"/>
          <w:szCs w:val="32"/>
          <w:lang w:val="en-US" w:eastAsia="zh-CN"/>
        </w:rPr>
        <w:t>12</w:t>
      </w:r>
      <w:r>
        <w:rPr>
          <w:rFonts w:hint="eastAsia" w:ascii="Times New Roman" w:hAnsi="Times New Roman" w:eastAsia="方正仿宋_GBK" w:cs="Times New Roman"/>
          <w:kern w:val="0"/>
          <w:sz w:val="32"/>
          <w:szCs w:val="32"/>
          <w:lang w:eastAsia="zh-CN"/>
        </w:rPr>
        <w:t>个月。项目总投资1494.02万元，其中，土建投资1245.59万元。</w:t>
      </w:r>
      <w:r>
        <w:rPr>
          <w:rFonts w:hint="eastAsia" w:ascii="Times New Roman" w:hAnsi="Times New Roman" w:eastAsia="方正仿宋_GBK" w:cs="Times New Roman"/>
          <w:kern w:val="0"/>
          <w:sz w:val="32"/>
          <w:szCs w:val="32"/>
          <w:lang w:val="en-US" w:eastAsia="zh-CN"/>
        </w:rPr>
        <w:t>资金来源为市级财政资金。</w:t>
      </w:r>
    </w:p>
    <w:p>
      <w:pPr>
        <w:pageBreakBefore w:val="0"/>
        <w:widowControl/>
        <w:shd w:val="clear" w:color="auto" w:fill="FFFFFF"/>
        <w:kinsoku/>
        <w:wordWrap/>
        <w:overflowPunct/>
        <w:topLinePunct w:val="0"/>
        <w:autoSpaceDE/>
        <w:autoSpaceDN/>
        <w:bidi w:val="0"/>
        <w:spacing w:line="596" w:lineRule="exact"/>
        <w:ind w:firstLine="480" w:firstLineChars="150"/>
        <w:jc w:val="left"/>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（二）项目区自然概况阐述基本清楚。</w:t>
      </w:r>
    </w:p>
    <w:p>
      <w:pPr>
        <w:pageBreakBefore w:val="0"/>
        <w:kinsoku/>
        <w:wordWrap/>
        <w:overflowPunct/>
        <w:topLinePunct w:val="0"/>
        <w:autoSpaceDE/>
        <w:autoSpaceDN/>
        <w:bidi w:val="0"/>
        <w:spacing w:line="596" w:lineRule="exact"/>
        <w:ind w:firstLine="640" w:firstLineChars="20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三、 项目水土保持评价</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（一）基本同意对主体工程选址（线）水土保持评价。</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（二）基本同意对项目建设方案、工程占地、土石方平衡、施工方法等水土保持评价。</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（三）基本同意对主体工程设计中水土保持措施的评价及界定。</w:t>
      </w:r>
    </w:p>
    <w:p>
      <w:pPr>
        <w:keepNext w:val="0"/>
        <w:keepLines w:val="0"/>
        <w:pageBreakBefore w:val="0"/>
        <w:widowControl w:val="0"/>
        <w:kinsoku/>
        <w:wordWrap/>
        <w:overflowPunct/>
        <w:bidi w:val="0"/>
        <w:spacing w:line="500" w:lineRule="exact"/>
        <w:ind w:left="610" w:right="-465" w:rightChars="0"/>
        <w:textAlignment w:val="auto"/>
        <w:rPr>
          <w:rFonts w:ascii="宋体" w:hAnsi="宋体" w:eastAsia="宋体" w:cs="宋体"/>
          <w:b/>
          <w:bCs/>
          <w:sz w:val="29"/>
          <w:szCs w:val="29"/>
        </w:rPr>
      </w:pPr>
      <w:r>
        <w:rPr>
          <w:rFonts w:ascii="宋体" w:hAnsi="宋体" w:eastAsia="宋体" w:cs="宋体"/>
          <w:b/>
          <w:bCs/>
          <w:spacing w:val="7"/>
          <w:sz w:val="29"/>
          <w:szCs w:val="29"/>
        </w:rPr>
        <w:t xml:space="preserve"> </w:t>
      </w:r>
      <w:r>
        <w:rPr>
          <w:rFonts w:hint="eastAsia" w:ascii="方正黑体_GBK" w:hAnsi="Times New Roman" w:eastAsia="方正黑体_GBK" w:cs="Times New Roman"/>
          <w:sz w:val="32"/>
          <w:szCs w:val="32"/>
        </w:rPr>
        <w:t>四 、水土流失分析与预测</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（一）基本同意对项目水土流失现状及影响分析。</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（二）项目扰动地表面积</w:t>
      </w:r>
      <w:r>
        <w:rPr>
          <w:rFonts w:hint="eastAsia" w:ascii="Times New Roman" w:hAnsi="Times New Roman" w:eastAsia="方正仿宋_GBK" w:cs="Times New Roman"/>
          <w:kern w:val="0"/>
          <w:sz w:val="32"/>
          <w:szCs w:val="32"/>
          <w:lang w:val="en-US" w:eastAsia="zh-CN"/>
        </w:rPr>
        <w:t>1.07</w:t>
      </w:r>
      <w:r>
        <w:rPr>
          <w:rFonts w:hint="eastAsia" w:ascii="Times New Roman" w:hAnsi="Times New Roman" w:eastAsia="方正仿宋_GBK" w:cs="Times New Roman"/>
          <w:kern w:val="0"/>
          <w:sz w:val="32"/>
          <w:szCs w:val="32"/>
        </w:rPr>
        <w:t>hm</w:t>
      </w:r>
      <w:r>
        <w:rPr>
          <w:rFonts w:hint="eastAsia" w:ascii="Times New Roman" w:hAnsi="Times New Roman" w:eastAsia="方正仿宋_GBK" w:cs="Times New Roman"/>
          <w:kern w:val="0"/>
          <w:sz w:val="32"/>
          <w:szCs w:val="32"/>
          <w:vertAlign w:val="superscript"/>
        </w:rPr>
        <w:t>2</w:t>
      </w:r>
      <w:r>
        <w:rPr>
          <w:rFonts w:hint="eastAsia" w:ascii="Times New Roman" w:hAnsi="Times New Roman" w:eastAsia="方正仿宋_GBK" w:cs="Times New Roman"/>
          <w:kern w:val="0"/>
          <w:sz w:val="32"/>
          <w:szCs w:val="32"/>
        </w:rPr>
        <w:t>，损毁植被面积</w:t>
      </w:r>
      <w:r>
        <w:rPr>
          <w:rFonts w:hint="eastAsia" w:ascii="Times New Roman" w:hAnsi="Times New Roman" w:eastAsia="方正仿宋_GBK" w:cs="Times New Roman"/>
          <w:kern w:val="0"/>
          <w:sz w:val="32"/>
          <w:szCs w:val="32"/>
          <w:lang w:val="en-US" w:eastAsia="zh-CN"/>
        </w:rPr>
        <w:t>0.96</w:t>
      </w:r>
      <w:r>
        <w:rPr>
          <w:rFonts w:hint="eastAsia" w:ascii="Times New Roman" w:hAnsi="Times New Roman" w:eastAsia="方正仿宋_GBK" w:cs="Times New Roman"/>
          <w:kern w:val="0"/>
          <w:sz w:val="32"/>
          <w:szCs w:val="32"/>
        </w:rPr>
        <w:t>hm</w:t>
      </w:r>
      <w:r>
        <w:rPr>
          <w:rFonts w:hint="eastAsia" w:ascii="Times New Roman" w:hAnsi="Times New Roman" w:eastAsia="方正仿宋_GBK" w:cs="Times New Roman"/>
          <w:kern w:val="0"/>
          <w:sz w:val="32"/>
          <w:szCs w:val="32"/>
          <w:vertAlign w:val="superscript"/>
        </w:rPr>
        <w:t>2</w:t>
      </w:r>
      <w:r>
        <w:rPr>
          <w:rFonts w:hint="eastAsia" w:ascii="Times New Roman" w:hAnsi="Times New Roman" w:eastAsia="方正仿宋_GBK" w:cs="Times New Roman"/>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（三）基本同意水土流失量预测方法及成果。工程建设可能造成水土流失总量</w:t>
      </w:r>
      <w:r>
        <w:rPr>
          <w:rFonts w:hint="eastAsia" w:ascii="Times New Roman" w:hAnsi="Times New Roman" w:eastAsia="方正仿宋_GBK" w:cs="Times New Roman"/>
          <w:kern w:val="0"/>
          <w:sz w:val="32"/>
          <w:szCs w:val="32"/>
          <w:lang w:val="en-US" w:eastAsia="zh-CN"/>
        </w:rPr>
        <w:t>63</w:t>
      </w:r>
      <w:r>
        <w:rPr>
          <w:rFonts w:hint="eastAsia" w:ascii="Times New Roman" w:hAnsi="Times New Roman" w:eastAsia="方正仿宋_GBK" w:cs="Times New Roman"/>
          <w:kern w:val="0"/>
          <w:sz w:val="32"/>
          <w:szCs w:val="32"/>
        </w:rPr>
        <w:t>t，其中，新增水土流失量</w:t>
      </w:r>
      <w:r>
        <w:rPr>
          <w:rFonts w:hint="eastAsia" w:ascii="Times New Roman" w:hAnsi="Times New Roman" w:eastAsia="方正仿宋_GBK" w:cs="Times New Roman"/>
          <w:kern w:val="0"/>
          <w:sz w:val="32"/>
          <w:szCs w:val="32"/>
          <w:lang w:val="en-US" w:eastAsia="zh-CN"/>
        </w:rPr>
        <w:t>47</w:t>
      </w:r>
      <w:r>
        <w:rPr>
          <w:rFonts w:hint="eastAsia" w:ascii="Times New Roman" w:hAnsi="Times New Roman" w:eastAsia="方正仿宋_GBK" w:cs="Times New Roman"/>
          <w:kern w:val="0"/>
          <w:sz w:val="32"/>
          <w:szCs w:val="32"/>
        </w:rPr>
        <w:t>t。</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（四）基本同意水土流失的危害性分析。</w:t>
      </w:r>
    </w:p>
    <w:p>
      <w:pPr>
        <w:keepNext w:val="0"/>
        <w:keepLines w:val="0"/>
        <w:pageBreakBefore w:val="0"/>
        <w:widowControl w:val="0"/>
        <w:kinsoku/>
        <w:wordWrap/>
        <w:overflowPunct/>
        <w:bidi w:val="0"/>
        <w:spacing w:line="500" w:lineRule="exact"/>
        <w:ind w:left="610" w:right="-465" w:rightChars="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五 、水土保持措施</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（一）基本同意项目划分为路基工程</w:t>
      </w:r>
      <w:r>
        <w:rPr>
          <w:rFonts w:hint="eastAsia" w:ascii="Times New Roman" w:hAnsi="Times New Roman" w:eastAsia="方正仿宋_GBK" w:cs="Times New Roman"/>
          <w:kern w:val="0"/>
          <w:sz w:val="32"/>
          <w:szCs w:val="32"/>
          <w:lang w:val="en-US" w:eastAsia="zh-CN"/>
        </w:rPr>
        <w:t>1</w:t>
      </w:r>
      <w:r>
        <w:rPr>
          <w:rFonts w:hint="eastAsia" w:ascii="Times New Roman" w:hAnsi="Times New Roman" w:eastAsia="方正仿宋_GBK" w:cs="Times New Roman"/>
          <w:kern w:val="0"/>
          <w:sz w:val="32"/>
          <w:szCs w:val="32"/>
        </w:rPr>
        <w:t>个水土流失防治区。</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（二）基本同意由主体工程设计中具有水保功能的措施和方案新增措施所组成的水土流失防治措施体系。</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（三）基本同意各防治区措施布局及措施典型设计。</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1、路基工程防治区</w:t>
      </w:r>
    </w:p>
    <w:p>
      <w:pPr>
        <w:spacing w:line="550" w:lineRule="exact"/>
        <w:ind w:firstLine="640" w:firstLineChars="200"/>
        <w:rPr>
          <w:rFonts w:hint="eastAsia" w:eastAsia="方正仿宋_GBK"/>
          <w:sz w:val="32"/>
          <w:szCs w:val="32"/>
        </w:rPr>
      </w:pPr>
      <w:r>
        <w:rPr>
          <w:rFonts w:hint="eastAsia" w:eastAsia="方正仿宋_GBK"/>
          <w:sz w:val="32"/>
          <w:szCs w:val="32"/>
        </w:rPr>
        <w:t>施工前，对该区施工扰动范围内可剥离表土进行剥离，并将表土运至表土堆放场集中堆存。施工中，在</w:t>
      </w:r>
      <w:r>
        <w:rPr>
          <w:rFonts w:hint="eastAsia" w:eastAsia="方正仿宋_GBK"/>
          <w:sz w:val="32"/>
          <w:szCs w:val="32"/>
          <w:lang w:val="en-US" w:eastAsia="zh-CN"/>
        </w:rPr>
        <w:t>填方边坡坡脚</w:t>
      </w:r>
      <w:r>
        <w:rPr>
          <w:rFonts w:hint="eastAsia" w:eastAsia="方正仿宋_GBK"/>
          <w:sz w:val="32"/>
          <w:szCs w:val="32"/>
        </w:rPr>
        <w:t>开挖临时排水沟，</w:t>
      </w:r>
      <w:r>
        <w:rPr>
          <w:rFonts w:hint="eastAsia" w:eastAsia="方正仿宋_GBK"/>
          <w:sz w:val="32"/>
          <w:szCs w:val="32"/>
          <w:lang w:val="en-US" w:eastAsia="zh-CN"/>
        </w:rPr>
        <w:t>在挖方边坡坡顶开挖临时截水沟，</w:t>
      </w:r>
      <w:r>
        <w:rPr>
          <w:rFonts w:hint="eastAsia" w:eastAsia="方正仿宋_GBK"/>
          <w:sz w:val="32"/>
          <w:szCs w:val="32"/>
        </w:rPr>
        <w:t>临时</w:t>
      </w:r>
      <w:r>
        <w:rPr>
          <w:rFonts w:hint="eastAsia" w:eastAsia="方正仿宋_GBK"/>
          <w:sz w:val="32"/>
          <w:szCs w:val="32"/>
          <w:lang w:val="en-US" w:eastAsia="zh-CN"/>
        </w:rPr>
        <w:t>截</w:t>
      </w:r>
      <w:r>
        <w:rPr>
          <w:rFonts w:hint="eastAsia" w:eastAsia="方正仿宋_GBK"/>
          <w:sz w:val="32"/>
          <w:szCs w:val="32"/>
        </w:rPr>
        <w:t>排水沟出口设置临时沉砂池，顺接周边排水系统</w:t>
      </w:r>
      <w:r>
        <w:rPr>
          <w:rFonts w:hint="eastAsia" w:eastAsia="方正仿宋_GBK"/>
          <w:sz w:val="32"/>
          <w:szCs w:val="32"/>
          <w:lang w:eastAsia="zh-CN"/>
        </w:rPr>
        <w:t>；</w:t>
      </w:r>
      <w:r>
        <w:rPr>
          <w:rFonts w:hint="eastAsia" w:eastAsia="方正仿宋_GBK"/>
          <w:sz w:val="32"/>
          <w:szCs w:val="32"/>
        </w:rPr>
        <w:t>在路基</w:t>
      </w:r>
      <w:r>
        <w:rPr>
          <w:rFonts w:hint="eastAsia" w:eastAsia="方正仿宋_GBK"/>
          <w:sz w:val="32"/>
          <w:szCs w:val="32"/>
          <w:lang w:val="en-US" w:eastAsia="zh-CN"/>
        </w:rPr>
        <w:t>填方</w:t>
      </w:r>
      <w:r>
        <w:rPr>
          <w:rFonts w:hint="eastAsia" w:eastAsia="方正仿宋_GBK"/>
          <w:sz w:val="32"/>
          <w:szCs w:val="32"/>
        </w:rPr>
        <w:t>边坡坡脚设置编织土袋临时拦挡</w:t>
      </w:r>
      <w:r>
        <w:rPr>
          <w:rFonts w:hint="eastAsia" w:eastAsia="方正仿宋_GBK"/>
          <w:sz w:val="32"/>
          <w:szCs w:val="32"/>
          <w:lang w:eastAsia="zh-CN"/>
        </w:rPr>
        <w:t>；</w:t>
      </w:r>
      <w:r>
        <w:rPr>
          <w:rFonts w:hint="eastAsia" w:eastAsia="方正仿宋_GBK"/>
          <w:sz w:val="32"/>
          <w:szCs w:val="32"/>
        </w:rPr>
        <w:t>在施工裸露区、开挖边坡采用彩条布临时覆盖</w:t>
      </w:r>
      <w:r>
        <w:rPr>
          <w:rFonts w:hint="eastAsia" w:eastAsia="方正仿宋_GBK"/>
          <w:sz w:val="32"/>
          <w:szCs w:val="32"/>
          <w:lang w:eastAsia="zh-CN"/>
        </w:rPr>
        <w:t>；</w:t>
      </w:r>
      <w:r>
        <w:rPr>
          <w:rFonts w:hint="eastAsia" w:eastAsia="方正仿宋_GBK"/>
          <w:sz w:val="32"/>
          <w:szCs w:val="32"/>
        </w:rPr>
        <w:t>路基成形后完成排水管网</w:t>
      </w:r>
      <w:r>
        <w:rPr>
          <w:rFonts w:hint="eastAsia" w:eastAsia="方正仿宋_GBK"/>
          <w:sz w:val="32"/>
          <w:szCs w:val="32"/>
          <w:lang w:eastAsia="zh-CN"/>
        </w:rPr>
        <w:t>、</w:t>
      </w:r>
      <w:r>
        <w:rPr>
          <w:rFonts w:hint="eastAsia" w:eastAsia="方正仿宋_GBK"/>
          <w:sz w:val="32"/>
          <w:szCs w:val="32"/>
          <w:lang w:val="en-US" w:eastAsia="zh-CN"/>
        </w:rPr>
        <w:t>透水铺装</w:t>
      </w:r>
      <w:r>
        <w:rPr>
          <w:rFonts w:hint="eastAsia" w:eastAsia="方正仿宋_GBK"/>
          <w:sz w:val="32"/>
          <w:szCs w:val="32"/>
        </w:rPr>
        <w:t>等排水措施和</w:t>
      </w:r>
      <w:r>
        <w:rPr>
          <w:rFonts w:hint="eastAsia" w:ascii="Times New Roman" w:hAnsi="Times New Roman" w:eastAsia="方正仿宋_GBK" w:cs="Times New Roman"/>
          <w:kern w:val="0"/>
          <w:sz w:val="32"/>
          <w:szCs w:val="32"/>
          <w:lang w:val="en-US" w:eastAsia="zh-CN"/>
        </w:rPr>
        <w:t>TBS</w:t>
      </w:r>
      <w:r>
        <w:rPr>
          <w:rFonts w:hint="eastAsia" w:eastAsia="方正仿宋_GBK"/>
          <w:sz w:val="32"/>
          <w:szCs w:val="32"/>
        </w:rPr>
        <w:t>生态护坡、喷播植草等护坡。施工后期，对实施</w:t>
      </w:r>
      <w:r>
        <w:rPr>
          <w:rFonts w:hint="eastAsia" w:eastAsia="方正仿宋_GBK"/>
          <w:sz w:val="32"/>
          <w:szCs w:val="32"/>
          <w:lang w:val="en-US" w:eastAsia="zh-CN"/>
        </w:rPr>
        <w:t>行道树绿化，绿化工程实施前进行</w:t>
      </w:r>
      <w:r>
        <w:rPr>
          <w:rFonts w:hint="eastAsia" w:eastAsia="方正仿宋_GBK"/>
          <w:sz w:val="32"/>
          <w:szCs w:val="32"/>
        </w:rPr>
        <w:t>表土回填。</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四</w:t>
      </w:r>
      <w:r>
        <w:rPr>
          <w:rFonts w:hint="eastAsia" w:ascii="Times New Roman" w:hAnsi="Times New Roman" w:eastAsia="方正仿宋_GBK" w:cs="Times New Roman"/>
          <w:kern w:val="0"/>
          <w:sz w:val="32"/>
          <w:szCs w:val="32"/>
        </w:rPr>
        <w:t>）水土保持施工组织设计基本可行。</w:t>
      </w:r>
    </w:p>
    <w:p>
      <w:pPr>
        <w:keepNext w:val="0"/>
        <w:keepLines w:val="0"/>
        <w:pageBreakBefore w:val="0"/>
        <w:widowControl w:val="0"/>
        <w:kinsoku/>
        <w:wordWrap/>
        <w:overflowPunct/>
        <w:bidi w:val="0"/>
        <w:spacing w:line="500" w:lineRule="exact"/>
        <w:ind w:left="610" w:right="-465" w:rightChars="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六、 水土保持监测</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水土保持监测方案基本可行。</w:t>
      </w:r>
    </w:p>
    <w:p>
      <w:pPr>
        <w:keepNext w:val="0"/>
        <w:keepLines w:val="0"/>
        <w:pageBreakBefore w:val="0"/>
        <w:widowControl w:val="0"/>
        <w:kinsoku/>
        <w:wordWrap/>
        <w:overflowPunct/>
        <w:bidi w:val="0"/>
        <w:spacing w:line="500" w:lineRule="exact"/>
        <w:ind w:left="610" w:right="-465" w:rightChars="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七、水土保持投资估算及效益分析</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（一）投资估算编制依据正确，费用及定额选择基本合理，编制深度基本满足规范要求。</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（二）</w:t>
      </w:r>
      <w:r>
        <w:rPr>
          <w:rFonts w:hint="eastAsia" w:ascii="Times New Roman" w:hAnsi="Times New Roman" w:eastAsia="方正仿宋_GBK" w:cs="Times New Roman"/>
          <w:kern w:val="0"/>
          <w:sz w:val="32"/>
          <w:szCs w:val="32"/>
          <w:lang w:val="en-US" w:eastAsia="zh-CN"/>
        </w:rPr>
        <w:t>项目</w:t>
      </w:r>
      <w:r>
        <w:rPr>
          <w:rFonts w:hint="eastAsia" w:ascii="Times New Roman" w:hAnsi="Times New Roman" w:eastAsia="方正仿宋_GBK" w:cs="Times New Roman"/>
          <w:kern w:val="0"/>
          <w:sz w:val="32"/>
          <w:szCs w:val="32"/>
          <w:lang w:eastAsia="zh-CN"/>
        </w:rPr>
        <w:t>水土保持方案工程静态总投资</w:t>
      </w:r>
      <w:r>
        <w:rPr>
          <w:rFonts w:hint="eastAsia" w:ascii="Times New Roman" w:hAnsi="Times New Roman" w:eastAsia="方正仿宋_GBK" w:cs="Times New Roman"/>
          <w:sz w:val="32"/>
          <w:szCs w:val="32"/>
          <w:lang w:val="en-US" w:eastAsia="zh-CN" w:bidi="ar"/>
        </w:rPr>
        <w:t>172.30</w:t>
      </w:r>
      <w:r>
        <w:rPr>
          <w:rFonts w:hint="eastAsia" w:ascii="Times New Roman" w:hAnsi="Times New Roman" w:eastAsia="方正仿宋_GBK" w:cs="Times New Roman"/>
          <w:kern w:val="0"/>
          <w:sz w:val="32"/>
          <w:szCs w:val="32"/>
          <w:lang w:eastAsia="zh-CN"/>
        </w:rPr>
        <w:t>万元，其中：主体已列</w:t>
      </w:r>
      <w:r>
        <w:rPr>
          <w:rFonts w:hint="eastAsia" w:ascii="Times New Roman" w:hAnsi="Times New Roman" w:eastAsia="方正仿宋_GBK" w:cs="Times New Roman"/>
          <w:sz w:val="32"/>
          <w:szCs w:val="32"/>
          <w:lang w:val="en-US" w:eastAsia="zh-CN" w:bidi="ar"/>
        </w:rPr>
        <w:t>142.59</w:t>
      </w:r>
      <w:r>
        <w:rPr>
          <w:rFonts w:hint="eastAsia" w:ascii="Times New Roman" w:hAnsi="Times New Roman" w:eastAsia="方正仿宋_GBK" w:cs="Times New Roman"/>
          <w:kern w:val="0"/>
          <w:sz w:val="32"/>
          <w:szCs w:val="32"/>
          <w:lang w:eastAsia="zh-CN"/>
        </w:rPr>
        <w:t>万元，方案新增</w:t>
      </w:r>
      <w:r>
        <w:rPr>
          <w:rFonts w:hint="eastAsia" w:ascii="Times New Roman" w:hAnsi="Times New Roman" w:eastAsia="方正仿宋_GBK" w:cs="Times New Roman"/>
          <w:sz w:val="32"/>
          <w:szCs w:val="32"/>
          <w:lang w:val="en-US" w:eastAsia="zh-CN" w:bidi="ar"/>
        </w:rPr>
        <w:t>29.71</w:t>
      </w:r>
      <w:r>
        <w:rPr>
          <w:rFonts w:hint="eastAsia" w:ascii="Times New Roman" w:hAnsi="Times New Roman" w:eastAsia="方正仿宋_GBK" w:cs="Times New Roman"/>
          <w:kern w:val="0"/>
          <w:sz w:val="32"/>
          <w:szCs w:val="32"/>
          <w:lang w:eastAsia="zh-CN"/>
        </w:rPr>
        <w:t>万元。</w:t>
      </w:r>
      <w:r>
        <w:rPr>
          <w:rFonts w:hint="eastAsia" w:ascii="Times New Roman" w:hAnsi="Times New Roman" w:eastAsia="方正仿宋_GBK" w:cs="Times New Roman"/>
          <w:kern w:val="0"/>
          <w:sz w:val="32"/>
          <w:szCs w:val="32"/>
          <w:lang w:val="en-US" w:eastAsia="zh-CN"/>
        </w:rPr>
        <w:t>方案新增投资中，</w:t>
      </w:r>
      <w:r>
        <w:rPr>
          <w:rFonts w:hint="eastAsia" w:ascii="Times New Roman" w:hAnsi="Times New Roman" w:eastAsia="方正仿宋_GBK" w:cs="Times New Roman"/>
          <w:kern w:val="0"/>
          <w:sz w:val="32"/>
          <w:szCs w:val="32"/>
          <w:lang w:eastAsia="zh-CN"/>
        </w:rPr>
        <w:t>工程措施</w:t>
      </w:r>
      <w:r>
        <w:rPr>
          <w:rFonts w:hint="eastAsia" w:ascii="Times New Roman" w:hAnsi="Times New Roman" w:eastAsia="方正仿宋_GBK" w:cs="Times New Roman"/>
          <w:sz w:val="32"/>
          <w:szCs w:val="32"/>
          <w:lang w:val="en-US" w:eastAsia="zh-CN" w:bidi="ar"/>
        </w:rPr>
        <w:t>3.30</w:t>
      </w:r>
      <w:r>
        <w:rPr>
          <w:rFonts w:hint="eastAsia" w:ascii="Times New Roman" w:hAnsi="Times New Roman" w:eastAsia="方正仿宋_GBK" w:cs="Times New Roman"/>
          <w:kern w:val="0"/>
          <w:sz w:val="32"/>
          <w:szCs w:val="32"/>
          <w:lang w:eastAsia="zh-CN"/>
        </w:rPr>
        <w:t>万元，监测措施</w:t>
      </w:r>
      <w:r>
        <w:rPr>
          <w:rFonts w:hint="eastAsia" w:ascii="Times New Roman" w:hAnsi="Times New Roman" w:eastAsia="方正仿宋_GBK" w:cs="Times New Roman"/>
          <w:kern w:val="0"/>
          <w:sz w:val="32"/>
          <w:szCs w:val="32"/>
          <w:lang w:val="en-US" w:eastAsia="zh-CN"/>
        </w:rPr>
        <w:t>9.08</w:t>
      </w:r>
      <w:r>
        <w:rPr>
          <w:rFonts w:hint="eastAsia" w:ascii="Times New Roman" w:hAnsi="Times New Roman" w:eastAsia="方正仿宋_GBK" w:cs="Times New Roman"/>
          <w:kern w:val="0"/>
          <w:sz w:val="32"/>
          <w:szCs w:val="32"/>
          <w:lang w:eastAsia="zh-CN"/>
        </w:rPr>
        <w:t>万元，施工临时措施</w:t>
      </w:r>
      <w:r>
        <w:rPr>
          <w:rFonts w:hint="eastAsia" w:ascii="Times New Roman" w:hAnsi="Times New Roman" w:eastAsia="方正仿宋_GBK" w:cs="Times New Roman"/>
          <w:sz w:val="32"/>
          <w:szCs w:val="32"/>
          <w:lang w:val="en-US" w:eastAsia="zh-CN" w:bidi="ar"/>
        </w:rPr>
        <w:t>6.44</w:t>
      </w:r>
      <w:r>
        <w:rPr>
          <w:rFonts w:hint="eastAsia" w:ascii="Times New Roman" w:hAnsi="Times New Roman" w:eastAsia="方正仿宋_GBK" w:cs="Times New Roman"/>
          <w:kern w:val="0"/>
          <w:sz w:val="32"/>
          <w:szCs w:val="32"/>
          <w:lang w:eastAsia="zh-CN"/>
        </w:rPr>
        <w:t>万元，独立费用</w:t>
      </w:r>
      <w:r>
        <w:rPr>
          <w:rFonts w:hint="eastAsia" w:ascii="Times New Roman" w:hAnsi="Times New Roman" w:eastAsia="方正仿宋_GBK" w:cs="Times New Roman"/>
          <w:sz w:val="32"/>
          <w:szCs w:val="32"/>
          <w:lang w:val="en-US" w:eastAsia="zh-CN" w:bidi="ar"/>
        </w:rPr>
        <w:t>7.79</w:t>
      </w:r>
      <w:r>
        <w:rPr>
          <w:rFonts w:hint="eastAsia" w:ascii="Times New Roman" w:hAnsi="Times New Roman" w:eastAsia="方正仿宋_GBK" w:cs="Times New Roman"/>
          <w:kern w:val="0"/>
          <w:sz w:val="32"/>
          <w:szCs w:val="32"/>
          <w:lang w:eastAsia="zh-CN"/>
        </w:rPr>
        <w:t>万元，基本预备费</w:t>
      </w:r>
      <w:r>
        <w:rPr>
          <w:rFonts w:hint="eastAsia" w:ascii="Times New Roman" w:hAnsi="Times New Roman" w:eastAsia="方正仿宋_GBK" w:cs="Times New Roman"/>
          <w:kern w:val="0"/>
          <w:sz w:val="32"/>
          <w:szCs w:val="32"/>
          <w:lang w:val="en-US" w:eastAsia="zh-CN"/>
        </w:rPr>
        <w:t>1.60</w:t>
      </w:r>
      <w:r>
        <w:rPr>
          <w:rFonts w:hint="eastAsia" w:ascii="Times New Roman" w:hAnsi="Times New Roman" w:eastAsia="方正仿宋_GBK" w:cs="Times New Roman"/>
          <w:kern w:val="0"/>
          <w:sz w:val="32"/>
          <w:szCs w:val="32"/>
          <w:lang w:eastAsia="zh-CN"/>
        </w:rPr>
        <w:t>万元，水土保持补偿费</w:t>
      </w:r>
      <w:r>
        <w:rPr>
          <w:rFonts w:hint="eastAsia" w:ascii="Times New Roman" w:hAnsi="Times New Roman" w:eastAsia="方正仿宋_GBK" w:cs="Times New Roman"/>
          <w:sz w:val="32"/>
          <w:szCs w:val="32"/>
          <w:lang w:bidi="ar"/>
        </w:rPr>
        <w:t>水土保持补偿费</w:t>
      </w:r>
      <w:r>
        <w:rPr>
          <w:rFonts w:hint="eastAsia" w:ascii="Times New Roman" w:hAnsi="Times New Roman" w:eastAsia="方正仿宋_GBK" w:cs="Times New Roman"/>
          <w:sz w:val="32"/>
          <w:szCs w:val="32"/>
          <w:lang w:val="en-US" w:eastAsia="zh-CN" w:bidi="ar"/>
        </w:rPr>
        <w:t>1.50</w:t>
      </w:r>
      <w:r>
        <w:rPr>
          <w:rFonts w:hint="eastAsia" w:ascii="Times New Roman" w:hAnsi="Times New Roman" w:eastAsia="方正仿宋_GBK" w:cs="Times New Roman"/>
          <w:sz w:val="32"/>
          <w:szCs w:val="32"/>
          <w:lang w:bidi="ar"/>
        </w:rPr>
        <w:t>万元</w:t>
      </w:r>
      <w:r>
        <w:rPr>
          <w:rFonts w:hint="eastAsia" w:ascii="Times New Roman" w:hAnsi="Times New Roman" w:eastAsia="方正仿宋_GBK" w:cs="Times New Roman"/>
          <w:sz w:val="32"/>
          <w:szCs w:val="32"/>
          <w:lang w:eastAsia="zh-CN" w:bidi="ar"/>
        </w:rPr>
        <w:t>（</w:t>
      </w:r>
      <w:r>
        <w:rPr>
          <w:rFonts w:hint="eastAsia" w:ascii="Times New Roman" w:hAnsi="Times New Roman" w:eastAsia="方正仿宋_GBK" w:cs="Times New Roman"/>
          <w:sz w:val="32"/>
          <w:szCs w:val="32"/>
          <w:lang w:val="en-US" w:eastAsia="zh-CN" w:bidi="ar"/>
        </w:rPr>
        <w:t>15030.4元</w:t>
      </w:r>
      <w:r>
        <w:rPr>
          <w:rFonts w:hint="eastAsia" w:ascii="Times New Roman" w:hAnsi="Times New Roman" w:eastAsia="方正仿宋_GBK" w:cs="Times New Roman"/>
          <w:sz w:val="32"/>
          <w:szCs w:val="32"/>
          <w:lang w:eastAsia="zh-CN" w:bidi="ar"/>
        </w:rPr>
        <w:t>）</w:t>
      </w:r>
      <w:r>
        <w:rPr>
          <w:rFonts w:hint="eastAsia" w:ascii="Times New Roman" w:hAnsi="Times New Roman" w:eastAsia="方正仿宋_GBK" w:cs="Times New Roman"/>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（三）效益分析方法正确，分析结果基本合理。</w:t>
      </w:r>
    </w:p>
    <w:p>
      <w:pPr>
        <w:keepNext w:val="0"/>
        <w:keepLines w:val="0"/>
        <w:pageBreakBefore w:val="0"/>
        <w:widowControl w:val="0"/>
        <w:kinsoku/>
        <w:wordWrap/>
        <w:overflowPunct/>
        <w:bidi w:val="0"/>
        <w:spacing w:line="500" w:lineRule="exact"/>
        <w:ind w:left="610" w:right="-465" w:rightChars="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八、 水土保持管理</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组织管理、后续设计、水土保持监测、水土保持监理、水土保持施工、水土保持设施验收等水土保持管理要求基本可行。</w:t>
      </w:r>
    </w:p>
    <w:p>
      <w:pPr>
        <w:keepNext w:val="0"/>
        <w:keepLines w:val="0"/>
        <w:pageBreakBefore w:val="0"/>
        <w:widowControl w:val="0"/>
        <w:kinsoku/>
        <w:wordWrap/>
        <w:overflowPunct/>
        <w:bidi w:val="0"/>
        <w:spacing w:line="500" w:lineRule="exact"/>
        <w:ind w:left="610" w:right="-465" w:rightChars="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九、 评审结论</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《水保方案（报批稿）》基本符合《生产建设项目水土保持技术标准》（GB50433-2018）、《生产建设项目水土流失防治标准》（GB/T 50434-2018）、《重庆市水利局关于进一步加强和规范水土保持方案审批的通知》（渝水</w:t>
      </w:r>
      <w:r>
        <w:rPr>
          <w:rFonts w:hint="eastAsia" w:ascii="Times New Roman" w:hAnsi="Times New Roman" w:eastAsia="方正仿宋_GBK" w:cs="Times New Roman"/>
          <w:kern w:val="0"/>
          <w:sz w:val="32"/>
          <w:szCs w:val="32"/>
        </w:rPr>
        <w:t>〔2018〕</w:t>
      </w:r>
      <w:r>
        <w:rPr>
          <w:rFonts w:hint="eastAsia" w:ascii="Times New Roman" w:hAnsi="Times New Roman" w:eastAsia="方正仿宋_GBK" w:cs="Times New Roman"/>
          <w:kern w:val="0"/>
          <w:sz w:val="32"/>
          <w:szCs w:val="32"/>
          <w:lang w:val="en-US" w:eastAsia="zh-CN"/>
        </w:rPr>
        <w:t>267号）、《水利部办公厅关于印发生产建设项目水土保持方案审查要点的通知》（办水保〔2023〕177号）等文件的相关要求。同意该方案通过评审。</w:t>
      </w:r>
    </w:p>
    <w:p>
      <w:pPr>
        <w:spacing w:line="252" w:lineRule="auto"/>
        <w:rPr>
          <w:rFonts w:ascii="Arial"/>
          <w:sz w:val="21"/>
        </w:rPr>
      </w:pPr>
    </w:p>
    <w:p>
      <w:pPr>
        <w:pStyle w:val="2"/>
      </w:pPr>
      <w:r>
        <w:drawing>
          <wp:anchor distT="0" distB="0" distL="114300" distR="114300" simplePos="0" relativeHeight="251658240" behindDoc="0" locked="0" layoutInCell="1" allowOverlap="1">
            <wp:simplePos x="0" y="0"/>
            <wp:positionH relativeFrom="column">
              <wp:posOffset>4091940</wp:posOffset>
            </wp:positionH>
            <wp:positionV relativeFrom="paragraph">
              <wp:posOffset>214630</wp:posOffset>
            </wp:positionV>
            <wp:extent cx="1019810" cy="476250"/>
            <wp:effectExtent l="0" t="0" r="8890" b="0"/>
            <wp:wrapNone/>
            <wp:docPr id="1" name="图片 2" descr="905d9bd2728ecfa920f2e1769136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905d9bd2728ecfa920f2e1769136158"/>
                    <pic:cNvPicPr>
                      <a:picLocks noChangeAspect="1"/>
                    </pic:cNvPicPr>
                  </pic:nvPicPr>
                  <pic:blipFill>
                    <a:blip r:embed="rId4"/>
                    <a:stretch>
                      <a:fillRect/>
                    </a:stretch>
                  </pic:blipFill>
                  <pic:spPr>
                    <a:xfrm>
                      <a:off x="0" y="0"/>
                      <a:ext cx="1019810" cy="476250"/>
                    </a:xfrm>
                    <a:prstGeom prst="rect">
                      <a:avLst/>
                    </a:prstGeom>
                    <a:noFill/>
                    <a:ln w="9525">
                      <a:noFill/>
                    </a:ln>
                  </pic:spPr>
                </pic:pic>
              </a:graphicData>
            </a:graphic>
          </wp:anchor>
        </w:drawing>
      </w:r>
    </w:p>
    <w:p>
      <w:pPr>
        <w:spacing w:before="91"/>
        <w:ind w:left="4753" w:firstLine="426" w:firstLineChars="200"/>
        <w:rPr>
          <w:sz w:val="28"/>
          <w:szCs w:val="28"/>
        </w:rPr>
      </w:pPr>
      <w:r>
        <w:rPr>
          <w:rFonts w:ascii="宋体" w:hAnsi="宋体" w:eastAsia="宋体" w:cs="宋体"/>
          <w:spacing w:val="-29"/>
          <w:w w:val="97"/>
          <w:sz w:val="28"/>
          <w:szCs w:val="28"/>
        </w:rPr>
        <w:t>专家组组长：</w:t>
      </w:r>
      <w:r>
        <w:rPr>
          <w:rFonts w:ascii="宋体" w:hAnsi="宋体" w:eastAsia="宋体" w:cs="宋体"/>
          <w:spacing w:val="43"/>
          <w:sz w:val="28"/>
          <w:szCs w:val="28"/>
        </w:rPr>
        <w:t xml:space="preserve"> </w:t>
      </w:r>
    </w:p>
    <w:p>
      <w:pPr>
        <w:pStyle w:val="3"/>
        <w:ind w:firstLine="5120" w:firstLineChars="1600"/>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kern w:val="0"/>
          <w:sz w:val="32"/>
          <w:szCs w:val="32"/>
          <w:lang w:val="en-US" w:eastAsia="zh-CN" w:bidi="ar-SA"/>
        </w:rPr>
        <w:t>2023年 8 月 10 日</w:t>
      </w:r>
    </w:p>
    <w:p>
      <w:pPr>
        <w:pStyle w:val="3"/>
        <w:ind w:firstLine="320"/>
        <w:rPr>
          <w:rFonts w:ascii="Times New Roman" w:hAnsi="Times New Roman" w:eastAsia="方正仿宋_GBK" w:cs="Times New Roman"/>
          <w:color w:val="000000"/>
          <w:kern w:val="0"/>
          <w:sz w:val="32"/>
          <w:szCs w:val="32"/>
        </w:rPr>
      </w:pPr>
    </w:p>
    <w:p>
      <w:pPr>
        <w:pStyle w:val="3"/>
        <w:ind w:firstLine="320"/>
        <w:rPr>
          <w:rFonts w:ascii="Times New Roman" w:hAnsi="Times New Roman" w:eastAsia="方正仿宋_GBK" w:cs="Times New Roman"/>
          <w:color w:val="000000"/>
          <w:ker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F6EDC"/>
    <w:rsid w:val="4B7F6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eastAsia="宋体"/>
      <w:szCs w:val="24"/>
    </w:rPr>
  </w:style>
  <w:style w:type="paragraph" w:styleId="3">
    <w:name w:val="Body Text First Indent"/>
    <w:basedOn w:val="2"/>
    <w:qFormat/>
    <w:uiPriority w:val="0"/>
    <w:pPr>
      <w:ind w:firstLine="420" w:firstLineChars="100"/>
    </w:pPr>
  </w:style>
  <w:style w:type="paragraph" w:styleId="4">
    <w:name w:val="Body Text Indent"/>
    <w:basedOn w:val="1"/>
    <w:next w:val="1"/>
    <w:qFormat/>
    <w:uiPriority w:val="0"/>
    <w:pPr>
      <w:ind w:left="-2" w:leftChars="-1" w:firstLine="538" w:firstLineChars="192"/>
      <w:jc w:val="left"/>
    </w:pPr>
    <w:rPr>
      <w:rFonts w:ascii="宋体" w:hAnsi="宋体" w:eastAsia="宋体" w:cs="Times New Roman"/>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2023-08-25T02:31:00Z</dcterms:created>
  <dc:creator>hp</dc:creator>
  <cp:lastModifiedBy>hp</cp:lastModifiedBy>
  <dcterms:modified xsi:type="dcterms:W3CDTF">2023-08-25T02:32:16Z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