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黑体_GBK" w:hAnsi="宋体" w:eastAsia="方正黑体_GBK" w:cs="宋体"/>
          <w:bCs/>
          <w:color w:val="auto"/>
          <w:sz w:val="32"/>
          <w:szCs w:val="32"/>
        </w:rPr>
      </w:pPr>
      <w:r>
        <w:rPr>
          <w:rFonts w:hint="eastAsia" w:ascii="方正黑体_GBK" w:hAnsi="宋体" w:eastAsia="方正黑体_GBK" w:cs="宋体"/>
          <w:bCs/>
          <w:color w:val="auto"/>
          <w:sz w:val="32"/>
          <w:szCs w:val="32"/>
        </w:rPr>
        <w:t>附件1</w:t>
      </w:r>
    </w:p>
    <w:p>
      <w:pPr>
        <w:autoSpaceDE w:val="0"/>
        <w:autoSpaceDN w:val="0"/>
        <w:snapToGrid w:val="0"/>
        <w:spacing w:line="240" w:lineRule="exact"/>
        <w:ind w:firstLine="482" w:firstLineChars="200"/>
        <w:jc w:val="center"/>
        <w:rPr>
          <w:rFonts w:ascii="仿宋" w:hAnsi="仿宋" w:eastAsia="仿宋"/>
          <w:color w:val="auto"/>
          <w:szCs w:val="21"/>
        </w:rPr>
      </w:pPr>
      <w:r>
        <w:rPr>
          <w:rFonts w:hint="eastAsia" w:ascii="仿宋" w:hAnsi="仿宋" w:eastAsia="仿宋"/>
          <w:b/>
          <w:color w:val="auto"/>
          <w:sz w:val="24"/>
        </w:rPr>
        <w:t>江语听澜项目（江北区大石坝组团G分区G15-4-1/03、G15-4-4/07地块）</w:t>
      </w:r>
      <w:r>
        <w:rPr>
          <w:rFonts w:ascii="仿宋" w:hAnsi="仿宋" w:eastAsia="仿宋"/>
          <w:b/>
          <w:color w:val="auto"/>
          <w:sz w:val="24"/>
        </w:rPr>
        <w:t>水土保持方案特性表</w:t>
      </w:r>
    </w:p>
    <w:tbl>
      <w:tblPr>
        <w:tblStyle w:val="6"/>
        <w:tblW w:w="100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708"/>
        <w:gridCol w:w="494"/>
        <w:gridCol w:w="928"/>
        <w:gridCol w:w="499"/>
        <w:gridCol w:w="1204"/>
        <w:gridCol w:w="417"/>
        <w:gridCol w:w="153"/>
        <w:gridCol w:w="926"/>
        <w:gridCol w:w="130"/>
        <w:gridCol w:w="642"/>
        <w:gridCol w:w="546"/>
        <w:gridCol w:w="300"/>
        <w:gridCol w:w="568"/>
        <w:gridCol w:w="17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481"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项目名称</w:t>
            </w:r>
          </w:p>
        </w:tc>
        <w:tc>
          <w:tcPr>
            <w:tcW w:w="3125" w:type="dxa"/>
            <w:gridSpan w:val="4"/>
            <w:vAlign w:val="center"/>
          </w:tcPr>
          <w:p>
            <w:pPr>
              <w:widowControl/>
              <w:adjustRightInd w:val="0"/>
              <w:snapToGrid w:val="0"/>
              <w:spacing w:line="220" w:lineRule="exact"/>
              <w:rPr>
                <w:rFonts w:ascii="Times New Roman" w:hAnsi="Times New Roman" w:eastAsia="仿宋"/>
                <w:color w:val="auto"/>
                <w:kern w:val="0"/>
                <w:sz w:val="18"/>
                <w:szCs w:val="18"/>
              </w:rPr>
            </w:pPr>
            <w:r>
              <w:rPr>
                <w:rFonts w:ascii="Times New Roman" w:hAnsi="Times New Roman" w:eastAsia="仿宋"/>
                <w:color w:val="auto"/>
                <w:sz w:val="18"/>
                <w:szCs w:val="18"/>
              </w:rPr>
              <w:t>江语听澜项目（江北区大石坝组团G分区G15-4-1/03、G15-4-4/07地块）</w:t>
            </w:r>
          </w:p>
        </w:tc>
        <w:tc>
          <w:tcPr>
            <w:tcW w:w="3114" w:type="dxa"/>
            <w:gridSpan w:val="7"/>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流域管理机构</w:t>
            </w:r>
          </w:p>
        </w:tc>
        <w:tc>
          <w:tcPr>
            <w:tcW w:w="2292"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481"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涉及省（市、区）</w:t>
            </w:r>
          </w:p>
        </w:tc>
        <w:tc>
          <w:tcPr>
            <w:tcW w:w="1422"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重庆市</w:t>
            </w:r>
          </w:p>
        </w:tc>
        <w:tc>
          <w:tcPr>
            <w:tcW w:w="1703"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涉及地市或个数</w:t>
            </w:r>
          </w:p>
        </w:tc>
        <w:tc>
          <w:tcPr>
            <w:tcW w:w="1496"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1</w:t>
            </w:r>
          </w:p>
        </w:tc>
        <w:tc>
          <w:tcPr>
            <w:tcW w:w="1618"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涉及县或个数</w:t>
            </w:r>
          </w:p>
        </w:tc>
        <w:tc>
          <w:tcPr>
            <w:tcW w:w="2292"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sz w:val="18"/>
                <w:szCs w:val="18"/>
              </w:rPr>
              <w:t>江北区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481"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项目规模</w:t>
            </w:r>
          </w:p>
        </w:tc>
        <w:tc>
          <w:tcPr>
            <w:tcW w:w="1422" w:type="dxa"/>
            <w:gridSpan w:val="2"/>
            <w:vAlign w:val="center"/>
          </w:tcPr>
          <w:p>
            <w:pPr>
              <w:snapToGrid w:val="0"/>
              <w:spacing w:line="220" w:lineRule="exact"/>
              <w:jc w:val="left"/>
              <w:rPr>
                <w:rFonts w:ascii="Times New Roman" w:hAnsi="Times New Roman" w:eastAsia="仿宋"/>
                <w:color w:val="auto"/>
                <w:sz w:val="18"/>
                <w:szCs w:val="18"/>
              </w:rPr>
            </w:pPr>
            <w:r>
              <w:rPr>
                <w:rFonts w:ascii="Times New Roman" w:hAnsi="Times New Roman" w:eastAsia="仿宋"/>
                <w:color w:val="auto"/>
                <w:sz w:val="18"/>
                <w:szCs w:val="18"/>
              </w:rPr>
              <w:t>本项目总用地面积19806m</w:t>
            </w:r>
            <w:r>
              <w:rPr>
                <w:rFonts w:ascii="Times New Roman" w:hAnsi="Times New Roman" w:eastAsia="仿宋"/>
                <w:color w:val="auto"/>
                <w:sz w:val="18"/>
                <w:szCs w:val="18"/>
                <w:vertAlign w:val="superscript"/>
              </w:rPr>
              <w:t>2</w:t>
            </w:r>
            <w:r>
              <w:rPr>
                <w:rFonts w:ascii="Times New Roman" w:hAnsi="Times New Roman" w:eastAsia="仿宋"/>
                <w:color w:val="auto"/>
                <w:sz w:val="18"/>
                <w:szCs w:val="18"/>
              </w:rPr>
              <w:t>，总建筑面积46270.48m</w:t>
            </w:r>
            <w:r>
              <w:rPr>
                <w:rFonts w:ascii="Times New Roman" w:hAnsi="Times New Roman" w:eastAsia="仿宋"/>
                <w:color w:val="auto"/>
                <w:sz w:val="18"/>
                <w:szCs w:val="18"/>
                <w:vertAlign w:val="superscript"/>
              </w:rPr>
              <w:t>2</w:t>
            </w:r>
            <w:r>
              <w:rPr>
                <w:rFonts w:ascii="Times New Roman" w:hAnsi="Times New Roman" w:eastAsia="仿宋"/>
                <w:color w:val="auto"/>
                <w:sz w:val="18"/>
                <w:szCs w:val="18"/>
              </w:rPr>
              <w:t>。主要包括建筑、边坡、给排水等。</w:t>
            </w:r>
          </w:p>
        </w:tc>
        <w:tc>
          <w:tcPr>
            <w:tcW w:w="1703"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总投资（万元）</w:t>
            </w:r>
          </w:p>
        </w:tc>
        <w:tc>
          <w:tcPr>
            <w:tcW w:w="1496"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53000</w:t>
            </w:r>
          </w:p>
        </w:tc>
        <w:tc>
          <w:tcPr>
            <w:tcW w:w="1618"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土建投资（万元）</w:t>
            </w:r>
          </w:p>
        </w:tc>
        <w:tc>
          <w:tcPr>
            <w:tcW w:w="2292"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22000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481"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动工时间</w:t>
            </w:r>
          </w:p>
        </w:tc>
        <w:tc>
          <w:tcPr>
            <w:tcW w:w="1422" w:type="dxa"/>
            <w:gridSpan w:val="2"/>
            <w:vAlign w:val="center"/>
          </w:tcPr>
          <w:p>
            <w:pPr>
              <w:snapToGrid w:val="0"/>
              <w:spacing w:line="220" w:lineRule="exact"/>
              <w:jc w:val="center"/>
              <w:rPr>
                <w:rFonts w:ascii="Times New Roman" w:hAnsi="Times New Roman" w:eastAsia="仿宋"/>
                <w:color w:val="auto"/>
                <w:spacing w:val="-20"/>
                <w:sz w:val="18"/>
                <w:szCs w:val="18"/>
              </w:rPr>
            </w:pPr>
            <w:r>
              <w:rPr>
                <w:rFonts w:ascii="Times New Roman" w:hAnsi="Times New Roman" w:eastAsia="仿宋"/>
                <w:color w:val="auto"/>
                <w:spacing w:val="-20"/>
                <w:sz w:val="18"/>
                <w:szCs w:val="18"/>
                <w:u w:val="none" w:color="00B050"/>
              </w:rPr>
              <w:t>2024年2月</w:t>
            </w:r>
          </w:p>
        </w:tc>
        <w:tc>
          <w:tcPr>
            <w:tcW w:w="1703"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完工时间</w:t>
            </w:r>
          </w:p>
        </w:tc>
        <w:tc>
          <w:tcPr>
            <w:tcW w:w="1496"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u w:val="none" w:color="00B050"/>
              </w:rPr>
              <w:t>2026年4月</w:t>
            </w:r>
          </w:p>
        </w:tc>
        <w:tc>
          <w:tcPr>
            <w:tcW w:w="1618"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设计水平年</w:t>
            </w:r>
          </w:p>
        </w:tc>
        <w:tc>
          <w:tcPr>
            <w:tcW w:w="2292"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2026年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81"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工程占地（hm</w:t>
            </w:r>
            <w:r>
              <w:rPr>
                <w:rFonts w:ascii="Times New Roman" w:hAnsi="Times New Roman" w:eastAsia="仿宋"/>
                <w:color w:val="auto"/>
                <w:kern w:val="0"/>
                <w:sz w:val="18"/>
                <w:szCs w:val="18"/>
                <w:vertAlign w:val="superscript"/>
              </w:rPr>
              <w:t>2</w:t>
            </w:r>
            <w:r>
              <w:rPr>
                <w:rFonts w:ascii="Times New Roman" w:hAnsi="Times New Roman" w:eastAsia="仿宋"/>
                <w:color w:val="auto"/>
                <w:kern w:val="0"/>
                <w:sz w:val="18"/>
                <w:szCs w:val="18"/>
              </w:rPr>
              <w:t>）</w:t>
            </w:r>
          </w:p>
        </w:tc>
        <w:tc>
          <w:tcPr>
            <w:tcW w:w="1422" w:type="dxa"/>
            <w:gridSpan w:val="2"/>
            <w:vAlign w:val="center"/>
          </w:tcPr>
          <w:p>
            <w:pPr>
              <w:snapToGrid w:val="0"/>
              <w:spacing w:line="220" w:lineRule="exact"/>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2.14</w:t>
            </w:r>
          </w:p>
        </w:tc>
        <w:tc>
          <w:tcPr>
            <w:tcW w:w="1703" w:type="dxa"/>
            <w:gridSpan w:val="2"/>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永久占地（hm</w:t>
            </w:r>
            <w:r>
              <w:rPr>
                <w:rFonts w:ascii="Times New Roman" w:hAnsi="Times New Roman" w:eastAsia="仿宋"/>
                <w:color w:val="auto"/>
                <w:kern w:val="0"/>
                <w:sz w:val="18"/>
                <w:szCs w:val="18"/>
                <w:vertAlign w:val="superscript"/>
              </w:rPr>
              <w:t>2</w:t>
            </w:r>
            <w:r>
              <w:rPr>
                <w:rFonts w:ascii="Times New Roman" w:hAnsi="Times New Roman" w:eastAsia="仿宋"/>
                <w:color w:val="auto"/>
                <w:kern w:val="0"/>
                <w:sz w:val="18"/>
                <w:szCs w:val="18"/>
              </w:rPr>
              <w:t>）</w:t>
            </w:r>
          </w:p>
        </w:tc>
        <w:tc>
          <w:tcPr>
            <w:tcW w:w="1496" w:type="dxa"/>
            <w:gridSpan w:val="3"/>
            <w:vAlign w:val="center"/>
          </w:tcPr>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1.98</w:t>
            </w:r>
          </w:p>
        </w:tc>
        <w:tc>
          <w:tcPr>
            <w:tcW w:w="1618"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临时占地（hm</w:t>
            </w:r>
            <w:r>
              <w:rPr>
                <w:rFonts w:ascii="Times New Roman" w:hAnsi="Times New Roman" w:eastAsia="仿宋"/>
                <w:color w:val="auto"/>
                <w:kern w:val="0"/>
                <w:sz w:val="18"/>
                <w:szCs w:val="18"/>
                <w:vertAlign w:val="superscript"/>
              </w:rPr>
              <w:t>2</w:t>
            </w:r>
            <w:r>
              <w:rPr>
                <w:rFonts w:ascii="Times New Roman" w:hAnsi="Times New Roman" w:eastAsia="仿宋"/>
                <w:color w:val="auto"/>
                <w:kern w:val="0"/>
                <w:sz w:val="18"/>
                <w:szCs w:val="18"/>
              </w:rPr>
              <w:t>）</w:t>
            </w:r>
          </w:p>
        </w:tc>
        <w:tc>
          <w:tcPr>
            <w:tcW w:w="2292" w:type="dxa"/>
            <w:gridSpan w:val="2"/>
            <w:vAlign w:val="center"/>
          </w:tcPr>
          <w:p>
            <w:pPr>
              <w:widowControl/>
              <w:adjustRightInd w:val="0"/>
              <w:snapToGrid w:val="0"/>
              <w:spacing w:line="220" w:lineRule="exact"/>
              <w:jc w:val="center"/>
              <w:rPr>
                <w:rFonts w:hint="default" w:ascii="Times New Roman" w:hAnsi="Times New Roman" w:eastAsia="仿宋"/>
                <w:color w:val="auto"/>
                <w:kern w:val="0"/>
                <w:sz w:val="18"/>
                <w:szCs w:val="18"/>
                <w:lang w:val="en-US" w:eastAsia="zh-CN"/>
              </w:rPr>
            </w:pPr>
            <w:r>
              <w:rPr>
                <w:rFonts w:hint="eastAsia" w:ascii="Times New Roman" w:hAnsi="Times New Roman" w:eastAsia="仿宋"/>
                <w:color w:val="auto"/>
                <w:kern w:val="0"/>
                <w:sz w:val="18"/>
                <w:szCs w:val="18"/>
                <w:lang w:val="en-US" w:eastAsia="zh-CN"/>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2903" w:type="dxa"/>
            <w:gridSpan w:val="4"/>
            <w:vMerge w:val="restart"/>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土石方量（万m</w:t>
            </w:r>
            <w:r>
              <w:rPr>
                <w:rFonts w:ascii="Times New Roman" w:hAnsi="Times New Roman" w:eastAsia="仿宋"/>
                <w:color w:val="auto"/>
                <w:sz w:val="18"/>
                <w:szCs w:val="18"/>
                <w:vertAlign w:val="superscript"/>
              </w:rPr>
              <w:t>3</w:t>
            </w:r>
            <w:r>
              <w:rPr>
                <w:rFonts w:ascii="Times New Roman" w:hAnsi="Times New Roman" w:eastAsia="仿宋"/>
                <w:color w:val="auto"/>
                <w:sz w:val="18"/>
                <w:szCs w:val="18"/>
              </w:rPr>
              <w:t>）</w:t>
            </w:r>
          </w:p>
        </w:tc>
        <w:tc>
          <w:tcPr>
            <w:tcW w:w="1703"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挖方</w:t>
            </w:r>
          </w:p>
        </w:tc>
        <w:tc>
          <w:tcPr>
            <w:tcW w:w="1496"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填方</w:t>
            </w:r>
          </w:p>
        </w:tc>
        <w:tc>
          <w:tcPr>
            <w:tcW w:w="1618"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借方</w:t>
            </w:r>
          </w:p>
        </w:tc>
        <w:tc>
          <w:tcPr>
            <w:tcW w:w="2292"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2903" w:type="dxa"/>
            <w:gridSpan w:val="4"/>
            <w:vMerge w:val="continue"/>
            <w:vAlign w:val="center"/>
          </w:tcPr>
          <w:p>
            <w:pPr>
              <w:snapToGrid w:val="0"/>
              <w:spacing w:line="220" w:lineRule="exact"/>
              <w:jc w:val="center"/>
              <w:rPr>
                <w:rFonts w:ascii="Times New Roman" w:hAnsi="Times New Roman" w:eastAsia="仿宋"/>
                <w:color w:val="auto"/>
                <w:sz w:val="18"/>
                <w:szCs w:val="18"/>
              </w:rPr>
            </w:pPr>
          </w:p>
        </w:tc>
        <w:tc>
          <w:tcPr>
            <w:tcW w:w="1703"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5.92</w:t>
            </w:r>
          </w:p>
        </w:tc>
        <w:tc>
          <w:tcPr>
            <w:tcW w:w="1496"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2.40</w:t>
            </w:r>
          </w:p>
        </w:tc>
        <w:tc>
          <w:tcPr>
            <w:tcW w:w="1618"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0.00</w:t>
            </w:r>
          </w:p>
        </w:tc>
        <w:tc>
          <w:tcPr>
            <w:tcW w:w="2292"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重点防治区名称</w:t>
            </w:r>
          </w:p>
        </w:tc>
        <w:tc>
          <w:tcPr>
            <w:tcW w:w="7109" w:type="dxa"/>
            <w:gridSpan w:val="11"/>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地貌类型</w:t>
            </w:r>
          </w:p>
        </w:tc>
        <w:tc>
          <w:tcPr>
            <w:tcW w:w="227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丘陵缓坡地形</w:t>
            </w:r>
          </w:p>
        </w:tc>
        <w:tc>
          <w:tcPr>
            <w:tcW w:w="2244"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水土保持区划</w:t>
            </w:r>
          </w:p>
        </w:tc>
        <w:tc>
          <w:tcPr>
            <w:tcW w:w="2592"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土壤侵蚀类型</w:t>
            </w:r>
          </w:p>
        </w:tc>
        <w:tc>
          <w:tcPr>
            <w:tcW w:w="227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水力侵蚀</w:t>
            </w:r>
          </w:p>
        </w:tc>
        <w:tc>
          <w:tcPr>
            <w:tcW w:w="2244"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土壤侵蚀强度</w:t>
            </w:r>
          </w:p>
        </w:tc>
        <w:tc>
          <w:tcPr>
            <w:tcW w:w="2592"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防治责任范围面积（hm2）</w:t>
            </w:r>
          </w:p>
        </w:tc>
        <w:tc>
          <w:tcPr>
            <w:tcW w:w="2273" w:type="dxa"/>
            <w:gridSpan w:val="4"/>
            <w:vAlign w:val="center"/>
          </w:tcPr>
          <w:p>
            <w:pPr>
              <w:snapToGrid w:val="0"/>
              <w:spacing w:line="220" w:lineRule="exact"/>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2.14</w:t>
            </w:r>
          </w:p>
        </w:tc>
        <w:tc>
          <w:tcPr>
            <w:tcW w:w="2244"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容许土壤流失量[t/km2·a]</w:t>
            </w:r>
          </w:p>
        </w:tc>
        <w:tc>
          <w:tcPr>
            <w:tcW w:w="2592"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水土流失预测总量（t）</w:t>
            </w:r>
          </w:p>
        </w:tc>
        <w:tc>
          <w:tcPr>
            <w:tcW w:w="2273" w:type="dxa"/>
            <w:gridSpan w:val="4"/>
            <w:vAlign w:val="center"/>
          </w:tcPr>
          <w:p>
            <w:pPr>
              <w:snapToGrid w:val="0"/>
              <w:spacing w:line="220" w:lineRule="exact"/>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218</w:t>
            </w:r>
          </w:p>
        </w:tc>
        <w:tc>
          <w:tcPr>
            <w:tcW w:w="2244"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新增水土流失量（t）</w:t>
            </w:r>
          </w:p>
        </w:tc>
        <w:tc>
          <w:tcPr>
            <w:tcW w:w="2592" w:type="dxa"/>
            <w:gridSpan w:val="3"/>
            <w:vAlign w:val="center"/>
          </w:tcPr>
          <w:p>
            <w:pPr>
              <w:snapToGrid w:val="0"/>
              <w:spacing w:line="220" w:lineRule="exact"/>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 w:hRule="atLeast"/>
          <w:jc w:val="center"/>
        </w:trPr>
        <w:tc>
          <w:tcPr>
            <w:tcW w:w="2903"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水土流失防治标准执行等级</w:t>
            </w:r>
          </w:p>
        </w:tc>
        <w:tc>
          <w:tcPr>
            <w:tcW w:w="7109" w:type="dxa"/>
            <w:gridSpan w:val="11"/>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西南紫色土区建设类一级防治标准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773" w:type="dxa"/>
            <w:vMerge w:val="restart"/>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防治</w:t>
            </w:r>
          </w:p>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指标</w:t>
            </w:r>
          </w:p>
        </w:tc>
        <w:tc>
          <w:tcPr>
            <w:tcW w:w="2130" w:type="dxa"/>
            <w:gridSpan w:val="3"/>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水土流失治理度(%)</w:t>
            </w:r>
          </w:p>
        </w:tc>
        <w:tc>
          <w:tcPr>
            <w:tcW w:w="1703" w:type="dxa"/>
            <w:gridSpan w:val="2"/>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97</w:t>
            </w:r>
          </w:p>
        </w:tc>
        <w:tc>
          <w:tcPr>
            <w:tcW w:w="2268" w:type="dxa"/>
            <w:gridSpan w:val="5"/>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土壤流失控制比</w:t>
            </w:r>
          </w:p>
        </w:tc>
        <w:tc>
          <w:tcPr>
            <w:tcW w:w="3138"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773" w:type="dxa"/>
            <w:vMerge w:val="continue"/>
            <w:vAlign w:val="center"/>
          </w:tcPr>
          <w:p>
            <w:pPr>
              <w:widowControl/>
              <w:adjustRightInd w:val="0"/>
              <w:snapToGrid w:val="0"/>
              <w:jc w:val="left"/>
              <w:rPr>
                <w:rFonts w:ascii="Times New Roman" w:hAnsi="Times New Roman" w:eastAsia="仿宋"/>
                <w:color w:val="auto"/>
                <w:kern w:val="0"/>
                <w:sz w:val="18"/>
                <w:szCs w:val="18"/>
              </w:rPr>
            </w:pPr>
          </w:p>
        </w:tc>
        <w:tc>
          <w:tcPr>
            <w:tcW w:w="2130" w:type="dxa"/>
            <w:gridSpan w:val="3"/>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渣土挡护率(%)</w:t>
            </w:r>
          </w:p>
        </w:tc>
        <w:tc>
          <w:tcPr>
            <w:tcW w:w="1703" w:type="dxa"/>
            <w:gridSpan w:val="2"/>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94</w:t>
            </w:r>
          </w:p>
        </w:tc>
        <w:tc>
          <w:tcPr>
            <w:tcW w:w="2268" w:type="dxa"/>
            <w:gridSpan w:val="5"/>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表土保护率(%)</w:t>
            </w:r>
          </w:p>
        </w:tc>
        <w:tc>
          <w:tcPr>
            <w:tcW w:w="3138"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773" w:type="dxa"/>
            <w:vMerge w:val="continue"/>
            <w:vAlign w:val="center"/>
          </w:tcPr>
          <w:p>
            <w:pPr>
              <w:widowControl/>
              <w:adjustRightInd w:val="0"/>
              <w:snapToGrid w:val="0"/>
              <w:jc w:val="left"/>
              <w:rPr>
                <w:rFonts w:ascii="Times New Roman" w:hAnsi="Times New Roman" w:eastAsia="仿宋"/>
                <w:color w:val="auto"/>
                <w:kern w:val="0"/>
                <w:sz w:val="18"/>
                <w:szCs w:val="18"/>
              </w:rPr>
            </w:pPr>
          </w:p>
        </w:tc>
        <w:tc>
          <w:tcPr>
            <w:tcW w:w="2130" w:type="dxa"/>
            <w:gridSpan w:val="3"/>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林草植被恢复率(%)</w:t>
            </w:r>
          </w:p>
        </w:tc>
        <w:tc>
          <w:tcPr>
            <w:tcW w:w="1703" w:type="dxa"/>
            <w:gridSpan w:val="2"/>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97</w:t>
            </w:r>
          </w:p>
        </w:tc>
        <w:tc>
          <w:tcPr>
            <w:tcW w:w="2268" w:type="dxa"/>
            <w:gridSpan w:val="5"/>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林草覆盖率(%)</w:t>
            </w:r>
          </w:p>
        </w:tc>
        <w:tc>
          <w:tcPr>
            <w:tcW w:w="3138"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773" w:type="dxa"/>
            <w:vMerge w:val="restart"/>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防治措施及工程量</w:t>
            </w:r>
          </w:p>
        </w:tc>
        <w:tc>
          <w:tcPr>
            <w:tcW w:w="2130" w:type="dxa"/>
            <w:gridSpan w:val="3"/>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分区</w:t>
            </w:r>
          </w:p>
        </w:tc>
        <w:tc>
          <w:tcPr>
            <w:tcW w:w="2120" w:type="dxa"/>
            <w:gridSpan w:val="3"/>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工程措施</w:t>
            </w:r>
          </w:p>
        </w:tc>
        <w:tc>
          <w:tcPr>
            <w:tcW w:w="1851"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植物措施</w:t>
            </w:r>
          </w:p>
        </w:tc>
        <w:tc>
          <w:tcPr>
            <w:tcW w:w="3138" w:type="dxa"/>
            <w:gridSpan w:val="4"/>
            <w:vAlign w:val="center"/>
          </w:tcPr>
          <w:p>
            <w:pPr>
              <w:widowControl/>
              <w:adjustRightInd w:val="0"/>
              <w:snapToGrid w:val="0"/>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73" w:type="dxa"/>
            <w:vMerge w:val="continue"/>
            <w:vAlign w:val="center"/>
          </w:tcPr>
          <w:p>
            <w:pPr>
              <w:adjustRightInd w:val="0"/>
              <w:snapToGrid w:val="0"/>
              <w:jc w:val="center"/>
              <w:rPr>
                <w:rFonts w:ascii="Times New Roman" w:hAnsi="Times New Roman" w:eastAsia="仿宋"/>
                <w:color w:val="auto"/>
                <w:kern w:val="0"/>
                <w:sz w:val="18"/>
                <w:szCs w:val="18"/>
              </w:rPr>
            </w:pPr>
          </w:p>
        </w:tc>
        <w:tc>
          <w:tcPr>
            <w:tcW w:w="2130" w:type="dxa"/>
            <w:gridSpan w:val="3"/>
            <w:vAlign w:val="center"/>
          </w:tcPr>
          <w:p>
            <w:pPr>
              <w:snapToGrid w:val="0"/>
              <w:spacing w:line="240" w:lineRule="exact"/>
              <w:jc w:val="center"/>
              <w:rPr>
                <w:rFonts w:ascii="Times New Roman" w:hAnsi="Times New Roman" w:eastAsia="仿宋"/>
                <w:color w:val="auto"/>
                <w:sz w:val="18"/>
                <w:szCs w:val="18"/>
              </w:rPr>
            </w:pPr>
            <w:r>
              <w:rPr>
                <w:rFonts w:ascii="Times New Roman" w:hAnsi="Times New Roman" w:eastAsia="仿宋"/>
                <w:color w:val="auto"/>
                <w:sz w:val="18"/>
                <w:szCs w:val="18"/>
              </w:rPr>
              <w:t>项目建设防治区</w:t>
            </w:r>
          </w:p>
        </w:tc>
        <w:tc>
          <w:tcPr>
            <w:tcW w:w="2120" w:type="dxa"/>
            <w:gridSpan w:val="3"/>
            <w:vAlign w:val="center"/>
          </w:tcPr>
          <w:p>
            <w:pPr>
              <w:snapToGrid w:val="0"/>
              <w:jc w:val="left"/>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主体设计：</w:t>
            </w:r>
          </w:p>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雨水管网410m；</w:t>
            </w:r>
          </w:p>
          <w:p>
            <w:pPr>
              <w:snapToGrid w:val="0"/>
              <w:rPr>
                <w:rFonts w:hint="eastAsia" w:ascii="Times New Roman" w:hAnsi="Times New Roman" w:eastAsia="仿宋"/>
                <w:color w:val="auto"/>
                <w:sz w:val="18"/>
                <w:szCs w:val="18"/>
                <w:highlight w:val="none"/>
              </w:rPr>
            </w:pPr>
            <w:r>
              <w:rPr>
                <w:rFonts w:hint="eastAsia" w:ascii="Times New Roman" w:hAnsi="Times New Roman" w:eastAsia="仿宋"/>
                <w:color w:val="auto"/>
                <w:sz w:val="18"/>
                <w:szCs w:val="18"/>
                <w:highlight w:val="none"/>
              </w:rPr>
              <w:t>边坡截水沟</w:t>
            </w:r>
            <w:r>
              <w:rPr>
                <w:rFonts w:ascii="Times New Roman" w:hAnsi="Times New Roman" w:eastAsia="仿宋"/>
                <w:color w:val="auto"/>
                <w:sz w:val="18"/>
                <w:szCs w:val="18"/>
                <w:highlight w:val="none"/>
              </w:rPr>
              <w:t>263m；</w:t>
            </w:r>
          </w:p>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边坡排水沟678m；</w:t>
            </w:r>
          </w:p>
          <w:p>
            <w:pPr>
              <w:snapToGrid w:val="0"/>
              <w:jc w:val="left"/>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透水铺装2730m</w:t>
            </w:r>
            <w:r>
              <w:rPr>
                <w:rFonts w:ascii="Times New Roman" w:hAnsi="Times New Roman" w:eastAsia="仿宋"/>
                <w:color w:val="auto"/>
                <w:sz w:val="18"/>
                <w:szCs w:val="18"/>
                <w:highlight w:val="none"/>
                <w:vertAlign w:val="superscript"/>
              </w:rPr>
              <w:t>2</w:t>
            </w:r>
            <w:r>
              <w:rPr>
                <w:rFonts w:ascii="Times New Roman" w:hAnsi="Times New Roman" w:eastAsia="仿宋"/>
                <w:color w:val="auto"/>
                <w:sz w:val="18"/>
                <w:szCs w:val="18"/>
                <w:highlight w:val="none"/>
              </w:rPr>
              <w:t>。</w:t>
            </w:r>
          </w:p>
          <w:p>
            <w:pPr>
              <w:snapToGrid w:val="0"/>
              <w:jc w:val="left"/>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方案新增：</w:t>
            </w:r>
          </w:p>
          <w:p>
            <w:pPr>
              <w:snapToGrid w:val="0"/>
              <w:jc w:val="left"/>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表土剥离902 m</w:t>
            </w:r>
            <w:r>
              <w:rPr>
                <w:rFonts w:ascii="Times New Roman" w:hAnsi="Times New Roman" w:eastAsia="仿宋"/>
                <w:color w:val="auto"/>
                <w:sz w:val="18"/>
                <w:szCs w:val="18"/>
                <w:highlight w:val="none"/>
                <w:vertAlign w:val="superscript"/>
              </w:rPr>
              <w:t>3</w:t>
            </w:r>
            <w:r>
              <w:rPr>
                <w:rFonts w:ascii="Times New Roman" w:hAnsi="Times New Roman" w:eastAsia="仿宋"/>
                <w:color w:val="auto"/>
                <w:sz w:val="18"/>
                <w:szCs w:val="18"/>
                <w:highlight w:val="none"/>
              </w:rPr>
              <w:t>；</w:t>
            </w:r>
          </w:p>
          <w:p>
            <w:pPr>
              <w:snapToGrid w:val="0"/>
              <w:spacing w:line="200" w:lineRule="exact"/>
              <w:jc w:val="left"/>
              <w:rPr>
                <w:rFonts w:ascii="Times New Roman" w:hAnsi="Times New Roman" w:eastAsia="仿宋"/>
                <w:color w:val="auto"/>
                <w:kern w:val="0"/>
                <w:sz w:val="18"/>
                <w:szCs w:val="18"/>
              </w:rPr>
            </w:pPr>
            <w:r>
              <w:rPr>
                <w:rFonts w:ascii="Times New Roman" w:hAnsi="Times New Roman" w:eastAsia="仿宋"/>
                <w:color w:val="auto"/>
                <w:sz w:val="18"/>
                <w:szCs w:val="18"/>
                <w:highlight w:val="none"/>
              </w:rPr>
              <w:t>表土回填902m</w:t>
            </w:r>
            <w:r>
              <w:rPr>
                <w:rFonts w:ascii="Times New Roman" w:hAnsi="Times New Roman" w:eastAsia="仿宋"/>
                <w:color w:val="auto"/>
                <w:sz w:val="18"/>
                <w:szCs w:val="18"/>
                <w:highlight w:val="none"/>
                <w:vertAlign w:val="superscript"/>
              </w:rPr>
              <w:t>3</w:t>
            </w:r>
          </w:p>
        </w:tc>
        <w:tc>
          <w:tcPr>
            <w:tcW w:w="1851" w:type="dxa"/>
            <w:gridSpan w:val="4"/>
            <w:vAlign w:val="center"/>
          </w:tcPr>
          <w:p>
            <w:pPr>
              <w:snapToGrid w:val="0"/>
              <w:rPr>
                <w:rFonts w:ascii="Times New Roman" w:hAnsi="Times New Roman" w:eastAsia="仿宋"/>
                <w:color w:val="auto"/>
                <w:sz w:val="18"/>
                <w:szCs w:val="18"/>
              </w:rPr>
            </w:pPr>
            <w:r>
              <w:rPr>
                <w:rFonts w:ascii="Times New Roman" w:hAnsi="Times New Roman" w:eastAsia="仿宋"/>
                <w:color w:val="auto"/>
                <w:sz w:val="18"/>
                <w:szCs w:val="18"/>
              </w:rPr>
              <w:t>主体设计：</w:t>
            </w:r>
          </w:p>
          <w:p>
            <w:pPr>
              <w:snapToGrid w:val="0"/>
              <w:rPr>
                <w:rFonts w:ascii="Times New Roman" w:hAnsi="Times New Roman" w:eastAsia="仿宋"/>
                <w:color w:val="auto"/>
                <w:sz w:val="18"/>
                <w:szCs w:val="18"/>
                <w:vertAlign w:val="superscript"/>
              </w:rPr>
            </w:pPr>
            <w:r>
              <w:rPr>
                <w:rFonts w:ascii="Times New Roman" w:hAnsi="Times New Roman" w:eastAsia="仿宋"/>
                <w:color w:val="auto"/>
                <w:sz w:val="18"/>
                <w:szCs w:val="18"/>
              </w:rPr>
              <w:t>景观绿化6186m</w:t>
            </w:r>
            <w:r>
              <w:rPr>
                <w:rFonts w:ascii="Times New Roman" w:hAnsi="Times New Roman" w:eastAsia="仿宋"/>
                <w:color w:val="auto"/>
                <w:sz w:val="18"/>
                <w:szCs w:val="18"/>
                <w:vertAlign w:val="superscript"/>
              </w:rPr>
              <w:t>2</w:t>
            </w:r>
            <w:r>
              <w:rPr>
                <w:rFonts w:ascii="Times New Roman" w:hAnsi="Times New Roman" w:eastAsia="仿宋"/>
                <w:color w:val="auto"/>
                <w:sz w:val="18"/>
                <w:szCs w:val="18"/>
              </w:rPr>
              <w:t>；</w:t>
            </w:r>
          </w:p>
          <w:p>
            <w:pPr>
              <w:snapToGrid w:val="0"/>
              <w:rPr>
                <w:rFonts w:ascii="Times New Roman" w:hAnsi="Times New Roman" w:eastAsia="仿宋"/>
                <w:color w:val="auto"/>
                <w:sz w:val="18"/>
                <w:szCs w:val="18"/>
                <w:vertAlign w:val="superscript"/>
              </w:rPr>
            </w:pPr>
            <w:r>
              <w:rPr>
                <w:rFonts w:ascii="Times New Roman" w:hAnsi="Times New Roman" w:eastAsia="仿宋"/>
                <w:color w:val="auto"/>
                <w:sz w:val="18"/>
                <w:szCs w:val="18"/>
              </w:rPr>
              <w:t>屋顶绿化1398m</w:t>
            </w:r>
            <w:r>
              <w:rPr>
                <w:rFonts w:ascii="Times New Roman" w:hAnsi="Times New Roman" w:eastAsia="仿宋"/>
                <w:color w:val="auto"/>
                <w:sz w:val="18"/>
                <w:szCs w:val="18"/>
                <w:vertAlign w:val="superscript"/>
              </w:rPr>
              <w:t>2</w:t>
            </w:r>
            <w:r>
              <w:rPr>
                <w:rFonts w:ascii="Times New Roman" w:hAnsi="Times New Roman" w:eastAsia="仿宋"/>
                <w:color w:val="auto"/>
                <w:sz w:val="18"/>
                <w:szCs w:val="18"/>
              </w:rPr>
              <w:t>；</w:t>
            </w:r>
          </w:p>
          <w:p>
            <w:pPr>
              <w:spacing w:line="200" w:lineRule="exact"/>
              <w:rPr>
                <w:rFonts w:ascii="Times New Roman" w:hAnsi="Times New Roman" w:eastAsia="仿宋"/>
                <w:color w:val="auto"/>
                <w:sz w:val="18"/>
                <w:szCs w:val="18"/>
              </w:rPr>
            </w:pPr>
            <w:r>
              <w:rPr>
                <w:rFonts w:ascii="Times New Roman" w:hAnsi="Times New Roman" w:eastAsia="仿宋"/>
                <w:color w:val="auto"/>
                <w:sz w:val="18"/>
                <w:szCs w:val="18"/>
              </w:rPr>
              <w:t>雨水花园563m</w:t>
            </w:r>
            <w:r>
              <w:rPr>
                <w:rFonts w:ascii="Times New Roman" w:hAnsi="Times New Roman" w:eastAsia="仿宋"/>
                <w:color w:val="auto"/>
                <w:sz w:val="18"/>
                <w:szCs w:val="18"/>
                <w:vertAlign w:val="superscript"/>
              </w:rPr>
              <w:t>2</w:t>
            </w:r>
            <w:r>
              <w:rPr>
                <w:rFonts w:ascii="Times New Roman" w:hAnsi="Times New Roman" w:eastAsia="仿宋"/>
                <w:color w:val="auto"/>
                <w:sz w:val="18"/>
                <w:szCs w:val="18"/>
              </w:rPr>
              <w:t>。</w:t>
            </w:r>
          </w:p>
        </w:tc>
        <w:tc>
          <w:tcPr>
            <w:tcW w:w="3138" w:type="dxa"/>
            <w:gridSpan w:val="4"/>
            <w:vAlign w:val="center"/>
          </w:tcPr>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主体设计：</w:t>
            </w:r>
          </w:p>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车辆冲洗站1座。</w:t>
            </w:r>
          </w:p>
          <w:p>
            <w:pPr>
              <w:snapToGrid w:val="0"/>
              <w:rPr>
                <w:rFonts w:hint="eastAsia" w:ascii="Times New Roman" w:hAnsi="Times New Roman" w:eastAsia="仿宋"/>
                <w:color w:val="auto"/>
                <w:sz w:val="18"/>
                <w:szCs w:val="18"/>
                <w:highlight w:val="none"/>
              </w:rPr>
            </w:pPr>
            <w:r>
              <w:rPr>
                <w:rFonts w:ascii="Times New Roman" w:hAnsi="Times New Roman" w:eastAsia="仿宋"/>
                <w:color w:val="auto"/>
                <w:sz w:val="18"/>
                <w:szCs w:val="18"/>
                <w:highlight w:val="none"/>
              </w:rPr>
              <w:t>方案新增：</w:t>
            </w:r>
          </w:p>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沉砂池2座；</w:t>
            </w:r>
          </w:p>
          <w:p>
            <w:pPr>
              <w:snapToGrid w:val="0"/>
              <w:rPr>
                <w:rFonts w:ascii="Times New Roman" w:hAnsi="Times New Roman" w:eastAsia="仿宋"/>
                <w:color w:val="auto"/>
                <w:sz w:val="18"/>
                <w:szCs w:val="18"/>
                <w:highlight w:val="none"/>
              </w:rPr>
            </w:pPr>
            <w:r>
              <w:rPr>
                <w:rFonts w:hint="eastAsia" w:ascii="Times New Roman" w:hAnsi="Times New Roman" w:eastAsia="仿宋"/>
                <w:color w:val="auto"/>
                <w:sz w:val="18"/>
                <w:szCs w:val="18"/>
                <w:highlight w:val="none"/>
              </w:rPr>
              <w:t>钢板挡墙2</w:t>
            </w:r>
            <w:r>
              <w:rPr>
                <w:rFonts w:ascii="Times New Roman" w:hAnsi="Times New Roman" w:eastAsia="仿宋"/>
                <w:color w:val="auto"/>
                <w:sz w:val="18"/>
                <w:szCs w:val="18"/>
                <w:highlight w:val="none"/>
              </w:rPr>
              <w:t>63</w:t>
            </w:r>
            <w:r>
              <w:rPr>
                <w:rFonts w:hint="eastAsia" w:ascii="Times New Roman" w:hAnsi="Times New Roman" w:eastAsia="仿宋"/>
                <w:color w:val="auto"/>
                <w:sz w:val="18"/>
                <w:szCs w:val="18"/>
                <w:highlight w:val="none"/>
              </w:rPr>
              <w:t>m</w:t>
            </w:r>
            <w:r>
              <w:rPr>
                <w:rFonts w:ascii="Times New Roman" w:hAnsi="Times New Roman" w:eastAsia="仿宋"/>
                <w:color w:val="auto"/>
                <w:sz w:val="18"/>
                <w:szCs w:val="18"/>
                <w:highlight w:val="none"/>
              </w:rPr>
              <w:t>；</w:t>
            </w:r>
          </w:p>
          <w:p>
            <w:pPr>
              <w:snapToGrid w:val="0"/>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临时拦挡150m；</w:t>
            </w:r>
          </w:p>
          <w:p>
            <w:pPr>
              <w:spacing w:line="200" w:lineRule="exact"/>
              <w:rPr>
                <w:rFonts w:ascii="Times New Roman" w:hAnsi="Times New Roman" w:eastAsia="仿宋"/>
                <w:color w:val="auto"/>
                <w:sz w:val="18"/>
                <w:szCs w:val="18"/>
              </w:rPr>
            </w:pPr>
            <w:r>
              <w:rPr>
                <w:rFonts w:ascii="Times New Roman" w:hAnsi="Times New Roman" w:eastAsia="仿宋"/>
                <w:color w:val="auto"/>
                <w:sz w:val="18"/>
                <w:szCs w:val="18"/>
                <w:highlight w:val="none"/>
              </w:rPr>
              <w:t>临时覆盖3393m</w:t>
            </w:r>
            <w:r>
              <w:rPr>
                <w:rFonts w:ascii="Times New Roman" w:hAnsi="Times New Roman" w:eastAsia="仿宋"/>
                <w:color w:val="auto"/>
                <w:sz w:val="18"/>
                <w:szCs w:val="18"/>
                <w:highlight w:val="none"/>
                <w:vertAlign w:val="superscript"/>
              </w:rPr>
              <w:t>2</w:t>
            </w:r>
            <w:r>
              <w:rPr>
                <w:rFonts w:ascii="Times New Roman" w:hAnsi="Times New Roman" w:eastAsia="仿宋"/>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2903" w:type="dxa"/>
            <w:gridSpan w:val="4"/>
            <w:vAlign w:val="center"/>
          </w:tcPr>
          <w:p>
            <w:pPr>
              <w:widowControl/>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投资（万元）</w:t>
            </w:r>
          </w:p>
        </w:tc>
        <w:tc>
          <w:tcPr>
            <w:tcW w:w="2120" w:type="dxa"/>
            <w:gridSpan w:val="3"/>
            <w:vAlign w:val="center"/>
          </w:tcPr>
          <w:p>
            <w:pPr>
              <w:snapToGrid w:val="0"/>
              <w:spacing w:line="220" w:lineRule="exact"/>
              <w:rPr>
                <w:rFonts w:hint="default" w:ascii="Times New Roman" w:hAnsi="Times New Roman" w:eastAsia="仿宋"/>
                <w:color w:val="auto"/>
                <w:sz w:val="18"/>
                <w:szCs w:val="18"/>
                <w:lang w:val="en-US" w:eastAsia="zh-CN"/>
              </w:rPr>
            </w:pPr>
            <w:r>
              <w:rPr>
                <w:rFonts w:ascii="Times New Roman" w:hAnsi="Times New Roman" w:eastAsia="仿宋"/>
                <w:color w:val="auto"/>
                <w:sz w:val="18"/>
                <w:szCs w:val="18"/>
              </w:rPr>
              <w:t>主体设计：</w:t>
            </w:r>
            <w:r>
              <w:rPr>
                <w:rFonts w:hint="eastAsia" w:ascii="Times New Roman" w:hAnsi="Times New Roman" w:eastAsia="仿宋"/>
                <w:color w:val="auto"/>
                <w:sz w:val="18"/>
                <w:szCs w:val="18"/>
                <w:lang w:val="en-US" w:eastAsia="zh-CN"/>
              </w:rPr>
              <w:t>52.59</w:t>
            </w:r>
          </w:p>
          <w:p>
            <w:pPr>
              <w:snapToGrid w:val="0"/>
              <w:spacing w:line="220" w:lineRule="exact"/>
              <w:rPr>
                <w:rFonts w:hint="default" w:ascii="Times New Roman" w:hAnsi="Times New Roman" w:eastAsia="仿宋"/>
                <w:color w:val="auto"/>
                <w:sz w:val="18"/>
                <w:szCs w:val="18"/>
                <w:lang w:val="en-US" w:eastAsia="zh-CN"/>
              </w:rPr>
            </w:pPr>
            <w:r>
              <w:rPr>
                <w:rFonts w:ascii="Times New Roman" w:hAnsi="Times New Roman" w:eastAsia="仿宋"/>
                <w:color w:val="auto"/>
                <w:sz w:val="18"/>
                <w:szCs w:val="18"/>
              </w:rPr>
              <w:t>方案新增：</w:t>
            </w:r>
            <w:r>
              <w:rPr>
                <w:rFonts w:hint="eastAsia" w:ascii="Times New Roman" w:hAnsi="Times New Roman" w:eastAsia="仿宋"/>
                <w:color w:val="auto"/>
                <w:sz w:val="18"/>
                <w:szCs w:val="18"/>
                <w:lang w:val="en-US" w:eastAsia="zh-CN"/>
              </w:rPr>
              <w:t>5.96</w:t>
            </w:r>
          </w:p>
        </w:tc>
        <w:tc>
          <w:tcPr>
            <w:tcW w:w="1851" w:type="dxa"/>
            <w:gridSpan w:val="4"/>
            <w:vAlign w:val="center"/>
          </w:tcPr>
          <w:p>
            <w:pPr>
              <w:snapToGrid w:val="0"/>
              <w:spacing w:line="220" w:lineRule="exact"/>
              <w:rPr>
                <w:rFonts w:hint="default" w:ascii="Times New Roman" w:hAnsi="Times New Roman" w:eastAsia="仿宋"/>
                <w:color w:val="auto"/>
                <w:sz w:val="18"/>
                <w:szCs w:val="18"/>
                <w:lang w:val="en-US" w:eastAsia="zh-CN"/>
              </w:rPr>
            </w:pPr>
            <w:r>
              <w:rPr>
                <w:rFonts w:ascii="Times New Roman" w:hAnsi="Times New Roman" w:eastAsia="仿宋"/>
                <w:color w:val="auto"/>
                <w:sz w:val="18"/>
                <w:szCs w:val="18"/>
              </w:rPr>
              <w:t>主体设计：</w:t>
            </w:r>
            <w:r>
              <w:rPr>
                <w:rFonts w:hint="eastAsia" w:ascii="Times New Roman" w:hAnsi="Times New Roman" w:eastAsia="仿宋"/>
                <w:color w:val="auto"/>
                <w:sz w:val="18"/>
                <w:szCs w:val="18"/>
                <w:lang w:val="en-US" w:eastAsia="zh-CN"/>
              </w:rPr>
              <w:t>283.88</w:t>
            </w:r>
          </w:p>
          <w:p>
            <w:pPr>
              <w:snapToGrid w:val="0"/>
              <w:spacing w:line="220" w:lineRule="exact"/>
              <w:rPr>
                <w:rFonts w:ascii="Times New Roman" w:hAnsi="Times New Roman" w:eastAsia="仿宋"/>
                <w:color w:val="auto"/>
                <w:sz w:val="18"/>
                <w:szCs w:val="18"/>
              </w:rPr>
            </w:pPr>
            <w:r>
              <w:rPr>
                <w:rFonts w:ascii="Times New Roman" w:hAnsi="Times New Roman" w:eastAsia="仿宋"/>
                <w:color w:val="auto"/>
                <w:sz w:val="18"/>
                <w:szCs w:val="18"/>
              </w:rPr>
              <w:t>方案新增：0.00</w:t>
            </w:r>
          </w:p>
        </w:tc>
        <w:tc>
          <w:tcPr>
            <w:tcW w:w="3138" w:type="dxa"/>
            <w:gridSpan w:val="4"/>
            <w:vAlign w:val="center"/>
          </w:tcPr>
          <w:p>
            <w:pPr>
              <w:snapToGrid w:val="0"/>
              <w:rPr>
                <w:rFonts w:ascii="Times New Roman" w:hAnsi="Times New Roman" w:eastAsia="仿宋"/>
                <w:color w:val="auto"/>
                <w:sz w:val="18"/>
                <w:szCs w:val="18"/>
              </w:rPr>
            </w:pPr>
            <w:r>
              <w:rPr>
                <w:rFonts w:ascii="Times New Roman" w:hAnsi="Times New Roman" w:eastAsia="仿宋"/>
                <w:color w:val="auto"/>
                <w:sz w:val="18"/>
                <w:szCs w:val="18"/>
              </w:rPr>
              <w:t>主体设计：0.80</w:t>
            </w:r>
          </w:p>
          <w:p>
            <w:pPr>
              <w:snapToGrid w:val="0"/>
              <w:spacing w:line="220" w:lineRule="exact"/>
              <w:rPr>
                <w:rFonts w:hint="default" w:ascii="Times New Roman" w:hAnsi="Times New Roman" w:eastAsia="仿宋"/>
                <w:color w:val="auto"/>
                <w:sz w:val="18"/>
                <w:szCs w:val="18"/>
                <w:lang w:val="en-US" w:eastAsia="zh-CN"/>
              </w:rPr>
            </w:pPr>
            <w:r>
              <w:rPr>
                <w:rFonts w:ascii="Times New Roman" w:hAnsi="Times New Roman" w:eastAsia="仿宋"/>
                <w:color w:val="auto"/>
                <w:sz w:val="18"/>
                <w:szCs w:val="18"/>
              </w:rPr>
              <w:t>方案新增：</w:t>
            </w:r>
            <w:r>
              <w:rPr>
                <w:rFonts w:hint="eastAsia" w:ascii="Times New Roman" w:hAnsi="Times New Roman" w:eastAsia="仿宋"/>
                <w:color w:val="auto"/>
                <w:sz w:val="18"/>
                <w:szCs w:val="18"/>
                <w:lang w:val="en-US" w:eastAsia="zh-CN"/>
              </w:rPr>
              <w:t>11.77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2903" w:type="dxa"/>
            <w:gridSpan w:val="4"/>
            <w:vAlign w:val="center"/>
          </w:tcPr>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水土保持总投资（万元）</w:t>
            </w:r>
          </w:p>
        </w:tc>
        <w:tc>
          <w:tcPr>
            <w:tcW w:w="3329" w:type="dxa"/>
            <w:gridSpan w:val="6"/>
            <w:vAlign w:val="center"/>
          </w:tcPr>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3</w:t>
            </w:r>
            <w:r>
              <w:rPr>
                <w:rFonts w:hint="eastAsia" w:ascii="Times New Roman" w:hAnsi="Times New Roman" w:eastAsia="仿宋"/>
                <w:color w:val="auto"/>
                <w:sz w:val="18"/>
                <w:szCs w:val="18"/>
                <w:lang w:val="en-US" w:eastAsia="zh-CN"/>
              </w:rPr>
              <w:t>96.70</w:t>
            </w:r>
            <w:r>
              <w:rPr>
                <w:rFonts w:ascii="Times New Roman" w:hAnsi="Times New Roman" w:eastAsia="仿宋"/>
                <w:color w:val="auto"/>
                <w:sz w:val="18"/>
                <w:szCs w:val="18"/>
              </w:rPr>
              <w:t>（新增投资5</w:t>
            </w:r>
            <w:r>
              <w:rPr>
                <w:rFonts w:hint="eastAsia" w:ascii="Times New Roman" w:hAnsi="Times New Roman" w:eastAsia="仿宋"/>
                <w:color w:val="auto"/>
                <w:sz w:val="18"/>
                <w:szCs w:val="18"/>
                <w:lang w:val="en-US" w:eastAsia="zh-CN"/>
              </w:rPr>
              <w:t>9.43</w:t>
            </w:r>
            <w:r>
              <w:rPr>
                <w:rFonts w:ascii="Times New Roman" w:hAnsi="Times New Roman" w:eastAsia="仿宋"/>
                <w:color w:val="auto"/>
                <w:sz w:val="18"/>
                <w:szCs w:val="18"/>
              </w:rPr>
              <w:t>）</w:t>
            </w:r>
          </w:p>
        </w:tc>
        <w:tc>
          <w:tcPr>
            <w:tcW w:w="2056" w:type="dxa"/>
            <w:gridSpan w:val="4"/>
            <w:vAlign w:val="center"/>
          </w:tcPr>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独立费（万元）</w:t>
            </w:r>
          </w:p>
        </w:tc>
        <w:tc>
          <w:tcPr>
            <w:tcW w:w="1724" w:type="dxa"/>
            <w:vAlign w:val="center"/>
          </w:tcPr>
          <w:p>
            <w:pPr>
              <w:widowControl/>
              <w:adjustRightInd w:val="0"/>
              <w:snapToGrid w:val="0"/>
              <w:spacing w:line="220" w:lineRule="exact"/>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5" w:hRule="atLeast"/>
          <w:jc w:val="center"/>
        </w:trPr>
        <w:tc>
          <w:tcPr>
            <w:tcW w:w="2903" w:type="dxa"/>
            <w:gridSpan w:val="4"/>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监理费(万元)</w:t>
            </w:r>
          </w:p>
        </w:tc>
        <w:tc>
          <w:tcPr>
            <w:tcW w:w="499" w:type="dxa"/>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0</w:t>
            </w:r>
          </w:p>
        </w:tc>
        <w:tc>
          <w:tcPr>
            <w:tcW w:w="1621" w:type="dxa"/>
            <w:gridSpan w:val="2"/>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监测费（万元）</w:t>
            </w:r>
          </w:p>
        </w:tc>
        <w:tc>
          <w:tcPr>
            <w:tcW w:w="1209"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15.31</w:t>
            </w:r>
          </w:p>
        </w:tc>
        <w:tc>
          <w:tcPr>
            <w:tcW w:w="2056" w:type="dxa"/>
            <w:gridSpan w:val="4"/>
            <w:vAlign w:val="center"/>
          </w:tcPr>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补偿费（万元）</w:t>
            </w:r>
          </w:p>
        </w:tc>
        <w:tc>
          <w:tcPr>
            <w:tcW w:w="1724" w:type="dxa"/>
            <w:vAlign w:val="center"/>
          </w:tcPr>
          <w:p>
            <w:pPr>
              <w:snapToGrid w:val="0"/>
              <w:jc w:val="center"/>
              <w:rPr>
                <w:rFonts w:hint="default" w:ascii="Times New Roman" w:hAnsi="Times New Roman" w:eastAsia="仿宋"/>
                <w:color w:val="auto"/>
                <w:sz w:val="18"/>
                <w:szCs w:val="18"/>
                <w:lang w:val="en-US" w:eastAsia="zh-CN"/>
              </w:rPr>
            </w:pPr>
            <w:r>
              <w:rPr>
                <w:rFonts w:ascii="Times New Roman" w:hAnsi="Times New Roman" w:eastAsia="仿宋"/>
                <w:color w:val="auto"/>
                <w:sz w:val="18"/>
                <w:szCs w:val="18"/>
              </w:rPr>
              <w:t>2.</w:t>
            </w:r>
            <w:r>
              <w:rPr>
                <w:rFonts w:hint="eastAsia" w:ascii="Times New Roman" w:hAnsi="Times New Roman" w:eastAsia="仿宋"/>
                <w:color w:val="auto"/>
                <w:sz w:val="18"/>
                <w:szCs w:val="18"/>
                <w:lang w:val="en-US" w:eastAsia="zh-CN"/>
              </w:rPr>
              <w:t>99</w:t>
            </w:r>
          </w:p>
          <w:p>
            <w:pPr>
              <w:widowControl/>
              <w:adjustRightInd w:val="0"/>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（2</w:t>
            </w:r>
            <w:r>
              <w:rPr>
                <w:rFonts w:hint="eastAsia" w:ascii="Times New Roman" w:hAnsi="Times New Roman" w:eastAsia="仿宋"/>
                <w:color w:val="auto"/>
                <w:sz w:val="18"/>
                <w:szCs w:val="18"/>
                <w:lang w:val="en-US" w:eastAsia="zh-CN"/>
              </w:rPr>
              <w:t>9919.4</w:t>
            </w:r>
            <w:r>
              <w:rPr>
                <w:rFonts w:ascii="Times New Roman" w:hAnsi="Times New Roman" w:eastAsia="仿宋"/>
                <w:color w:val="auto"/>
                <w:sz w:val="18"/>
                <w:szCs w:val="18"/>
              </w:rPr>
              <w:t>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975"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kern w:val="0"/>
                <w:sz w:val="18"/>
                <w:szCs w:val="18"/>
              </w:rPr>
              <w:t>方案编制单位</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重庆泰典环境工程有限公司</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sz w:val="18"/>
                <w:szCs w:val="18"/>
              </w:rPr>
              <w:t>建设单位</w:t>
            </w:r>
          </w:p>
        </w:tc>
        <w:tc>
          <w:tcPr>
            <w:tcW w:w="3780" w:type="dxa"/>
            <w:gridSpan w:val="5"/>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重庆市江北区城市开发集团有限公司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法定代表人</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杨智</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法定代表人</w:t>
            </w:r>
          </w:p>
        </w:tc>
        <w:tc>
          <w:tcPr>
            <w:tcW w:w="3780" w:type="dxa"/>
            <w:gridSpan w:val="5"/>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shd w:val="clear" w:color="auto" w:fill="FFFFFF"/>
              </w:rPr>
              <w:t>陈和禄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地址</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重庆市高新区含谷镇高龙大道（延长段）377号1栋5-1号</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地址</w:t>
            </w:r>
          </w:p>
        </w:tc>
        <w:tc>
          <w:tcPr>
            <w:tcW w:w="3780" w:type="dxa"/>
            <w:gridSpan w:val="5"/>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shd w:val="clear" w:color="auto" w:fill="FFFFFF"/>
              </w:rPr>
              <w:t>重庆市江北区创富路3号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邮编</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401329</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邮编</w:t>
            </w:r>
          </w:p>
        </w:tc>
        <w:tc>
          <w:tcPr>
            <w:tcW w:w="3780" w:type="dxa"/>
            <w:gridSpan w:val="5"/>
            <w:vAlign w:val="center"/>
          </w:tcPr>
          <w:p>
            <w:pPr>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400023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联系人及电话</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kern w:val="0"/>
                <w:sz w:val="18"/>
                <w:szCs w:val="18"/>
              </w:rPr>
              <w:t>余姝/15310160835</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联系人及电话</w:t>
            </w:r>
          </w:p>
        </w:tc>
        <w:tc>
          <w:tcPr>
            <w:tcW w:w="3780" w:type="dxa"/>
            <w:gridSpan w:val="5"/>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李扬18908361731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传真</w:t>
            </w:r>
          </w:p>
        </w:tc>
        <w:tc>
          <w:tcPr>
            <w:tcW w:w="2631" w:type="dxa"/>
            <w:gridSpan w:val="3"/>
            <w:vAlign w:val="center"/>
          </w:tcPr>
          <w:p>
            <w:pPr>
              <w:snapToGrid w:val="0"/>
              <w:spacing w:line="220" w:lineRule="exact"/>
              <w:jc w:val="center"/>
              <w:rPr>
                <w:rFonts w:ascii="Times New Roman" w:hAnsi="Times New Roman" w:eastAsia="仿宋"/>
                <w:color w:val="auto"/>
                <w:sz w:val="18"/>
                <w:szCs w:val="18"/>
              </w:rPr>
            </w:pPr>
            <w:r>
              <w:rPr>
                <w:rFonts w:ascii="Times New Roman" w:hAnsi="Times New Roman" w:eastAsia="仿宋"/>
                <w:color w:val="auto"/>
                <w:kern w:val="0"/>
                <w:sz w:val="18"/>
                <w:szCs w:val="18"/>
              </w:rPr>
              <w:t>/</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传真</w:t>
            </w:r>
          </w:p>
        </w:tc>
        <w:tc>
          <w:tcPr>
            <w:tcW w:w="3780" w:type="dxa"/>
            <w:gridSpan w:val="5"/>
            <w:vAlign w:val="center"/>
          </w:tcPr>
          <w:p>
            <w:pPr>
              <w:widowControl/>
              <w:shd w:val="clear" w:color="auto" w:fill="F9F9F9"/>
              <w:spacing w:line="220" w:lineRule="exact"/>
              <w:ind w:right="450" w:firstLine="1800" w:firstLineChars="1000"/>
              <w:rPr>
                <w:rFonts w:ascii="Times New Roman" w:hAnsi="Times New Roman" w:eastAsia="仿宋"/>
                <w:color w:val="auto"/>
                <w:sz w:val="18"/>
                <w:szCs w:val="18"/>
              </w:rPr>
            </w:pPr>
            <w:r>
              <w:rPr>
                <w:rFonts w:ascii="Times New Roman" w:hAnsi="Times New Roman" w:eastAsia="仿宋"/>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975" w:type="dxa"/>
            <w:gridSpan w:val="3"/>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电子信箱</w:t>
            </w:r>
          </w:p>
        </w:tc>
        <w:tc>
          <w:tcPr>
            <w:tcW w:w="2631" w:type="dxa"/>
            <w:gridSpan w:val="3"/>
            <w:vAlign w:val="center"/>
          </w:tcPr>
          <w:p>
            <w:pPr>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w:t>
            </w:r>
          </w:p>
        </w:tc>
        <w:tc>
          <w:tcPr>
            <w:tcW w:w="1626" w:type="dxa"/>
            <w:gridSpan w:val="4"/>
            <w:vAlign w:val="center"/>
          </w:tcPr>
          <w:p>
            <w:pPr>
              <w:widowControl/>
              <w:adjustRightInd w:val="0"/>
              <w:snapToGrid w:val="0"/>
              <w:spacing w:line="220" w:lineRule="exact"/>
              <w:jc w:val="center"/>
              <w:rPr>
                <w:rFonts w:ascii="Times New Roman" w:hAnsi="Times New Roman" w:eastAsia="仿宋"/>
                <w:color w:val="auto"/>
                <w:kern w:val="0"/>
                <w:sz w:val="18"/>
                <w:szCs w:val="18"/>
              </w:rPr>
            </w:pPr>
            <w:r>
              <w:rPr>
                <w:rFonts w:ascii="Times New Roman" w:hAnsi="Times New Roman" w:eastAsia="仿宋"/>
                <w:color w:val="auto"/>
                <w:kern w:val="0"/>
                <w:sz w:val="18"/>
                <w:szCs w:val="18"/>
              </w:rPr>
              <w:t>电子信箱</w:t>
            </w:r>
          </w:p>
        </w:tc>
        <w:tc>
          <w:tcPr>
            <w:tcW w:w="3780" w:type="dxa"/>
            <w:gridSpan w:val="5"/>
            <w:vAlign w:val="center"/>
          </w:tcPr>
          <w:p>
            <w:pPr>
              <w:spacing w:line="220" w:lineRule="exact"/>
              <w:jc w:val="center"/>
              <w:rPr>
                <w:rFonts w:ascii="Times New Roman" w:hAnsi="Times New Roman" w:eastAsia="仿宋"/>
                <w:color w:val="auto"/>
                <w:sz w:val="18"/>
                <w:szCs w:val="18"/>
              </w:rPr>
            </w:pPr>
            <w:r>
              <w:rPr>
                <w:rFonts w:ascii="Times New Roman" w:hAnsi="Times New Roman" w:eastAsia="仿宋"/>
                <w:color w:val="auto"/>
                <w:sz w:val="18"/>
                <w:szCs w:val="18"/>
              </w:rPr>
              <w:t>/</w:t>
            </w:r>
          </w:p>
        </w:tc>
      </w:tr>
    </w:tbl>
    <w:p>
      <w:pPr>
        <w:spacing w:line="500" w:lineRule="exact"/>
        <w:jc w:val="left"/>
        <w:rPr>
          <w:rFonts w:ascii="方正黑体_GBK" w:hAnsi="宋体" w:eastAsia="方正黑体_GBK" w:cs="宋体"/>
          <w:bCs/>
          <w:color w:val="auto"/>
          <w:sz w:val="32"/>
          <w:szCs w:val="32"/>
        </w:rPr>
      </w:pPr>
      <w:r>
        <w:rPr>
          <w:rFonts w:hint="eastAsia" w:ascii="方正黑体_GBK" w:hAnsi="宋体" w:eastAsia="方正黑体_GBK" w:cs="宋体"/>
          <w:bCs/>
          <w:color w:val="auto"/>
          <w:sz w:val="32"/>
          <w:szCs w:val="32"/>
        </w:rPr>
        <w:br w:type="page"/>
      </w:r>
      <w:r>
        <w:rPr>
          <w:rFonts w:hint="eastAsia" w:ascii="方正黑体_GBK" w:hAnsi="宋体" w:eastAsia="方正黑体_GBK" w:cs="宋体"/>
          <w:bCs/>
          <w:color w:val="auto"/>
          <w:sz w:val="32"/>
          <w:szCs w:val="32"/>
        </w:rPr>
        <w:t>附件2</w:t>
      </w:r>
    </w:p>
    <w:p>
      <w:pPr>
        <w:spacing w:line="500" w:lineRule="exact"/>
        <w:jc w:val="center"/>
        <w:rPr>
          <w:rFonts w:hint="eastAsia" w:ascii="Times New Roman" w:hAnsi="Times New Roman" w:eastAsia="方正小标宋_GBK" w:cs="Times New Roman"/>
          <w:bCs/>
          <w:w w:val="95"/>
          <w:sz w:val="44"/>
          <w:szCs w:val="44"/>
        </w:rPr>
      </w:pPr>
      <w:r>
        <w:rPr>
          <w:rFonts w:hint="eastAsia" w:ascii="Times New Roman" w:hAnsi="Times New Roman" w:eastAsia="方正小标宋_GBK" w:cs="Times New Roman"/>
          <w:bCs/>
          <w:w w:val="95"/>
          <w:sz w:val="44"/>
          <w:szCs w:val="44"/>
        </w:rPr>
        <w:t>江语听澜项目（江北区大石坝组团G分区G15-4-1/03、G15-4-4/07地块）水土保持方案</w:t>
      </w:r>
    </w:p>
    <w:p>
      <w:pPr>
        <w:spacing w:line="500" w:lineRule="exact"/>
        <w:jc w:val="center"/>
        <w:rPr>
          <w:rFonts w:ascii="宋体" w:hAnsi="宋体" w:cs="宋体"/>
          <w:color w:val="auto"/>
          <w:sz w:val="35"/>
          <w:szCs w:val="35"/>
        </w:rPr>
      </w:pPr>
      <w:r>
        <w:rPr>
          <w:rFonts w:hint="eastAsia" w:ascii="Times New Roman" w:hAnsi="Times New Roman" w:eastAsia="方正小标宋_GBK" w:cs="Times New Roman"/>
          <w:bCs/>
          <w:w w:val="95"/>
          <w:sz w:val="44"/>
          <w:szCs w:val="44"/>
        </w:rPr>
        <w:t>报告书专家评审意见</w:t>
      </w:r>
    </w:p>
    <w:p>
      <w:pPr>
        <w:spacing w:line="300" w:lineRule="auto"/>
        <w:rPr>
          <w:rFonts w:ascii="Arial"/>
          <w:color w:val="auto"/>
        </w:rPr>
      </w:pP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根据《中华人民共和国水土保持法》《重庆市实施&lt;中华人民共和 国水土保持法&gt;办法》等法律法规的规定及有关要求，202</w:t>
      </w:r>
      <w:r>
        <w:rPr>
          <w:rFonts w:ascii="Times New Roman" w:hAnsi="Times New Roman" w:eastAsia="方正仿宋_GBK"/>
          <w:color w:val="auto"/>
          <w:kern w:val="0"/>
          <w:sz w:val="32"/>
          <w:szCs w:val="32"/>
        </w:rPr>
        <w:t>4</w:t>
      </w:r>
      <w:r>
        <w:rPr>
          <w:rFonts w:hint="eastAsia" w:ascii="Times New Roman" w:hAnsi="Times New Roman" w:eastAsia="方正仿宋_GBK"/>
          <w:color w:val="auto"/>
          <w:kern w:val="0"/>
          <w:sz w:val="32"/>
          <w:szCs w:val="32"/>
        </w:rPr>
        <w:t>年1月，江北区农业农村委员会组织专家对《江语听澜项目（江北区大石坝组团G分区G15-4-1/03、G15-4-4/07地块）水土保持方案报告书（送审稿）》(以下简称《水保方案（送审稿）》)开展了评审会。评审专家组由于李渊、骆明亮、罗雷组成，李渊为专家组组长。专家组成员详细审阅了《水保方案（送审稿）》，并分别提出了修改意见。报告编制单位根据各位专家的修改意见对《水保方案（送审稿）》进行了修改、补充和完善，形成了《水保方案（报批稿）》。</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经专家组复核，形成专家组评审意见如下：</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一、综合说明</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（一）方案编制依据的法律法规、技术标准及技术资料基本正确。</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（二）同意设计水平年为202</w:t>
      </w:r>
      <w:r>
        <w:rPr>
          <w:rFonts w:ascii="Times New Roman" w:hAnsi="Times New Roman" w:eastAsia="方正仿宋_GBK"/>
          <w:color w:val="auto"/>
          <w:kern w:val="0"/>
          <w:sz w:val="32"/>
          <w:szCs w:val="32"/>
        </w:rPr>
        <w:t>6</w:t>
      </w:r>
      <w:r>
        <w:rPr>
          <w:rFonts w:hint="eastAsia" w:ascii="Times New Roman" w:hAnsi="Times New Roman" w:eastAsia="方正仿宋_GBK"/>
          <w:color w:val="auto"/>
          <w:kern w:val="0"/>
          <w:sz w:val="32"/>
          <w:szCs w:val="32"/>
        </w:rPr>
        <w:t>年。</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（三）水土流失防治责任范围确定基本合理，面积为1.98</w:t>
      </w:r>
      <w:r>
        <w:rPr>
          <w:rFonts w:ascii="Times New Roman" w:hAnsi="Times New Roman" w:eastAsia="方正仿宋_GBK"/>
          <w:color w:val="auto"/>
          <w:sz w:val="32"/>
          <w:szCs w:val="32"/>
          <w:lang w:bidi="ar"/>
        </w:rPr>
        <w:t>hm</w:t>
      </w:r>
      <w:r>
        <w:rPr>
          <w:rFonts w:ascii="Times New Roman" w:hAnsi="Times New Roman" w:eastAsia="方正仿宋_GBK"/>
          <w:color w:val="auto"/>
          <w:sz w:val="32"/>
          <w:szCs w:val="32"/>
          <w:vertAlign w:val="superscript"/>
          <w:lang w:bidi="ar"/>
        </w:rPr>
        <w:t>2</w:t>
      </w:r>
      <w:r>
        <w:rPr>
          <w:rFonts w:hint="eastAsia" w:ascii="Times New Roman" w:hAnsi="Times New Roman" w:eastAsia="方正仿宋_GBK"/>
          <w:color w:val="auto"/>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（四）同意水土流失防治标准执行等级为西南紫色土区建设类项目一级防治标准，防治目标值确定基本合理。</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二、 项目概况</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（一）项目概况阐述基本清楚。</w:t>
      </w:r>
    </w:p>
    <w:p>
      <w:pPr>
        <w:widowControl/>
        <w:shd w:val="clear" w:color="auto" w:fill="FFFFFF"/>
        <w:spacing w:line="596" w:lineRule="exact"/>
        <w:ind w:firstLine="480" w:firstLineChars="150"/>
        <w:jc w:val="both"/>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江语听澜项目（江北区大石坝组团G分区G15-4-1/03、G15-4-4/07地块）为新建工程。本项目涉及G15-4-1/03、G15-4-4/07地块两个地块，总用地面积为19806.00m</w:t>
      </w:r>
      <w:r>
        <w:rPr>
          <w:rFonts w:hint="eastAsia" w:ascii="Times New Roman" w:hAnsi="Times New Roman" w:eastAsia="方正仿宋_GBK"/>
          <w:color w:val="auto"/>
          <w:kern w:val="0"/>
          <w:sz w:val="32"/>
          <w:szCs w:val="32"/>
          <w:vertAlign w:val="superscript"/>
        </w:rPr>
        <w:t>2</w:t>
      </w:r>
      <w:r>
        <w:rPr>
          <w:rFonts w:hint="eastAsia" w:ascii="Times New Roman" w:hAnsi="Times New Roman" w:eastAsia="方正仿宋_GBK"/>
          <w:color w:val="auto"/>
          <w:kern w:val="0"/>
          <w:sz w:val="32"/>
          <w:szCs w:val="32"/>
        </w:rPr>
        <w:t>，总计容面积为32747.21m</w:t>
      </w:r>
      <w:r>
        <w:rPr>
          <w:rFonts w:hint="eastAsia" w:ascii="Times New Roman" w:hAnsi="Times New Roman" w:eastAsia="方正仿宋_GBK"/>
          <w:color w:val="auto"/>
          <w:kern w:val="0"/>
          <w:sz w:val="32"/>
          <w:szCs w:val="32"/>
          <w:vertAlign w:val="superscript"/>
        </w:rPr>
        <w:t>2</w:t>
      </w:r>
      <w:r>
        <w:rPr>
          <w:rFonts w:hint="eastAsia" w:ascii="Times New Roman" w:hAnsi="Times New Roman" w:eastAsia="方正仿宋_GBK"/>
          <w:color w:val="auto"/>
          <w:kern w:val="0"/>
          <w:sz w:val="32"/>
          <w:szCs w:val="32"/>
        </w:rPr>
        <w:t>，总建筑面积为46270.48m</w:t>
      </w:r>
      <w:r>
        <w:rPr>
          <w:rFonts w:hint="eastAsia" w:ascii="Times New Roman" w:hAnsi="Times New Roman" w:eastAsia="方正仿宋_GBK"/>
          <w:color w:val="auto"/>
          <w:kern w:val="0"/>
          <w:sz w:val="32"/>
          <w:szCs w:val="32"/>
          <w:vertAlign w:val="superscript"/>
        </w:rPr>
        <w:t>2</w:t>
      </w:r>
      <w:r>
        <w:rPr>
          <w:rFonts w:hint="eastAsia" w:ascii="Times New Roman" w:hAnsi="Times New Roman" w:eastAsia="方正仿宋_GBK"/>
          <w:color w:val="auto"/>
          <w:kern w:val="0"/>
          <w:sz w:val="32"/>
          <w:szCs w:val="32"/>
        </w:rPr>
        <w:t>。主要建设内容包括建筑、边坡、给排水、海绵城市、精装、暖通等</w:t>
      </w:r>
      <w:r>
        <w:rPr>
          <w:rFonts w:hint="eastAsia" w:ascii="Times New Roman" w:hAnsi="Times New Roman" w:eastAsia="方正仿宋_GBK"/>
          <w:color w:val="auto"/>
          <w:kern w:val="0"/>
          <w:sz w:val="32"/>
          <w:szCs w:val="32"/>
          <w:highlight w:val="none"/>
        </w:rPr>
        <w:t>。</w:t>
      </w:r>
      <w:r>
        <w:rPr>
          <w:rFonts w:ascii="Times New Roman" w:hAnsi="Times New Roman" w:eastAsia="方正仿宋_GBK"/>
          <w:color w:val="auto"/>
          <w:sz w:val="32"/>
          <w:szCs w:val="32"/>
          <w:highlight w:val="none"/>
        </w:rPr>
        <w:t>工程占地共计2.14</w:t>
      </w:r>
      <w:r>
        <w:rPr>
          <w:rFonts w:ascii="Times New Roman" w:hAnsi="Times New Roman"/>
          <w:color w:val="auto"/>
          <w:sz w:val="32"/>
          <w:szCs w:val="32"/>
          <w:highlight w:val="none"/>
        </w:rPr>
        <w:t>hm</w:t>
      </w:r>
      <w:r>
        <w:rPr>
          <w:rFonts w:ascii="Times New Roman" w:hAnsi="Times New Roman"/>
          <w:color w:val="auto"/>
          <w:sz w:val="32"/>
          <w:szCs w:val="32"/>
          <w:highlight w:val="none"/>
          <w:vertAlign w:val="superscript"/>
        </w:rPr>
        <w:t>2</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其中</w:t>
      </w:r>
      <w:r>
        <w:rPr>
          <w:rFonts w:ascii="Times New Roman" w:hAnsi="Times New Roman" w:eastAsia="方正仿宋_GBK"/>
          <w:color w:val="auto"/>
          <w:sz w:val="32"/>
          <w:szCs w:val="32"/>
          <w:highlight w:val="none"/>
        </w:rPr>
        <w:t>永久占地</w:t>
      </w:r>
      <w:r>
        <w:rPr>
          <w:rFonts w:hint="eastAsia" w:ascii="Times New Roman" w:hAnsi="Times New Roman" w:eastAsia="方正仿宋_GBK"/>
          <w:color w:val="auto"/>
          <w:sz w:val="32"/>
          <w:szCs w:val="32"/>
          <w:highlight w:val="none"/>
        </w:rPr>
        <w:t>1</w:t>
      </w:r>
      <w:r>
        <w:rPr>
          <w:rFonts w:ascii="Times New Roman" w:hAnsi="Times New Roman" w:eastAsia="方正仿宋_GBK"/>
          <w:color w:val="auto"/>
          <w:sz w:val="32"/>
          <w:szCs w:val="32"/>
          <w:highlight w:val="none"/>
        </w:rPr>
        <w:t>.98</w:t>
      </w:r>
      <w:r>
        <w:rPr>
          <w:rFonts w:ascii="Times New Roman" w:hAnsi="Times New Roman"/>
          <w:color w:val="auto"/>
          <w:sz w:val="32"/>
          <w:szCs w:val="32"/>
          <w:highlight w:val="none"/>
        </w:rPr>
        <w:t>hm</w:t>
      </w:r>
      <w:r>
        <w:rPr>
          <w:rFonts w:ascii="Times New Roman" w:hAnsi="Times New Roman"/>
          <w:color w:val="auto"/>
          <w:sz w:val="32"/>
          <w:szCs w:val="32"/>
          <w:highlight w:val="none"/>
          <w:vertAlign w:val="superscript"/>
        </w:rPr>
        <w:t>2</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临时占地</w:t>
      </w:r>
      <w:r>
        <w:rPr>
          <w:rFonts w:ascii="Times New Roman" w:hAnsi="Times New Roman"/>
          <w:color w:val="auto"/>
          <w:sz w:val="32"/>
          <w:szCs w:val="32"/>
          <w:highlight w:val="none"/>
        </w:rPr>
        <w:t>0.16 hm</w:t>
      </w:r>
      <w:r>
        <w:rPr>
          <w:rFonts w:ascii="Times New Roman" w:hAnsi="Times New Roman"/>
          <w:color w:val="auto"/>
          <w:sz w:val="32"/>
          <w:szCs w:val="32"/>
          <w:highlight w:val="none"/>
          <w:vertAlign w:val="superscript"/>
        </w:rPr>
        <w:t>2</w:t>
      </w:r>
      <w:r>
        <w:rPr>
          <w:rFonts w:ascii="Times New Roman" w:hAnsi="Times New Roman" w:eastAsia="方正仿宋_GBK"/>
          <w:color w:val="auto"/>
          <w:sz w:val="32"/>
          <w:szCs w:val="32"/>
          <w:highlight w:val="none"/>
        </w:rPr>
        <w:t>。工程</w:t>
      </w:r>
      <w:r>
        <w:rPr>
          <w:rFonts w:hint="eastAsia" w:ascii="Times New Roman" w:hAnsi="Times New Roman" w:eastAsia="方正仿宋_GBK"/>
          <w:color w:val="auto"/>
          <w:sz w:val="32"/>
          <w:szCs w:val="32"/>
          <w:highlight w:val="none"/>
        </w:rPr>
        <w:t>挖方</w:t>
      </w:r>
      <w:r>
        <w:rPr>
          <w:rFonts w:ascii="Times New Roman" w:hAnsi="Times New Roman" w:eastAsia="方正仿宋_GBK"/>
          <w:color w:val="auto"/>
          <w:sz w:val="32"/>
          <w:szCs w:val="32"/>
          <w:highlight w:val="none"/>
        </w:rPr>
        <w:t>5.94万m</w:t>
      </w:r>
      <w:r>
        <w:rPr>
          <w:rFonts w:ascii="Times New Roman" w:hAnsi="Times New Roman" w:eastAsia="方正仿宋_GBK"/>
          <w:color w:val="auto"/>
          <w:sz w:val="32"/>
          <w:szCs w:val="32"/>
          <w:highlight w:val="none"/>
          <w:vertAlign w:val="superscript"/>
        </w:rPr>
        <w:t>3</w:t>
      </w:r>
      <w:r>
        <w:rPr>
          <w:rFonts w:ascii="Times New Roman" w:hAnsi="Times New Roman" w:eastAsia="方正仿宋_GBK"/>
          <w:color w:val="auto"/>
          <w:sz w:val="32"/>
          <w:szCs w:val="32"/>
          <w:highlight w:val="none"/>
        </w:rPr>
        <w:t>（自然方），其中表土剥离0.09万m</w:t>
      </w:r>
      <w:r>
        <w:rPr>
          <w:rFonts w:ascii="Times New Roman" w:hAnsi="Times New Roman" w:eastAsia="方正仿宋_GBK"/>
          <w:color w:val="auto"/>
          <w:sz w:val="32"/>
          <w:szCs w:val="32"/>
          <w:highlight w:val="none"/>
          <w:vertAlign w:val="superscript"/>
        </w:rPr>
        <w:t>3</w:t>
      </w:r>
      <w:r>
        <w:rPr>
          <w:rFonts w:ascii="Times New Roman" w:hAnsi="Times New Roman" w:eastAsia="方正仿宋_GBK"/>
          <w:color w:val="auto"/>
          <w:sz w:val="32"/>
          <w:szCs w:val="32"/>
          <w:highlight w:val="none"/>
        </w:rPr>
        <w:t>（自然方）；填方量2.42万m</w:t>
      </w:r>
      <w:r>
        <w:rPr>
          <w:rFonts w:ascii="Times New Roman" w:hAnsi="Times New Roman" w:eastAsia="方正仿宋_GBK"/>
          <w:color w:val="auto"/>
          <w:sz w:val="32"/>
          <w:szCs w:val="32"/>
          <w:highlight w:val="none"/>
          <w:vertAlign w:val="superscript"/>
        </w:rPr>
        <w:t>3</w:t>
      </w:r>
      <w:r>
        <w:rPr>
          <w:rFonts w:ascii="Times New Roman" w:hAnsi="Times New Roman" w:eastAsia="方正仿宋_GBK"/>
          <w:color w:val="auto"/>
          <w:sz w:val="32"/>
          <w:szCs w:val="32"/>
          <w:highlight w:val="none"/>
        </w:rPr>
        <w:t>（自然方），其中表土回填0.09万m</w:t>
      </w:r>
      <w:r>
        <w:rPr>
          <w:rFonts w:ascii="Times New Roman" w:hAnsi="Times New Roman" w:eastAsia="方正仿宋_GBK"/>
          <w:color w:val="auto"/>
          <w:sz w:val="32"/>
          <w:szCs w:val="32"/>
          <w:highlight w:val="none"/>
          <w:vertAlign w:val="superscript"/>
        </w:rPr>
        <w:t>3</w:t>
      </w:r>
      <w:r>
        <w:rPr>
          <w:rFonts w:ascii="Times New Roman" w:hAnsi="Times New Roman" w:eastAsia="方正仿宋_GBK"/>
          <w:color w:val="auto"/>
          <w:sz w:val="32"/>
          <w:szCs w:val="32"/>
          <w:highlight w:val="none"/>
        </w:rPr>
        <w:t>（自然方）；无借方，余方3.52万m</w:t>
      </w:r>
      <w:r>
        <w:rPr>
          <w:rFonts w:ascii="Times New Roman" w:hAnsi="Times New Roman" w:eastAsia="方正仿宋_GBK"/>
          <w:color w:val="auto"/>
          <w:sz w:val="32"/>
          <w:szCs w:val="32"/>
          <w:highlight w:val="none"/>
          <w:vertAlign w:val="superscript"/>
        </w:rPr>
        <w:t>3</w:t>
      </w:r>
      <w:r>
        <w:rPr>
          <w:rFonts w:ascii="Times New Roman" w:hAnsi="Times New Roman" w:eastAsia="方正仿宋_GBK"/>
          <w:color w:val="auto"/>
          <w:sz w:val="32"/>
          <w:szCs w:val="32"/>
          <w:highlight w:val="none"/>
        </w:rPr>
        <w:t>（自然方）</w:t>
      </w:r>
      <w:r>
        <w:rPr>
          <w:rFonts w:hint="eastAsia" w:ascii="Times New Roman" w:hAnsi="Times New Roman" w:eastAsia="方正仿宋_GBK"/>
          <w:color w:val="auto"/>
          <w:kern w:val="0"/>
          <w:sz w:val="32"/>
          <w:szCs w:val="32"/>
          <w:highlight w:val="none"/>
        </w:rPr>
        <w:t>，余方全部运至业</w:t>
      </w:r>
      <w:r>
        <w:rPr>
          <w:rFonts w:hint="eastAsia" w:ascii="Times New Roman" w:hAnsi="Times New Roman" w:eastAsia="方正仿宋_GBK"/>
          <w:color w:val="auto"/>
          <w:kern w:val="0"/>
          <w:sz w:val="32"/>
          <w:szCs w:val="32"/>
        </w:rPr>
        <w:t>主另一项目北滨路东延伸段配套（黑石子）临时弃土场工程回填利用。</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本工程计划于2024年2月</w:t>
      </w:r>
      <w:r>
        <w:rPr>
          <w:rFonts w:ascii="Times New Roman" w:hAnsi="Times New Roman" w:eastAsia="方正仿宋_GBK"/>
          <w:color w:val="auto"/>
          <w:sz w:val="32"/>
          <w:szCs w:val="32"/>
        </w:rPr>
        <w:t>开工，</w:t>
      </w:r>
      <w:r>
        <w:rPr>
          <w:rFonts w:hint="eastAsia" w:ascii="Times New Roman" w:hAnsi="Times New Roman" w:eastAsia="方正仿宋_GBK"/>
          <w:color w:val="auto"/>
          <w:sz w:val="32"/>
          <w:szCs w:val="32"/>
        </w:rPr>
        <w:t>2026年4月</w:t>
      </w:r>
      <w:r>
        <w:rPr>
          <w:rFonts w:ascii="Times New Roman" w:hAnsi="Times New Roman" w:eastAsia="方正仿宋_GBK"/>
          <w:color w:val="auto"/>
          <w:sz w:val="32"/>
          <w:szCs w:val="32"/>
        </w:rPr>
        <w:t>完工</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总工期为</w:t>
      </w:r>
      <w:r>
        <w:rPr>
          <w:rFonts w:hint="eastAsia" w:ascii="Times New Roman" w:hAnsi="Times New Roman" w:eastAsia="方正仿宋_GBK"/>
          <w:color w:val="auto"/>
          <w:sz w:val="32"/>
          <w:szCs w:val="32"/>
        </w:rPr>
        <w:t>27个月</w:t>
      </w:r>
      <w:r>
        <w:rPr>
          <w:rFonts w:ascii="Times New Roman" w:hAnsi="Times New Roman" w:eastAsia="方正仿宋_GBK"/>
          <w:color w:val="auto"/>
          <w:sz w:val="32"/>
          <w:szCs w:val="32"/>
        </w:rPr>
        <w:t>。</w:t>
      </w:r>
      <w:r>
        <w:rPr>
          <w:rFonts w:hint="eastAsia" w:ascii="Times New Roman" w:hAnsi="Times New Roman" w:eastAsia="方正仿宋_GBK"/>
          <w:color w:val="auto"/>
          <w:kern w:val="0"/>
          <w:sz w:val="32"/>
          <w:szCs w:val="32"/>
        </w:rPr>
        <w:t>工程总投资53000万元，其中土建投资约22000万元。项目不涉及专项设施改(迁)建等内容。</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（二）同意工程占地及土石方平衡分析。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（三）项目区地形、地貌、地质、气象、水文、土壤、植被等情况阐述基本清楚。</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三、 项目水土保持评价</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（一）同意主体工程选址水土保持评价。</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（二）同意建设方案与布局水土保持评价。</w:t>
      </w:r>
    </w:p>
    <w:p>
      <w:pPr>
        <w:widowControl/>
        <w:shd w:val="clear" w:color="auto" w:fill="FFFFFF"/>
        <w:spacing w:line="596" w:lineRule="exact"/>
        <w:ind w:firstLine="480" w:firstLineChars="150"/>
        <w:jc w:val="left"/>
        <w:rPr>
          <w:rFonts w:ascii="宋体" w:hAnsi="宋体" w:cs="宋体"/>
          <w:color w:val="auto"/>
          <w:spacing w:val="16"/>
          <w:sz w:val="29"/>
          <w:szCs w:val="29"/>
        </w:rPr>
      </w:pPr>
      <w:r>
        <w:rPr>
          <w:rFonts w:hint="eastAsia" w:ascii="Times New Roman" w:hAnsi="Times New Roman" w:eastAsia="方正仿宋_GBK"/>
          <w:color w:val="auto"/>
          <w:kern w:val="0"/>
          <w:sz w:val="32"/>
          <w:szCs w:val="32"/>
        </w:rPr>
        <w:t>（三）同意工程设计中水土保持措施界定。</w:t>
      </w:r>
    </w:p>
    <w:p>
      <w:pPr>
        <w:spacing w:line="500" w:lineRule="exact"/>
        <w:ind w:left="610" w:right="-465"/>
        <w:rPr>
          <w:rFonts w:ascii="宋体" w:hAnsi="宋体" w:cs="宋体"/>
          <w:b/>
          <w:bCs/>
          <w:color w:val="auto"/>
          <w:sz w:val="29"/>
          <w:szCs w:val="29"/>
        </w:rPr>
      </w:pPr>
      <w:r>
        <w:rPr>
          <w:rFonts w:ascii="宋体" w:hAnsi="宋体" w:cs="宋体"/>
          <w:b/>
          <w:bCs/>
          <w:color w:val="auto"/>
          <w:spacing w:val="7"/>
          <w:sz w:val="29"/>
          <w:szCs w:val="29"/>
        </w:rPr>
        <w:t xml:space="preserve"> </w:t>
      </w:r>
      <w:r>
        <w:rPr>
          <w:rFonts w:hint="eastAsia" w:ascii="方正黑体_GBK" w:hAnsi="Times New Roman" w:eastAsia="方正黑体_GBK"/>
          <w:color w:val="auto"/>
          <w:sz w:val="32"/>
          <w:szCs w:val="32"/>
        </w:rPr>
        <w:t>四 、水土流失分析与预测</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（一）同意对项目区水土流失现状及影响分析。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（二）项目建设过程中扰动地表面积</w:t>
      </w:r>
      <w:r>
        <w:rPr>
          <w:rFonts w:hint="eastAsia" w:ascii="Times New Roman" w:hAnsi="Times New Roman" w:eastAsia="方正仿宋_GBK"/>
          <w:color w:val="auto"/>
          <w:kern w:val="0"/>
          <w:sz w:val="32"/>
          <w:szCs w:val="32"/>
          <w:lang w:val="en-US" w:eastAsia="zh-CN"/>
        </w:rPr>
        <w:t>2.14</w:t>
      </w:r>
      <w:r>
        <w:rPr>
          <w:rFonts w:ascii="Times New Roman" w:hAnsi="Times New Roman" w:eastAsia="方正仿宋_GBK"/>
          <w:color w:val="auto"/>
          <w:sz w:val="32"/>
          <w:szCs w:val="32"/>
          <w:lang w:bidi="ar"/>
        </w:rPr>
        <w:t>hm</w:t>
      </w:r>
      <w:r>
        <w:rPr>
          <w:rFonts w:ascii="Times New Roman" w:hAnsi="Times New Roman" w:eastAsia="方正仿宋_GBK"/>
          <w:color w:val="auto"/>
          <w:sz w:val="32"/>
          <w:szCs w:val="32"/>
          <w:vertAlign w:val="superscript"/>
          <w:lang w:bidi="ar"/>
        </w:rPr>
        <w:t>2</w:t>
      </w:r>
      <w:r>
        <w:rPr>
          <w:rFonts w:hint="eastAsia" w:ascii="Times New Roman" w:hAnsi="Times New Roman" w:eastAsia="方正仿宋_GBK"/>
          <w:color w:val="auto"/>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（三）同意水土流失量预测方法及成果。工程建设可能造成的土壤流失总量为2</w:t>
      </w:r>
      <w:r>
        <w:rPr>
          <w:rFonts w:hint="eastAsia" w:ascii="Times New Roman" w:hAnsi="Times New Roman" w:eastAsia="方正仿宋_GBK"/>
          <w:color w:val="auto"/>
          <w:kern w:val="0"/>
          <w:sz w:val="32"/>
          <w:szCs w:val="32"/>
          <w:lang w:val="en-US" w:eastAsia="zh-CN"/>
        </w:rPr>
        <w:t>18</w:t>
      </w:r>
      <w:r>
        <w:rPr>
          <w:rFonts w:hint="eastAsia" w:ascii="Times New Roman" w:hAnsi="Times New Roman" w:eastAsia="方正仿宋_GBK"/>
          <w:color w:val="auto"/>
          <w:kern w:val="0"/>
          <w:sz w:val="32"/>
          <w:szCs w:val="32"/>
        </w:rPr>
        <w:t>t，新增水土流失量1</w:t>
      </w:r>
      <w:r>
        <w:rPr>
          <w:rFonts w:hint="eastAsia" w:ascii="Times New Roman" w:hAnsi="Times New Roman" w:eastAsia="方正仿宋_GBK"/>
          <w:color w:val="auto"/>
          <w:kern w:val="0"/>
          <w:sz w:val="32"/>
          <w:szCs w:val="32"/>
          <w:lang w:val="en-US" w:eastAsia="zh-CN"/>
        </w:rPr>
        <w:t>5</w:t>
      </w:r>
      <w:r>
        <w:rPr>
          <w:rFonts w:hint="eastAsia" w:ascii="Times New Roman" w:hAnsi="Times New Roman" w:eastAsia="方正仿宋_GBK"/>
          <w:color w:val="auto"/>
          <w:kern w:val="0"/>
          <w:sz w:val="32"/>
          <w:szCs w:val="32"/>
        </w:rPr>
        <w:t>6t。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（四）同意水土流失的危害性分析和指导性意见。</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五 、水土保持措施</w:t>
      </w:r>
    </w:p>
    <w:p>
      <w:pPr>
        <w:adjustRightInd w:val="0"/>
        <w:snapToGrid w:val="0"/>
        <w:spacing w:line="596" w:lineRule="exact"/>
        <w:ind w:firstLine="320" w:firstLineChars="100"/>
        <w:rPr>
          <w:rFonts w:hint="eastAsia" w:ascii="Times New Roman" w:hAnsi="Times New Roman" w:eastAsia="方正仿宋_GBK"/>
          <w:color w:val="auto"/>
          <w:sz w:val="32"/>
          <w:szCs w:val="32"/>
        </w:rPr>
      </w:pPr>
      <w:r>
        <w:rPr>
          <w:rFonts w:hint="eastAsia" w:ascii="Times New Roman" w:hAnsi="Times New Roman" w:eastAsia="方正仿宋_GBK"/>
          <w:color w:val="auto"/>
          <w:kern w:val="0"/>
          <w:sz w:val="32"/>
          <w:szCs w:val="32"/>
        </w:rPr>
        <w:t>（一）同意项目划分为</w:t>
      </w:r>
      <w:r>
        <w:rPr>
          <w:rFonts w:hint="eastAsia" w:ascii="Times New Roman" w:hAnsi="Times New Roman" w:eastAsia="方正仿宋_GBK"/>
          <w:color w:val="auto"/>
          <w:sz w:val="32"/>
          <w:szCs w:val="32"/>
        </w:rPr>
        <w:t>项目建设防治区1个水土流失防治分区。</w:t>
      </w:r>
    </w:p>
    <w:p>
      <w:pPr>
        <w:widowControl/>
        <w:shd w:val="clear" w:color="auto" w:fill="FFFFFF"/>
        <w:spacing w:line="596" w:lineRule="exact"/>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同意由主体工程设计的水土保持措施和方案新增的水土保持措施所组成的水土流失防治措施体系。</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（二）同意防治措施布局、方案新增水土保持措施典型设计。</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项目建设防治区</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highlight w:val="none"/>
        </w:rPr>
      </w:pPr>
      <w:r>
        <w:rPr>
          <w:rFonts w:hint="eastAsia" w:ascii="Times New Roman" w:hAnsi="Times New Roman" w:eastAsia="方正仿宋_GBK"/>
          <w:color w:val="auto"/>
          <w:kern w:val="0"/>
          <w:sz w:val="32"/>
          <w:szCs w:val="32"/>
        </w:rPr>
        <w:t>施工开始前，在项目区南侧设置1个施工入口，主体设置1座车辆冲洗站及新增1座沉砂池。待G15-4-1/03地块车库回填后，方案新增对现状可剥离区域进行表土剥离，统一堆存于临时堆土区域</w:t>
      </w:r>
      <w:r>
        <w:rPr>
          <w:rFonts w:hint="eastAsia" w:ascii="Times New Roman" w:hAnsi="Times New Roman" w:eastAsia="方正仿宋_GBK"/>
          <w:color w:val="auto"/>
          <w:kern w:val="0"/>
          <w:sz w:val="32"/>
          <w:szCs w:val="32"/>
          <w:lang w:eastAsia="zh-CN"/>
        </w:rPr>
        <w:t>，</w:t>
      </w:r>
      <w:r>
        <w:rPr>
          <w:rFonts w:hint="eastAsia" w:ascii="Times New Roman" w:hAnsi="Times New Roman" w:eastAsia="方正仿宋_GBK"/>
          <w:color w:val="auto"/>
          <w:kern w:val="0"/>
          <w:sz w:val="32"/>
          <w:szCs w:val="32"/>
          <w:highlight w:val="none"/>
        </w:rPr>
        <w:t>项目区西侧新增钢板档护。</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highlight w:val="none"/>
        </w:rPr>
      </w:pPr>
      <w:r>
        <w:rPr>
          <w:rFonts w:hint="eastAsia" w:ascii="Times New Roman" w:hAnsi="Times New Roman" w:eastAsia="方正仿宋_GBK"/>
          <w:color w:val="auto"/>
          <w:kern w:val="0"/>
          <w:sz w:val="32"/>
          <w:szCs w:val="32"/>
          <w:highlight w:val="none"/>
        </w:rPr>
        <w:t>施工过程中，方案新增对基础开挖形成边坡以及施工生产区采用防雨土工布进行临时覆盖，主体设计边坡截、排水沟采取永临结合的方式，施工期布设，施工结束后保留，出口均接入市政排水管。临时堆土区域布设在G15-4-1/03地块车库回填后区域，方案新增对临时堆土区域进行临时覆盖，并在四周布设临时拦挡。</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施工结束后，主体在项目区内布置了永久室外雨水排水管，共设置2个雨水管网出口，均接入市政管网系统。主体对绿化区域进行表土回填、景观绿化、屋顶绿化以及雨水花园布置，对部分硬化区域进行透水铺装。</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（三）同意水土保持施工组织设计。</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六、 水土保持监测</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同意水土保持监测方案。</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七、水土保持投资估算及效益分析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（一）投资编制依据基本正确，费用及定额选址基本合理，编制深度基本满足规范要求。</w:t>
      </w:r>
    </w:p>
    <w:p>
      <w:pPr>
        <w:widowControl/>
        <w:spacing w:line="596" w:lineRule="exact"/>
        <w:ind w:firstLine="640" w:firstLineChars="200"/>
        <w:jc w:val="both"/>
        <w:rPr>
          <w:rFonts w:hint="eastAsia" w:ascii="Times New Roman" w:hAnsi="Times New Roman" w:eastAsia="方正仿宋_GBK"/>
          <w:color w:val="FF0000"/>
          <w:sz w:val="32"/>
          <w:szCs w:val="32"/>
          <w:lang w:bidi="ar"/>
        </w:rPr>
      </w:pPr>
      <w:r>
        <w:rPr>
          <w:rFonts w:hint="eastAsia" w:ascii="Times New Roman" w:hAnsi="Times New Roman" w:eastAsia="方正仿宋_GBK"/>
          <w:color w:val="auto"/>
          <w:kern w:val="0"/>
          <w:sz w:val="32"/>
          <w:szCs w:val="32"/>
        </w:rPr>
        <w:t>（二）</w:t>
      </w:r>
      <w:r>
        <w:rPr>
          <w:rFonts w:hint="eastAsia" w:ascii="Times New Roman" w:hAnsi="Times New Roman" w:eastAsia="方正仿宋_GBK"/>
          <w:color w:val="auto"/>
          <w:sz w:val="32"/>
          <w:szCs w:val="32"/>
          <w:lang w:bidi="ar"/>
        </w:rPr>
        <w:t>本项目水土保持总投资396.70万元，其中主体已列投资337.27万元，主体工程已列投资中：工程措施52.59万元，植物措施283.88万元，临时措施0.80万元。方案新增投资为59.43万元。在方案新增投资中：工程措施5.96万元、监测措施费15.31万元</w:t>
      </w:r>
      <w:r>
        <w:rPr>
          <w:rFonts w:hint="eastAsia" w:ascii="Times New Roman" w:hAnsi="Times New Roman" w:eastAsia="方正仿宋_GBK"/>
          <w:color w:val="auto"/>
          <w:sz w:val="32"/>
          <w:szCs w:val="32"/>
          <w:lang w:eastAsia="zh-CN" w:bidi="ar"/>
        </w:rPr>
        <w:t>，</w:t>
      </w:r>
      <w:r>
        <w:rPr>
          <w:rFonts w:hint="eastAsia" w:ascii="Times New Roman" w:hAnsi="Times New Roman" w:eastAsia="方正仿宋_GBK"/>
          <w:color w:val="auto"/>
          <w:sz w:val="32"/>
          <w:szCs w:val="32"/>
          <w:lang w:bidi="ar"/>
        </w:rPr>
        <w:t>临时措施费用11.77万元</w:t>
      </w:r>
      <w:r>
        <w:rPr>
          <w:rFonts w:hint="eastAsia" w:ascii="Times New Roman" w:hAnsi="Times New Roman" w:eastAsia="方正仿宋_GBK"/>
          <w:color w:val="auto"/>
          <w:sz w:val="32"/>
          <w:szCs w:val="32"/>
          <w:lang w:eastAsia="zh-CN" w:bidi="ar"/>
        </w:rPr>
        <w:t>，</w:t>
      </w:r>
      <w:r>
        <w:rPr>
          <w:rFonts w:hint="eastAsia" w:ascii="Times New Roman" w:hAnsi="Times New Roman" w:eastAsia="方正仿宋_GBK"/>
          <w:color w:val="auto"/>
          <w:sz w:val="32"/>
          <w:szCs w:val="32"/>
          <w:lang w:bidi="ar"/>
        </w:rPr>
        <w:t>独立费用20.21万元</w:t>
      </w:r>
      <w:r>
        <w:rPr>
          <w:rFonts w:hint="eastAsia" w:ascii="Times New Roman" w:hAnsi="Times New Roman" w:eastAsia="方正仿宋_GBK"/>
          <w:color w:val="auto"/>
          <w:sz w:val="32"/>
          <w:szCs w:val="32"/>
          <w:lang w:eastAsia="zh-CN" w:bidi="ar"/>
        </w:rPr>
        <w:t>，</w:t>
      </w:r>
      <w:r>
        <w:rPr>
          <w:rFonts w:hint="eastAsia" w:ascii="Times New Roman" w:hAnsi="Times New Roman" w:eastAsia="方正仿宋_GBK"/>
          <w:color w:val="auto"/>
          <w:sz w:val="32"/>
          <w:szCs w:val="32"/>
          <w:lang w:bidi="ar"/>
        </w:rPr>
        <w:t>基本预备费3.19万元</w:t>
      </w:r>
      <w:r>
        <w:rPr>
          <w:rFonts w:hint="eastAsia" w:ascii="Times New Roman" w:hAnsi="Times New Roman" w:eastAsia="方正仿宋_GBK"/>
          <w:color w:val="auto"/>
          <w:sz w:val="32"/>
          <w:szCs w:val="32"/>
          <w:lang w:eastAsia="zh-CN" w:bidi="ar"/>
        </w:rPr>
        <w:t>，</w:t>
      </w:r>
      <w:r>
        <w:rPr>
          <w:rFonts w:hint="eastAsia" w:ascii="Times New Roman" w:hAnsi="Times New Roman" w:eastAsia="方正仿宋_GBK"/>
          <w:color w:val="auto"/>
          <w:sz w:val="32"/>
          <w:szCs w:val="32"/>
          <w:lang w:bidi="ar"/>
        </w:rPr>
        <w:t>水土保持补偿费2.99万元（29919.40元）。</w:t>
      </w:r>
    </w:p>
    <w:p>
      <w:pPr>
        <w:widowControl/>
        <w:shd w:val="clear" w:color="auto" w:fill="FFFFFF"/>
        <w:spacing w:line="596" w:lineRule="exact"/>
        <w:ind w:firstLine="480" w:firstLineChars="150"/>
        <w:jc w:val="left"/>
        <w:rPr>
          <w:rFonts w:ascii="宋体" w:hAnsi="宋体" w:cs="宋体"/>
          <w:color w:val="auto"/>
          <w:sz w:val="29"/>
          <w:szCs w:val="29"/>
        </w:rPr>
      </w:pPr>
      <w:r>
        <w:rPr>
          <w:rFonts w:hint="eastAsia" w:ascii="Times New Roman" w:hAnsi="Times New Roman" w:eastAsia="方正仿宋_GBK"/>
          <w:color w:val="auto"/>
          <w:kern w:val="0"/>
          <w:sz w:val="32"/>
          <w:szCs w:val="32"/>
        </w:rPr>
        <w:t>（三）效益分析方法正确，分析结果基本合理。</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八、 水土保持管理</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本方案中提出的组织管理、后续设计、水土保持监测、水土保持 监理、水土保持施工、水土保持设施验收等水土保持管理要求基本可行。</w:t>
      </w:r>
    </w:p>
    <w:p>
      <w:pPr>
        <w:spacing w:line="500" w:lineRule="exact"/>
        <w:rPr>
          <w:color w:val="auto"/>
        </w:rPr>
        <w:sectPr>
          <w:footerReference r:id="rId3" w:type="default"/>
          <w:pgSz w:w="11906" w:h="16838"/>
          <w:pgMar w:top="1984" w:right="1446" w:bottom="1644" w:left="1446" w:header="0" w:footer="1020" w:gutter="0"/>
          <w:pgNumType w:fmt="decimal"/>
          <w:cols w:space="720" w:num="1"/>
        </w:sectPr>
      </w:pP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九、 评审结论</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该水土保持方案基本符合《生产建设项目水土保持技术标准》 (GB50433-2018)的规定及相关要求，报告格式规范、内容完整，技术方案基本可行。专家组原则同意该水土保持方案报告报批。</w:t>
      </w:r>
    </w:p>
    <w:p>
      <w:pPr>
        <w:spacing w:line="500" w:lineRule="exact"/>
        <w:rPr>
          <w:rFonts w:ascii="Arial"/>
          <w:color w:val="auto"/>
        </w:rPr>
      </w:pPr>
    </w:p>
    <w:p>
      <w:pPr>
        <w:spacing w:line="251" w:lineRule="auto"/>
        <w:rPr>
          <w:rFonts w:ascii="Arial"/>
          <w:color w:val="auto"/>
        </w:rPr>
      </w:pPr>
    </w:p>
    <w:p>
      <w:pPr>
        <w:spacing w:line="252" w:lineRule="auto"/>
        <w:rPr>
          <w:rFonts w:ascii="Arial"/>
          <w:color w:val="auto"/>
        </w:rPr>
      </w:pPr>
    </w:p>
    <w:p>
      <w:pPr>
        <w:spacing w:before="91"/>
        <w:ind w:left="4753"/>
        <w:rPr>
          <w:color w:val="auto"/>
          <w:sz w:val="28"/>
          <w:szCs w:val="28"/>
        </w:rPr>
      </w:pPr>
      <w:r>
        <w:rPr>
          <w:rFonts w:hint="eastAsia" w:ascii="Times New Roman" w:hAnsi="Times New Roman" w:eastAsia="方正仿宋_GBK" w:cs="Times New Roman"/>
          <w:color w:val="auto"/>
          <w:kern w:val="0"/>
          <w:sz w:val="32"/>
          <w:szCs w:val="32"/>
        </w:rPr>
        <w:t>专家组组长：</w:t>
      </w:r>
      <w:r>
        <w:rPr>
          <w:rFonts w:ascii="宋体" w:hAnsi="宋体" w:cs="宋体"/>
          <w:color w:val="auto"/>
          <w:spacing w:val="43"/>
          <w:sz w:val="28"/>
          <w:szCs w:val="28"/>
        </w:rPr>
        <w:t xml:space="preserve"> </w:t>
      </w:r>
      <w:r>
        <w:rPr>
          <w:rFonts w:ascii="Times New Roman" w:hAnsi="Times New Roman"/>
          <w:sz w:val="28"/>
          <w:szCs w:val="24"/>
        </w:rPr>
        <w:drawing>
          <wp:inline distT="0" distB="0" distL="114300" distR="114300">
            <wp:extent cx="847725" cy="514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514350"/>
                    </a:xfrm>
                    <a:prstGeom prst="rect">
                      <a:avLst/>
                    </a:prstGeom>
                    <a:noFill/>
                    <a:ln w="9525">
                      <a:noFill/>
                    </a:ln>
                  </pic:spPr>
                </pic:pic>
              </a:graphicData>
            </a:graphic>
          </wp:inline>
        </w:drawing>
      </w:r>
    </w:p>
    <w:p>
      <w:pPr>
        <w:pStyle w:val="2"/>
        <w:ind w:firstLine="5120" w:firstLineChars="1600"/>
        <w:rPr>
          <w:rFonts w:ascii="宋体" w:hAnsi="宋体" w:cs="宋体"/>
          <w:color w:val="auto"/>
          <w:spacing w:val="-10"/>
          <w:sz w:val="28"/>
          <w:szCs w:val="28"/>
        </w:rPr>
      </w:pPr>
      <w:r>
        <w:rPr>
          <w:rFonts w:hint="eastAsia" w:ascii="Times New Roman" w:hAnsi="Times New Roman" w:eastAsia="方正仿宋_GBK"/>
          <w:color w:val="auto"/>
          <w:kern w:val="0"/>
          <w:sz w:val="32"/>
          <w:szCs w:val="32"/>
        </w:rPr>
        <w:t>202</w:t>
      </w:r>
      <w:r>
        <w:rPr>
          <w:rFonts w:ascii="Times New Roman" w:hAnsi="Times New Roman" w:eastAsia="方正仿宋_GBK"/>
          <w:color w:val="auto"/>
          <w:kern w:val="0"/>
          <w:sz w:val="32"/>
          <w:szCs w:val="32"/>
        </w:rPr>
        <w:t>4</w:t>
      </w:r>
      <w:r>
        <w:rPr>
          <w:rFonts w:hint="eastAsia" w:ascii="Times New Roman" w:hAnsi="Times New Roman" w:eastAsia="方正仿宋_GBK"/>
          <w:color w:val="auto"/>
          <w:kern w:val="0"/>
          <w:sz w:val="32"/>
          <w:szCs w:val="32"/>
        </w:rPr>
        <w:t>年</w:t>
      </w:r>
      <w:r>
        <w:rPr>
          <w:rFonts w:hint="eastAsia" w:ascii="Times New Roman" w:hAnsi="Times New Roman" w:eastAsia="方正仿宋_GBK"/>
          <w:color w:val="auto"/>
          <w:kern w:val="0"/>
          <w:sz w:val="32"/>
          <w:szCs w:val="32"/>
          <w:lang w:val="en-US" w:eastAsia="zh-CN"/>
        </w:rPr>
        <w:t>1</w:t>
      </w:r>
      <w:r>
        <w:rPr>
          <w:rFonts w:hint="eastAsia" w:ascii="Times New Roman" w:hAnsi="Times New Roman" w:eastAsia="方正仿宋_GBK"/>
          <w:color w:val="auto"/>
          <w:kern w:val="0"/>
          <w:sz w:val="32"/>
          <w:szCs w:val="32"/>
        </w:rPr>
        <w:t>月</w:t>
      </w:r>
      <w:r>
        <w:rPr>
          <w:rFonts w:hint="eastAsia" w:ascii="Times New Roman" w:hAnsi="Times New Roman" w:eastAsia="方正仿宋_GBK"/>
          <w:color w:val="auto"/>
          <w:kern w:val="0"/>
          <w:sz w:val="32"/>
          <w:szCs w:val="32"/>
          <w:lang w:val="en-US" w:eastAsia="zh-CN"/>
        </w:rPr>
        <w:t>3</w:t>
      </w:r>
      <w:r>
        <w:rPr>
          <w:rFonts w:hint="eastAsia" w:ascii="Times New Roman" w:hAnsi="Times New Roman" w:eastAsia="方正仿宋_GBK"/>
          <w:color w:val="auto"/>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28800" cy="3911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91160"/>
                      </a:xfrm>
                      <a:prstGeom prst="rect">
                        <a:avLst/>
                      </a:prstGeom>
                      <a:noFill/>
                      <a:ln w="9525">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0.65pt;height:30.8pt;width:144pt;mso-position-horizontal:outside;mso-position-horizontal-relative:margin;mso-wrap-style:none;z-index:251659264;mso-width-relative:page;mso-height-relative:page;" filled="f" stroked="f" coordsize="21600,21600" o:gfxdata="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1geFvUAAAA&#10;BgEAAA8AAAAAAAAAAQAgAAAAIgAAAGRycy9kb3ducmV2LnhtbFBLAQIUABQAAAAIAIdO4kD+3zoT&#10;rwEAADkDAAAOAAAAAAAAAAEAIAAAACMBAABkcnMvZTJvRG9jLnhtbFBLBQYAAAAABgAGAFkBAABE&#10;BQAAAAA=&#10;">
              <v:path/>
              <v:fill on="f" focussize="0,0"/>
              <v:stroke on="f"/>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2132B"/>
    <w:rsid w:val="0CD2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2024-01-08T08:43:00Z</dcterms:created>
  <dc:creator>hp</dc:creator>
  <cp:lastModifiedBy>hp</cp:lastModifiedBy>
  <dcterms:modified xsi:type="dcterms:W3CDTF">2024-01-08T08:44:04Z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