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方正黑体_GBK" w:hAnsi="宋体" w:eastAsia="方正黑体_GBK" w:cs="宋体"/>
          <w:bCs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exact"/>
        <w:ind w:firstLine="482" w:firstLineChars="200"/>
        <w:jc w:val="center"/>
        <w:textAlignment w:val="auto"/>
        <w:rPr>
          <w:rFonts w:hint="default" w:ascii="Times New Roman" w:hAnsi="Times New Roman" w:eastAsia="仿宋" w:cs="Times New Roman"/>
          <w:color w:val="auto"/>
          <w:szCs w:val="21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lang w:val="en-US" w:eastAsia="zh-CN"/>
        </w:rPr>
        <w:t>华能国际能源先行区西南总部（G06-1/03地块）</w:t>
      </w:r>
      <w:r>
        <w:rPr>
          <w:rFonts w:hint="default" w:ascii="Times New Roman" w:hAnsi="Times New Roman" w:eastAsia="仿宋" w:cs="Times New Roman"/>
          <w:b/>
          <w:color w:val="auto"/>
          <w:sz w:val="24"/>
        </w:rPr>
        <w:t>水土保持方案特性表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72"/>
        <w:gridCol w:w="393"/>
        <w:gridCol w:w="760"/>
        <w:gridCol w:w="817"/>
        <w:gridCol w:w="119"/>
        <w:gridCol w:w="368"/>
        <w:gridCol w:w="789"/>
        <w:gridCol w:w="282"/>
        <w:gridCol w:w="1050"/>
        <w:gridCol w:w="615"/>
        <w:gridCol w:w="195"/>
        <w:gridCol w:w="346"/>
        <w:gridCol w:w="887"/>
        <w:gridCol w:w="135"/>
        <w:gridCol w:w="1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项目名称</w:t>
            </w:r>
          </w:p>
        </w:tc>
        <w:tc>
          <w:tcPr>
            <w:tcW w:w="45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华能国际能源先行区西南总部（G06-1/03地块）</w:t>
            </w:r>
          </w:p>
        </w:tc>
        <w:tc>
          <w:tcPr>
            <w:tcW w:w="20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流域管理机构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长江水利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涉及省市</w:t>
            </w: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重庆市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涉及地市或个数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0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涉及县或个数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项目规模</w:t>
            </w:r>
          </w:p>
        </w:tc>
        <w:tc>
          <w:tcPr>
            <w:tcW w:w="35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本项目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规划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用地面积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2.47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hm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/>
              </w:rPr>
              <w:t>总建筑面积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71597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superscript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建筑密度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39.71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%，容积率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绿化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面积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0.45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绿地率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18.25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共设停车位593辆，全部为室内停车位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总投资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103651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土建投资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77738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动工时间</w:t>
            </w:r>
          </w:p>
        </w:tc>
        <w:tc>
          <w:tcPr>
            <w:tcW w:w="24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月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完工时间</w:t>
            </w:r>
          </w:p>
        </w:tc>
        <w:tc>
          <w:tcPr>
            <w:tcW w:w="18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月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设计水平年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工程占地（hm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24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3.01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永久占地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（hm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8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2.47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临时占地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（hm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0.54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748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土石方量（万m³）</w:t>
            </w: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挖方</w:t>
            </w:r>
          </w:p>
        </w:tc>
        <w:tc>
          <w:tcPr>
            <w:tcW w:w="18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填方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借方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余（弃）方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748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10.45</w:t>
            </w:r>
          </w:p>
        </w:tc>
        <w:tc>
          <w:tcPr>
            <w:tcW w:w="18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6.75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重点防治区名称</w:t>
            </w:r>
          </w:p>
        </w:tc>
        <w:tc>
          <w:tcPr>
            <w:tcW w:w="662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地貌类型</w:t>
            </w:r>
          </w:p>
        </w:tc>
        <w:tc>
          <w:tcPr>
            <w:tcW w:w="2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剥蚀丘陵地貌</w:t>
            </w:r>
          </w:p>
        </w:tc>
        <w:tc>
          <w:tcPr>
            <w:tcW w:w="24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水土保持区划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西南紫色土区（四川盆地及周围山地丘陵区）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土壤侵蚀类型</w:t>
            </w:r>
          </w:p>
        </w:tc>
        <w:tc>
          <w:tcPr>
            <w:tcW w:w="2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水力侵蚀</w:t>
            </w:r>
          </w:p>
        </w:tc>
        <w:tc>
          <w:tcPr>
            <w:tcW w:w="24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土壤侵蚀强度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轻度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防治责任范围面积（hm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2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3.01</w:t>
            </w:r>
          </w:p>
        </w:tc>
        <w:tc>
          <w:tcPr>
            <w:tcW w:w="24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容许土壤流失量[t/（km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.a）]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土壤流失预测总量（t）</w:t>
            </w:r>
          </w:p>
        </w:tc>
        <w:tc>
          <w:tcPr>
            <w:tcW w:w="2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178</w:t>
            </w:r>
          </w:p>
        </w:tc>
        <w:tc>
          <w:tcPr>
            <w:tcW w:w="24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新增水土流失量(t)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水土流失防治标准执行等级</w:t>
            </w:r>
          </w:p>
        </w:tc>
        <w:tc>
          <w:tcPr>
            <w:tcW w:w="662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西南紫色土区建设类一级标准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6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防治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目标</w:t>
            </w: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水土流失治理度（%）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97</w:t>
            </w:r>
          </w:p>
        </w:tc>
        <w:tc>
          <w:tcPr>
            <w:tcW w:w="30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土壤流失控制比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6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渣土防护率（%）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30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表土保护率(%)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6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林草植被恢复率（%）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97</w:t>
            </w:r>
          </w:p>
        </w:tc>
        <w:tc>
          <w:tcPr>
            <w:tcW w:w="30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林草覆盖率(%)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18.25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防治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措施及工程量</w:t>
            </w: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防治分区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工程措施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植物措施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6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主体工程防治区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主体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DN300雨水管网82m，DN400雨水管网580m，DN500雨水管网184m，DN600雨水管网16m，透水砖铺装1657.68m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主体设计：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景观绿化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0.45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eastAsia="zh-CN"/>
              </w:rPr>
              <w:t>。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主体设计：车辆冲洗池1座，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临时截水沟174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m，临时沉沙池1座，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密目网遮盖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940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方案新增：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防雨布覆盖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施工生产生活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防治区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方案新增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土地整治5400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方案新增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撒播草籽0.21h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投资（万元）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主体设计：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53.8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方案新增：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2.14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主体设计：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90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方案新增：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主体设计：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2.17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方案新增：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0.84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水土保持总投资（万元）</w:t>
            </w:r>
          </w:p>
        </w:tc>
        <w:tc>
          <w:tcPr>
            <w:tcW w:w="23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173.4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（主体设计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145.97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方案新增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27.43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独立费用（万元）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4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监理费（万元）</w:t>
            </w:r>
          </w:p>
        </w:tc>
        <w:tc>
          <w:tcPr>
            <w:tcW w:w="9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14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监测费（万元）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9.3</w:t>
            </w: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  <w:t>补偿费（元）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42140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方案编制单位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重庆腾森生态环境咨询服务有限公司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建设单位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重庆新渝江盛置业发展有限公司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统一社会信用代码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91500108MA60KXB07Y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统一社会信用代码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91500105MA611HDG4N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法定代表人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唐仲福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法定代表人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李苏渝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地址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重庆市渝北区余松一支路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龙湖紫都星座A1013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地址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重庆市江北区创富路3号3幢5层502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邮编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400020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邮编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400023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联系人及电话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李君华/18580782777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联系人及电话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冯违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/13330298835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电子信箱</w:t>
            </w:r>
          </w:p>
        </w:tc>
        <w:tc>
          <w:tcPr>
            <w:tcW w:w="31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157618580@qq.com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电子信箱</w:t>
            </w:r>
          </w:p>
        </w:tc>
        <w:tc>
          <w:tcPr>
            <w:tcW w:w="2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15ED"/>
    <w:rsid w:val="28C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customStyle="1" w:styleId="6">
    <w:name w:val="表格文本"/>
    <w:basedOn w:val="7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paragraph" w:customStyle="1" w:styleId="7">
    <w:name w:val="正文文字110"/>
    <w:basedOn w:val="1"/>
    <w:qFormat/>
    <w:uiPriority w:val="0"/>
    <w:pPr>
      <w:spacing w:line="460" w:lineRule="exact"/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2024-01-18T01:22:00Z</dcterms:created>
  <dc:creator>hp</dc:creator>
  <cp:lastModifiedBy>hp</cp:lastModifiedBy>
  <dcterms:modified xsi:type="dcterms:W3CDTF">2024-01-18T01:22:56Z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