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方正黑体_GBK" w:hAnsi="宋体" w:eastAsia="方正黑体_GBK" w:cs="宋体"/>
          <w:bCs/>
          <w:color w:val="auto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exact"/>
        <w:ind w:firstLine="482" w:firstLineChars="200"/>
        <w:jc w:val="center"/>
        <w:textAlignment w:val="auto"/>
        <w:rPr>
          <w:rFonts w:hint="default" w:ascii="Times New Roman" w:hAnsi="Times New Roman" w:eastAsia="仿宋" w:cs="Times New Roman"/>
          <w:color w:val="auto"/>
          <w:szCs w:val="21"/>
        </w:rPr>
      </w:pPr>
      <w:r>
        <w:rPr>
          <w:rFonts w:hint="default" w:ascii="Times New Roman" w:hAnsi="Times New Roman" w:eastAsia="仿宋" w:cs="Times New Roman"/>
          <w:b/>
          <w:color w:val="auto"/>
          <w:sz w:val="24"/>
          <w:lang w:val="en-US" w:eastAsia="zh-CN"/>
        </w:rPr>
        <w:t>华能国际能源先行区西南总部（G06-1/03地块）</w:t>
      </w:r>
      <w:r>
        <w:rPr>
          <w:rFonts w:hint="default" w:ascii="Times New Roman" w:hAnsi="Times New Roman" w:eastAsia="仿宋" w:cs="Times New Roman"/>
          <w:b/>
          <w:color w:val="auto"/>
          <w:sz w:val="24"/>
        </w:rPr>
        <w:t>水土保持方案特性表</w:t>
      </w:r>
    </w:p>
    <w:tbl>
      <w:tblPr>
        <w:tblStyle w:val="5"/>
        <w:tblW w:w="907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672"/>
        <w:gridCol w:w="393"/>
        <w:gridCol w:w="760"/>
        <w:gridCol w:w="817"/>
        <w:gridCol w:w="119"/>
        <w:gridCol w:w="368"/>
        <w:gridCol w:w="789"/>
        <w:gridCol w:w="282"/>
        <w:gridCol w:w="1050"/>
        <w:gridCol w:w="615"/>
        <w:gridCol w:w="195"/>
        <w:gridCol w:w="346"/>
        <w:gridCol w:w="887"/>
        <w:gridCol w:w="135"/>
        <w:gridCol w:w="10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项目名称</w:t>
            </w:r>
          </w:p>
        </w:tc>
        <w:tc>
          <w:tcPr>
            <w:tcW w:w="457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华能国际能源先行区西南总部（G06-1/03地块）</w:t>
            </w:r>
          </w:p>
        </w:tc>
        <w:tc>
          <w:tcPr>
            <w:tcW w:w="20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流域管理机构</w:t>
            </w:r>
          </w:p>
        </w:tc>
        <w:tc>
          <w:tcPr>
            <w:tcW w:w="11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长江水利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涉及省市</w:t>
            </w:r>
          </w:p>
        </w:tc>
        <w:tc>
          <w:tcPr>
            <w:tcW w:w="19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重庆市</w:t>
            </w:r>
          </w:p>
        </w:tc>
        <w:tc>
          <w:tcPr>
            <w:tcW w:w="155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涉及地市或个数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20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涉及县或个数</w:t>
            </w:r>
          </w:p>
        </w:tc>
        <w:tc>
          <w:tcPr>
            <w:tcW w:w="11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江北区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项目规模</w:t>
            </w:r>
          </w:p>
        </w:tc>
        <w:tc>
          <w:tcPr>
            <w:tcW w:w="35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本项目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规划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用地面积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2.47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hm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eastAsia="zh-CN"/>
              </w:rPr>
              <w:t>总建筑面积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/>
              </w:rPr>
              <w:t>71597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eastAsia="zh-CN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vertAlign w:val="superscript"/>
                <w:lang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</w:rPr>
              <w:t>建筑密度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/>
              </w:rPr>
              <w:t>39.71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</w:rPr>
              <w:t>%，容积率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/>
              </w:rPr>
              <w:t>2.0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/>
              </w:rPr>
              <w:t>绿化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</w:rPr>
              <w:t>面积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/>
              </w:rPr>
              <w:t>0.45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/>
              </w:rPr>
              <w:t>h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/>
              </w:rPr>
              <w:t>绿地率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/>
              </w:rPr>
              <w:t>18.25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</w:rPr>
              <w:t>%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/>
              </w:rPr>
              <w:t>共设停车位593辆，全部为室内停车位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总投资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（万元）</w:t>
            </w:r>
          </w:p>
        </w:tc>
        <w:tc>
          <w:tcPr>
            <w:tcW w:w="8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103651</w:t>
            </w:r>
          </w:p>
        </w:tc>
        <w:tc>
          <w:tcPr>
            <w:tcW w:w="12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土建投资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（万元）</w:t>
            </w:r>
          </w:p>
        </w:tc>
        <w:tc>
          <w:tcPr>
            <w:tcW w:w="11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77738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动工时间</w:t>
            </w:r>
          </w:p>
        </w:tc>
        <w:tc>
          <w:tcPr>
            <w:tcW w:w="245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月</w:t>
            </w:r>
          </w:p>
        </w:tc>
        <w:tc>
          <w:tcPr>
            <w:tcW w:w="10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完工时间</w:t>
            </w:r>
          </w:p>
        </w:tc>
        <w:tc>
          <w:tcPr>
            <w:tcW w:w="18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月</w:t>
            </w:r>
          </w:p>
        </w:tc>
        <w:tc>
          <w:tcPr>
            <w:tcW w:w="12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设计水平年</w:t>
            </w:r>
          </w:p>
        </w:tc>
        <w:tc>
          <w:tcPr>
            <w:tcW w:w="11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工程占地（hm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）</w:t>
            </w:r>
          </w:p>
        </w:tc>
        <w:tc>
          <w:tcPr>
            <w:tcW w:w="245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3.01</w:t>
            </w:r>
          </w:p>
        </w:tc>
        <w:tc>
          <w:tcPr>
            <w:tcW w:w="10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永久占地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（hm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）</w:t>
            </w:r>
          </w:p>
        </w:tc>
        <w:tc>
          <w:tcPr>
            <w:tcW w:w="18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2.47</w:t>
            </w:r>
          </w:p>
        </w:tc>
        <w:tc>
          <w:tcPr>
            <w:tcW w:w="12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临时占地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（hm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）</w:t>
            </w:r>
          </w:p>
        </w:tc>
        <w:tc>
          <w:tcPr>
            <w:tcW w:w="11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0.54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3748" w:type="dxa"/>
            <w:gridSpan w:val="7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土石方量（万m³）</w:t>
            </w:r>
          </w:p>
        </w:tc>
        <w:tc>
          <w:tcPr>
            <w:tcW w:w="10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挖方</w:t>
            </w:r>
          </w:p>
        </w:tc>
        <w:tc>
          <w:tcPr>
            <w:tcW w:w="18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填方</w:t>
            </w:r>
          </w:p>
        </w:tc>
        <w:tc>
          <w:tcPr>
            <w:tcW w:w="12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借方</w:t>
            </w:r>
          </w:p>
        </w:tc>
        <w:tc>
          <w:tcPr>
            <w:tcW w:w="11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余（弃）方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3748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10.45</w:t>
            </w:r>
          </w:p>
        </w:tc>
        <w:tc>
          <w:tcPr>
            <w:tcW w:w="18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3.7</w:t>
            </w:r>
          </w:p>
        </w:tc>
        <w:tc>
          <w:tcPr>
            <w:tcW w:w="12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6.75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244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重点防治区名称</w:t>
            </w:r>
          </w:p>
        </w:tc>
        <w:tc>
          <w:tcPr>
            <w:tcW w:w="6627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44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地貌类型</w:t>
            </w:r>
          </w:p>
        </w:tc>
        <w:tc>
          <w:tcPr>
            <w:tcW w:w="209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剥蚀丘陵地貌</w:t>
            </w:r>
          </w:p>
        </w:tc>
        <w:tc>
          <w:tcPr>
            <w:tcW w:w="248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水土保持区划</w:t>
            </w:r>
          </w:p>
        </w:tc>
        <w:tc>
          <w:tcPr>
            <w:tcW w:w="204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西南紫色土区（四川盆地及周围山地丘陵区）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244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土壤侵蚀类型</w:t>
            </w:r>
          </w:p>
        </w:tc>
        <w:tc>
          <w:tcPr>
            <w:tcW w:w="209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水力侵蚀</w:t>
            </w:r>
          </w:p>
        </w:tc>
        <w:tc>
          <w:tcPr>
            <w:tcW w:w="248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土壤侵蚀强度</w:t>
            </w:r>
          </w:p>
        </w:tc>
        <w:tc>
          <w:tcPr>
            <w:tcW w:w="204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轻度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244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防治责任范围面积（hm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）</w:t>
            </w:r>
          </w:p>
        </w:tc>
        <w:tc>
          <w:tcPr>
            <w:tcW w:w="209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3.01</w:t>
            </w:r>
          </w:p>
        </w:tc>
        <w:tc>
          <w:tcPr>
            <w:tcW w:w="248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容许土壤流失量[t/（km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.a）]</w:t>
            </w:r>
          </w:p>
        </w:tc>
        <w:tc>
          <w:tcPr>
            <w:tcW w:w="204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244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土壤流失预测总量（t）</w:t>
            </w:r>
          </w:p>
        </w:tc>
        <w:tc>
          <w:tcPr>
            <w:tcW w:w="209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178</w:t>
            </w:r>
          </w:p>
        </w:tc>
        <w:tc>
          <w:tcPr>
            <w:tcW w:w="248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新增水土流失量(t)</w:t>
            </w:r>
          </w:p>
        </w:tc>
        <w:tc>
          <w:tcPr>
            <w:tcW w:w="204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105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244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水土流失防治标准执行等级</w:t>
            </w:r>
          </w:p>
        </w:tc>
        <w:tc>
          <w:tcPr>
            <w:tcW w:w="6627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西南紫色土区建设类一级标准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6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防治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目标</w:t>
            </w:r>
          </w:p>
        </w:tc>
        <w:tc>
          <w:tcPr>
            <w:tcW w:w="18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水土流失治理度（%）</w:t>
            </w:r>
          </w:p>
        </w:tc>
        <w:tc>
          <w:tcPr>
            <w:tcW w:w="237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97</w:t>
            </w:r>
          </w:p>
        </w:tc>
        <w:tc>
          <w:tcPr>
            <w:tcW w:w="309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土壤流失控制比</w:t>
            </w:r>
          </w:p>
        </w:tc>
        <w:tc>
          <w:tcPr>
            <w:tcW w:w="11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6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8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渣土防护率（%）</w:t>
            </w:r>
          </w:p>
        </w:tc>
        <w:tc>
          <w:tcPr>
            <w:tcW w:w="237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309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表土保护率(%)</w:t>
            </w:r>
          </w:p>
        </w:tc>
        <w:tc>
          <w:tcPr>
            <w:tcW w:w="11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6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8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林草植被恢复率（%）</w:t>
            </w:r>
          </w:p>
        </w:tc>
        <w:tc>
          <w:tcPr>
            <w:tcW w:w="237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97</w:t>
            </w:r>
          </w:p>
        </w:tc>
        <w:tc>
          <w:tcPr>
            <w:tcW w:w="309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林草覆盖率(%)</w:t>
            </w:r>
          </w:p>
        </w:tc>
        <w:tc>
          <w:tcPr>
            <w:tcW w:w="11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18.25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防治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措施及工程量</w:t>
            </w:r>
          </w:p>
        </w:tc>
        <w:tc>
          <w:tcPr>
            <w:tcW w:w="18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防治分区</w:t>
            </w:r>
          </w:p>
        </w:tc>
        <w:tc>
          <w:tcPr>
            <w:tcW w:w="237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工程措施</w:t>
            </w:r>
          </w:p>
        </w:tc>
        <w:tc>
          <w:tcPr>
            <w:tcW w:w="16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植物措施</w:t>
            </w:r>
          </w:p>
        </w:tc>
        <w:tc>
          <w:tcPr>
            <w:tcW w:w="258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临时措施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0" w:hRule="atLeast"/>
          <w:jc w:val="center"/>
        </w:trPr>
        <w:tc>
          <w:tcPr>
            <w:tcW w:w="6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8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主体工程防治区</w:t>
            </w:r>
          </w:p>
        </w:tc>
        <w:tc>
          <w:tcPr>
            <w:tcW w:w="237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主体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设计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DN300雨水管网82m，DN400雨水管网580m，DN500雨水管网184m，DN600雨水管网16m，透水砖铺装1657.68m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。</w:t>
            </w:r>
          </w:p>
        </w:tc>
        <w:tc>
          <w:tcPr>
            <w:tcW w:w="16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主体设计：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景观绿化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0.45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/>
              </w:rPr>
              <w:t>h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18"/>
                <w:szCs w:val="18"/>
                <w:vertAlign w:val="baseline"/>
                <w:lang w:eastAsia="zh-CN"/>
              </w:rPr>
              <w:t>。</w:t>
            </w:r>
          </w:p>
        </w:tc>
        <w:tc>
          <w:tcPr>
            <w:tcW w:w="258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主体设计：车辆冲洗池1座，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临时截水沟174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m，临时沉沙池1座，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密目网遮盖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940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m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方案新增：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防雨布覆盖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1300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8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施工生产生活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防治区</w:t>
            </w:r>
          </w:p>
        </w:tc>
        <w:tc>
          <w:tcPr>
            <w:tcW w:w="237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方案新增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土地整治5400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。</w:t>
            </w:r>
          </w:p>
        </w:tc>
        <w:tc>
          <w:tcPr>
            <w:tcW w:w="16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方案新增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撒播草籽0.21h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。</w:t>
            </w:r>
          </w:p>
        </w:tc>
        <w:tc>
          <w:tcPr>
            <w:tcW w:w="258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vertAlign w:val="superscript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18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投资（万元）</w:t>
            </w:r>
          </w:p>
        </w:tc>
        <w:tc>
          <w:tcPr>
            <w:tcW w:w="237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主体设计：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53.8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方案新增：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2.14</w:t>
            </w:r>
          </w:p>
        </w:tc>
        <w:tc>
          <w:tcPr>
            <w:tcW w:w="16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主体设计：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90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方案新增：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0.13</w:t>
            </w:r>
          </w:p>
        </w:tc>
        <w:tc>
          <w:tcPr>
            <w:tcW w:w="258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>主体设计：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2.17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方案新增：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0.84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44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水土保持总投资（万元）</w:t>
            </w:r>
          </w:p>
        </w:tc>
        <w:tc>
          <w:tcPr>
            <w:tcW w:w="237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173.4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（主体设计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145.97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方案新增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27.43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16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独立费用（万元）</w:t>
            </w:r>
          </w:p>
        </w:tc>
        <w:tc>
          <w:tcPr>
            <w:tcW w:w="258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244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监理费（万元）</w:t>
            </w:r>
          </w:p>
        </w:tc>
        <w:tc>
          <w:tcPr>
            <w:tcW w:w="9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4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监测费（万元）</w:t>
            </w:r>
          </w:p>
        </w:tc>
        <w:tc>
          <w:tcPr>
            <w:tcW w:w="16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9.3</w:t>
            </w:r>
          </w:p>
        </w:tc>
        <w:tc>
          <w:tcPr>
            <w:tcW w:w="15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补偿费（元）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42140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6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方案编制单位</w:t>
            </w:r>
          </w:p>
        </w:tc>
        <w:tc>
          <w:tcPr>
            <w:tcW w:w="313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>重庆腾森生态环境咨询服务有限公司</w:t>
            </w:r>
          </w:p>
        </w:tc>
        <w:tc>
          <w:tcPr>
            <w:tcW w:w="16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建设单位</w:t>
            </w:r>
          </w:p>
        </w:tc>
        <w:tc>
          <w:tcPr>
            <w:tcW w:w="258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重庆新渝江盛置业发展有限公司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  <w:jc w:val="center"/>
        </w:trPr>
        <w:tc>
          <w:tcPr>
            <w:tcW w:w="16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统一社会信用代码</w:t>
            </w:r>
          </w:p>
        </w:tc>
        <w:tc>
          <w:tcPr>
            <w:tcW w:w="313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>91500108MA60KXB07Y</w:t>
            </w:r>
          </w:p>
        </w:tc>
        <w:tc>
          <w:tcPr>
            <w:tcW w:w="16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统一社会信用代码</w:t>
            </w:r>
          </w:p>
        </w:tc>
        <w:tc>
          <w:tcPr>
            <w:tcW w:w="258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91500105MA611HDG4N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16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法定代表人</w:t>
            </w:r>
          </w:p>
        </w:tc>
        <w:tc>
          <w:tcPr>
            <w:tcW w:w="313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唐仲福</w:t>
            </w:r>
          </w:p>
        </w:tc>
        <w:tc>
          <w:tcPr>
            <w:tcW w:w="16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法定代表人</w:t>
            </w:r>
          </w:p>
        </w:tc>
        <w:tc>
          <w:tcPr>
            <w:tcW w:w="258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李苏渝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地址</w:t>
            </w:r>
          </w:p>
        </w:tc>
        <w:tc>
          <w:tcPr>
            <w:tcW w:w="313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重庆市渝北区余松一支路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龙湖紫都星座A1013</w:t>
            </w:r>
          </w:p>
        </w:tc>
        <w:tc>
          <w:tcPr>
            <w:tcW w:w="16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地址</w:t>
            </w:r>
          </w:p>
        </w:tc>
        <w:tc>
          <w:tcPr>
            <w:tcW w:w="258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重庆市江北区创富路3号3幢5层502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16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邮编</w:t>
            </w:r>
          </w:p>
        </w:tc>
        <w:tc>
          <w:tcPr>
            <w:tcW w:w="313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400020</w:t>
            </w:r>
          </w:p>
        </w:tc>
        <w:tc>
          <w:tcPr>
            <w:tcW w:w="16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邮编</w:t>
            </w:r>
          </w:p>
        </w:tc>
        <w:tc>
          <w:tcPr>
            <w:tcW w:w="258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400023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  <w:jc w:val="center"/>
        </w:trPr>
        <w:tc>
          <w:tcPr>
            <w:tcW w:w="16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联系人及电话</w:t>
            </w:r>
          </w:p>
        </w:tc>
        <w:tc>
          <w:tcPr>
            <w:tcW w:w="313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李君华/18580782777</w:t>
            </w:r>
          </w:p>
        </w:tc>
        <w:tc>
          <w:tcPr>
            <w:tcW w:w="16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联系人及电话</w:t>
            </w:r>
          </w:p>
        </w:tc>
        <w:tc>
          <w:tcPr>
            <w:tcW w:w="258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冯违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/13330298835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6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电子信箱</w:t>
            </w:r>
          </w:p>
        </w:tc>
        <w:tc>
          <w:tcPr>
            <w:tcW w:w="313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157618580@qq.com</w:t>
            </w:r>
          </w:p>
        </w:tc>
        <w:tc>
          <w:tcPr>
            <w:tcW w:w="16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电子信箱</w:t>
            </w:r>
          </w:p>
        </w:tc>
        <w:tc>
          <w:tcPr>
            <w:tcW w:w="258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415ED"/>
    <w:rsid w:val="28C4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  <w:rPr>
      <w:rFonts w:eastAsia="宋体"/>
      <w:szCs w:val="24"/>
    </w:rPr>
  </w:style>
  <w:style w:type="paragraph" w:customStyle="1" w:styleId="6">
    <w:name w:val="表格文本"/>
    <w:basedOn w:val="7"/>
    <w:qFormat/>
    <w:uiPriority w:val="0"/>
    <w:pPr>
      <w:spacing w:line="240" w:lineRule="auto"/>
      <w:ind w:firstLine="0" w:firstLineChars="0"/>
      <w:jc w:val="center"/>
    </w:pPr>
    <w:rPr>
      <w:sz w:val="21"/>
      <w:szCs w:val="21"/>
    </w:rPr>
  </w:style>
  <w:style w:type="paragraph" w:customStyle="1" w:styleId="7">
    <w:name w:val="正文文字110"/>
    <w:basedOn w:val="1"/>
    <w:qFormat/>
    <w:uiPriority w:val="0"/>
    <w:pPr>
      <w:spacing w:line="460" w:lineRule="exact"/>
      <w:ind w:firstLine="200" w:firstLineChars="20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2024-01-18T01:22:00Z</dcterms:created>
  <dc:creator>hp</dc:creator>
  <cp:lastModifiedBy>hp</cp:lastModifiedBy>
  <dcterms:modified xsi:type="dcterms:W3CDTF">2024-01-18T01:22:56Z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