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黑体_GBK" w:hAnsi="宋体" w:eastAsia="方正黑体_GBK" w:cs="宋体"/>
          <w:bCs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附件1</w:t>
      </w:r>
    </w:p>
    <w:p>
      <w:pPr>
        <w:autoSpaceDE w:val="0"/>
        <w:autoSpaceDN w:val="0"/>
        <w:snapToGrid w:val="0"/>
        <w:spacing w:line="240" w:lineRule="exact"/>
        <w:ind w:firstLine="482" w:firstLineChars="200"/>
        <w:jc w:val="center"/>
        <w:rPr>
          <w:rFonts w:ascii="Times New Roman" w:hAnsi="Times New Roman" w:eastAsia="仿宋"/>
          <w:b/>
          <w:sz w:val="24"/>
        </w:rPr>
      </w:pPr>
      <w:r>
        <w:rPr>
          <w:rFonts w:ascii="Times New Roman" w:hAnsi="Times New Roman" w:eastAsia="仿宋"/>
          <w:b/>
          <w:bCs/>
          <w:sz w:val="24"/>
        </w:rPr>
        <w:t>唐桂新城金色花苑西侧道路工程</w:t>
      </w:r>
      <w:r>
        <w:rPr>
          <w:rFonts w:ascii="Times New Roman" w:hAnsi="Times New Roman" w:eastAsia="仿宋"/>
          <w:b/>
          <w:sz w:val="24"/>
        </w:rPr>
        <w:t>水土保持方案特性表</w:t>
      </w:r>
    </w:p>
    <w:tbl>
      <w:tblPr>
        <w:tblStyle w:val="5"/>
        <w:tblW w:w="904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436"/>
        <w:gridCol w:w="382"/>
        <w:gridCol w:w="581"/>
        <w:gridCol w:w="819"/>
        <w:gridCol w:w="376"/>
        <w:gridCol w:w="242"/>
        <w:gridCol w:w="944"/>
        <w:gridCol w:w="279"/>
        <w:gridCol w:w="579"/>
        <w:gridCol w:w="139"/>
        <w:gridCol w:w="14"/>
        <w:gridCol w:w="24"/>
        <w:gridCol w:w="47"/>
        <w:gridCol w:w="631"/>
        <w:gridCol w:w="156"/>
        <w:gridCol w:w="16"/>
        <w:gridCol w:w="331"/>
        <w:gridCol w:w="170"/>
        <w:gridCol w:w="485"/>
        <w:gridCol w:w="45"/>
        <w:gridCol w:w="344"/>
        <w:gridCol w:w="22"/>
        <w:gridCol w:w="179"/>
        <w:gridCol w:w="1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工程名称</w:t>
            </w:r>
          </w:p>
        </w:tc>
        <w:tc>
          <w:tcPr>
            <w:tcW w:w="4379" w:type="dxa"/>
            <w:gridSpan w:val="11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唐桂新城金色花苑西侧道路工程</w:t>
            </w:r>
          </w:p>
        </w:tc>
        <w:tc>
          <w:tcPr>
            <w:tcW w:w="1351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流域管理机构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长江水利委员会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涉及省（市、区）</w:t>
            </w:r>
          </w:p>
        </w:tc>
        <w:tc>
          <w:tcPr>
            <w:tcW w:w="819" w:type="dxa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重庆市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涉及地市个数</w:t>
            </w:r>
          </w:p>
        </w:tc>
        <w:tc>
          <w:tcPr>
            <w:tcW w:w="579" w:type="dxa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  <w:tc>
          <w:tcPr>
            <w:tcW w:w="1528" w:type="dxa"/>
            <w:gridSpan w:val="9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涉及县或个数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gridSpan w:val="3"/>
            <w:vMerge w:val="restart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工程规模</w:t>
            </w:r>
          </w:p>
        </w:tc>
        <w:tc>
          <w:tcPr>
            <w:tcW w:w="3973" w:type="dxa"/>
            <w:gridSpan w:val="9"/>
            <w:vMerge w:val="restart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道路全长801.703m，为城市次干路，双向四车道，标准路幅宽26m，设计车速40km/h。包括土石方工程、道路工程、排水工程、综合管网工程、照明工程、交通工程等。</w:t>
            </w:r>
          </w:p>
        </w:tc>
        <w:tc>
          <w:tcPr>
            <w:tcW w:w="2249" w:type="dxa"/>
            <w:gridSpan w:val="10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总投资（万元）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7994.33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gridSpan w:val="3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9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10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土建投资（万元）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2810.67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动工时间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2024年5月</w:t>
            </w:r>
          </w:p>
        </w:tc>
        <w:tc>
          <w:tcPr>
            <w:tcW w:w="2197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完工时间</w:t>
            </w:r>
          </w:p>
        </w:tc>
        <w:tc>
          <w:tcPr>
            <w:tcW w:w="1205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2024年10月</w:t>
            </w:r>
          </w:p>
        </w:tc>
        <w:tc>
          <w:tcPr>
            <w:tcW w:w="1245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设计水平年</w:t>
            </w:r>
          </w:p>
        </w:tc>
        <w:tc>
          <w:tcPr>
            <w:tcW w:w="1203" w:type="dxa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2024年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工程占地(hm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)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4.28</w:t>
            </w:r>
          </w:p>
        </w:tc>
        <w:tc>
          <w:tcPr>
            <w:tcW w:w="2197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永久占地(hm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)</w:t>
            </w:r>
          </w:p>
        </w:tc>
        <w:tc>
          <w:tcPr>
            <w:tcW w:w="874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2.23</w:t>
            </w:r>
          </w:p>
        </w:tc>
        <w:tc>
          <w:tcPr>
            <w:tcW w:w="1576" w:type="dxa"/>
            <w:gridSpan w:val="7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临时占地(hm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)</w:t>
            </w:r>
          </w:p>
        </w:tc>
        <w:tc>
          <w:tcPr>
            <w:tcW w:w="1203" w:type="dxa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4" w:type="dxa"/>
            <w:gridSpan w:val="6"/>
            <w:vMerge w:val="restart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土石方量（万m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）</w:t>
            </w:r>
          </w:p>
        </w:tc>
        <w:tc>
          <w:tcPr>
            <w:tcW w:w="2197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挖方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填方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借方</w:t>
            </w:r>
          </w:p>
        </w:tc>
        <w:tc>
          <w:tcPr>
            <w:tcW w:w="1793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余（弃）方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4" w:type="dxa"/>
            <w:gridSpan w:val="6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12.54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4.39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  <w:tc>
          <w:tcPr>
            <w:tcW w:w="1793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8.15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4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重点防治区名称</w:t>
            </w:r>
          </w:p>
        </w:tc>
        <w:tc>
          <w:tcPr>
            <w:tcW w:w="5850" w:type="dxa"/>
            <w:gridSpan w:val="19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重庆市水土流失重点预防区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地貌类型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剥蚀浅丘地貌</w:t>
            </w:r>
          </w:p>
        </w:tc>
        <w:tc>
          <w:tcPr>
            <w:tcW w:w="2916" w:type="dxa"/>
            <w:gridSpan w:val="1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水土保持区划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西南紫色土区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土壤侵蚀类型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水力侵蚀</w:t>
            </w:r>
          </w:p>
        </w:tc>
        <w:tc>
          <w:tcPr>
            <w:tcW w:w="2916" w:type="dxa"/>
            <w:gridSpan w:val="1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土壤侵蚀强度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轻度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防治责任范围面积（hm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）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4.28</w:t>
            </w:r>
          </w:p>
        </w:tc>
        <w:tc>
          <w:tcPr>
            <w:tcW w:w="2916" w:type="dxa"/>
            <w:gridSpan w:val="1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容许土壤流失量〔t/（km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·a）〕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水土流失预测总量（t）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</w:t>
            </w:r>
          </w:p>
        </w:tc>
        <w:tc>
          <w:tcPr>
            <w:tcW w:w="2916" w:type="dxa"/>
            <w:gridSpan w:val="1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新增水土流失量（t）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0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水土流失防治标准执行等级</w:t>
            </w:r>
          </w:p>
        </w:tc>
        <w:tc>
          <w:tcPr>
            <w:tcW w:w="4664" w:type="dxa"/>
            <w:gridSpan w:val="17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西南紫色土区建设类一级防治标准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防治目标</w:t>
            </w:r>
          </w:p>
        </w:tc>
        <w:tc>
          <w:tcPr>
            <w:tcW w:w="405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水土流失治理度（%）</w:t>
            </w:r>
          </w:p>
        </w:tc>
        <w:tc>
          <w:tcPr>
            <w:tcW w:w="803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97</w:t>
            </w:r>
          </w:p>
        </w:tc>
        <w:tc>
          <w:tcPr>
            <w:tcW w:w="2178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土壤流失控制比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05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渣土防护率率（%）</w:t>
            </w:r>
          </w:p>
        </w:tc>
        <w:tc>
          <w:tcPr>
            <w:tcW w:w="803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94</w:t>
            </w:r>
          </w:p>
        </w:tc>
        <w:tc>
          <w:tcPr>
            <w:tcW w:w="2178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表土保护率（%）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05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林草植被恢复率（%）</w:t>
            </w:r>
          </w:p>
        </w:tc>
        <w:tc>
          <w:tcPr>
            <w:tcW w:w="803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97</w:t>
            </w:r>
          </w:p>
        </w:tc>
        <w:tc>
          <w:tcPr>
            <w:tcW w:w="2178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林草覆盖率（%）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防治措施及工程量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分区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工程措施</w:t>
            </w:r>
          </w:p>
        </w:tc>
        <w:tc>
          <w:tcPr>
            <w:tcW w:w="2107" w:type="dxa"/>
            <w:gridSpan w:val="10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植物措施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临时措施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路基工程防治区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主体：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雨水管网1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732m，人行道透水砖816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截排水沟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84m，马道排水沟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15m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新增：表土剥离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0.39万m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，表土回填0.39万m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  <w:tc>
          <w:tcPr>
            <w:tcW w:w="2107" w:type="dxa"/>
            <w:gridSpan w:val="10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主体：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景观绿化0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.30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hm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，行道树1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53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株，挂网植草防护0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.40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hm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，场坪绿化防护0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.07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hm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，蜂巢格室防护0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.67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hm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主体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：车辆清洗站一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座；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新增：临时排水沟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08m，临时沉砂池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座，彩条布覆盖4000m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，编制土袋拦挡6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24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m。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表土堆放区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  <w:tc>
          <w:tcPr>
            <w:tcW w:w="2107" w:type="dxa"/>
            <w:gridSpan w:val="10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新增：撒播草籽0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.14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hm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新增：临时排水沟8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5m，临时沉砂池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座，编织土袋拦挡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67m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，彩条布覆盖1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400m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施工生产生活防治区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  <w:tc>
          <w:tcPr>
            <w:tcW w:w="2107" w:type="dxa"/>
            <w:gridSpan w:val="10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新增：撒播草籽0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.05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hm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新增：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临时排水沟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4m，临时沉砂池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临时保通道路防治区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  <w:tc>
          <w:tcPr>
            <w:tcW w:w="2107" w:type="dxa"/>
            <w:gridSpan w:val="10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新增：彩条布覆盖5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00m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投资（万元）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主体：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17.08</w:t>
            </w:r>
          </w:p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新增：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13.6</w:t>
            </w:r>
          </w:p>
        </w:tc>
        <w:tc>
          <w:tcPr>
            <w:tcW w:w="2107" w:type="dxa"/>
            <w:gridSpan w:val="10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主体：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43.38</w:t>
            </w:r>
          </w:p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新增：0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.16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主体：0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.8</w:t>
            </w:r>
          </w:p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新增：31.77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水土保持总投资（万元）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41.66</w:t>
            </w:r>
          </w:p>
        </w:tc>
        <w:tc>
          <w:tcPr>
            <w:tcW w:w="2386" w:type="dxa"/>
            <w:gridSpan w:val="11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独立费用（万元）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18.92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基本预备费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（万元）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4.21</w:t>
            </w:r>
          </w:p>
        </w:tc>
        <w:tc>
          <w:tcPr>
            <w:tcW w:w="194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监测费（万元）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5.75</w:t>
            </w:r>
          </w:p>
        </w:tc>
        <w:tc>
          <w:tcPr>
            <w:tcW w:w="1413" w:type="dxa"/>
            <w:gridSpan w:val="7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补偿费（万元）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5.992万元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方案编制单位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重庆隆湖工程设计咨询有限公司</w:t>
            </w:r>
          </w:p>
        </w:tc>
        <w:tc>
          <w:tcPr>
            <w:tcW w:w="186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建设单位</w:t>
            </w:r>
          </w:p>
        </w:tc>
        <w:tc>
          <w:tcPr>
            <w:tcW w:w="2795" w:type="dxa"/>
            <w:gridSpan w:val="9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重庆江北新城发展建设有限公司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企业信用代码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91500112305000327G</w:t>
            </w:r>
          </w:p>
        </w:tc>
        <w:tc>
          <w:tcPr>
            <w:tcW w:w="186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企业信用代码</w:t>
            </w:r>
          </w:p>
        </w:tc>
        <w:tc>
          <w:tcPr>
            <w:tcW w:w="2795" w:type="dxa"/>
            <w:gridSpan w:val="9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91500105MA5YUKHP8D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法定代表人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代数</w:t>
            </w:r>
          </w:p>
        </w:tc>
        <w:tc>
          <w:tcPr>
            <w:tcW w:w="186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法定代表人</w:t>
            </w:r>
          </w:p>
        </w:tc>
        <w:tc>
          <w:tcPr>
            <w:tcW w:w="2795" w:type="dxa"/>
            <w:gridSpan w:val="9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曾国涛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地址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重庆市渝北区新南路203号</w:t>
            </w:r>
          </w:p>
        </w:tc>
        <w:tc>
          <w:tcPr>
            <w:tcW w:w="186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地址</w:t>
            </w:r>
          </w:p>
        </w:tc>
        <w:tc>
          <w:tcPr>
            <w:tcW w:w="2795" w:type="dxa"/>
            <w:gridSpan w:val="9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重庆市江北区海尔路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952号水语华庭二期11号楼第三层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邮政编码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401120</w:t>
            </w:r>
          </w:p>
        </w:tc>
        <w:tc>
          <w:tcPr>
            <w:tcW w:w="186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邮政编码</w:t>
            </w:r>
          </w:p>
        </w:tc>
        <w:tc>
          <w:tcPr>
            <w:tcW w:w="2795" w:type="dxa"/>
            <w:gridSpan w:val="9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联系人及电话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李思谨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/17762857691</w:t>
            </w:r>
          </w:p>
        </w:tc>
        <w:tc>
          <w:tcPr>
            <w:tcW w:w="186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联系人及电话</w:t>
            </w:r>
          </w:p>
        </w:tc>
        <w:tc>
          <w:tcPr>
            <w:tcW w:w="2795" w:type="dxa"/>
            <w:gridSpan w:val="9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陈磊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/13220339070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传真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  <w:tc>
          <w:tcPr>
            <w:tcW w:w="186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传真</w:t>
            </w:r>
          </w:p>
        </w:tc>
        <w:tc>
          <w:tcPr>
            <w:tcW w:w="2795" w:type="dxa"/>
            <w:gridSpan w:val="9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9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电子信箱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707403231@qq.com</w:t>
            </w:r>
          </w:p>
        </w:tc>
        <w:tc>
          <w:tcPr>
            <w:tcW w:w="1869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电子信箱</w:t>
            </w:r>
          </w:p>
        </w:tc>
        <w:tc>
          <w:tcPr>
            <w:tcW w:w="2795" w:type="dxa"/>
            <w:gridSpan w:val="9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</w:tr>
    </w:tbl>
    <w:p>
      <w:pPr>
        <w:pStyle w:val="2"/>
        <w:ind w:firstLine="210"/>
      </w:pPr>
    </w:p>
    <w:p>
      <w:pPr>
        <w:pStyle w:val="2"/>
        <w:ind w:firstLine="210"/>
        <w:rPr>
          <w:rFonts w:hint="eastAsia"/>
        </w:rPr>
      </w:pPr>
    </w:p>
    <w:p>
      <w:pPr>
        <w:spacing w:line="596" w:lineRule="exact"/>
        <w:ind w:right="-465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931FE"/>
    <w:rsid w:val="1F3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  <w:rPr>
      <w:rFonts w:eastAsia="宋体"/>
      <w:szCs w:val="24"/>
    </w:rPr>
  </w:style>
  <w:style w:type="paragraph" w:customStyle="1" w:styleId="6">
    <w:name w:val="表格文本"/>
    <w:basedOn w:val="7"/>
    <w:qFormat/>
    <w:uiPriority w:val="0"/>
    <w:pPr>
      <w:spacing w:line="240" w:lineRule="auto"/>
      <w:ind w:firstLine="0" w:firstLineChars="0"/>
      <w:jc w:val="center"/>
    </w:pPr>
    <w:rPr>
      <w:sz w:val="21"/>
      <w:szCs w:val="21"/>
    </w:rPr>
  </w:style>
  <w:style w:type="paragraph" w:customStyle="1" w:styleId="7">
    <w:name w:val="正文文字110"/>
    <w:basedOn w:val="1"/>
    <w:qFormat/>
    <w:uiPriority w:val="0"/>
    <w:pPr>
      <w:spacing w:line="460" w:lineRule="exact"/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2024-02-02T07:09:00Z</dcterms:created>
  <dc:creator>hp</dc:creator>
  <cp:lastModifiedBy>hp</cp:lastModifiedBy>
  <dcterms:modified xsi:type="dcterms:W3CDTF">2024-02-02T07:11:00Z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