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>附件1</w:t>
      </w:r>
    </w:p>
    <w:p>
      <w:pPr>
        <w:autoSpaceDE w:val="0"/>
        <w:autoSpaceDN w:val="0"/>
        <w:snapToGrid w:val="0"/>
        <w:spacing w:line="240" w:lineRule="exact"/>
        <w:ind w:firstLine="482" w:firstLineChars="200"/>
        <w:jc w:val="center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b/>
          <w:sz w:val="24"/>
        </w:rPr>
        <w:t>鹞子丘片区路网工程二期水土保持方案特性表</w:t>
      </w:r>
    </w:p>
    <w:tbl>
      <w:tblPr>
        <w:tblStyle w:val="5"/>
        <w:tblW w:w="9257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435"/>
        <w:gridCol w:w="132"/>
        <w:gridCol w:w="567"/>
        <w:gridCol w:w="13"/>
        <w:gridCol w:w="695"/>
        <w:gridCol w:w="245"/>
        <w:gridCol w:w="606"/>
        <w:gridCol w:w="152"/>
        <w:gridCol w:w="982"/>
        <w:gridCol w:w="142"/>
        <w:gridCol w:w="108"/>
        <w:gridCol w:w="33"/>
        <w:gridCol w:w="294"/>
        <w:gridCol w:w="425"/>
        <w:gridCol w:w="233"/>
        <w:gridCol w:w="324"/>
        <w:gridCol w:w="49"/>
        <w:gridCol w:w="103"/>
        <w:gridCol w:w="132"/>
        <w:gridCol w:w="37"/>
        <w:gridCol w:w="259"/>
        <w:gridCol w:w="139"/>
        <w:gridCol w:w="273"/>
        <w:gridCol w:w="338"/>
        <w:gridCol w:w="188"/>
        <w:gridCol w:w="41"/>
        <w:gridCol w:w="127"/>
        <w:gridCol w:w="540"/>
        <w:gridCol w:w="251"/>
        <w:gridCol w:w="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78" w:type="dxa"/>
            <w:gridSpan w:val="3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项目名称</w:t>
            </w:r>
          </w:p>
        </w:tc>
        <w:tc>
          <w:tcPr>
            <w:tcW w:w="5103" w:type="dxa"/>
            <w:gridSpan w:val="1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鹞子丘片区路网工程二期</w:t>
            </w:r>
          </w:p>
        </w:tc>
        <w:tc>
          <w:tcPr>
            <w:tcW w:w="1402" w:type="dxa"/>
            <w:gridSpan w:val="8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流域管理机构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长江水利委员会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4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涉及省（市、区）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重庆市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涉及地市个数</w:t>
            </w:r>
          </w:p>
        </w:tc>
        <w:tc>
          <w:tcPr>
            <w:tcW w:w="1031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—</w:t>
            </w:r>
          </w:p>
        </w:tc>
        <w:tc>
          <w:tcPr>
            <w:tcW w:w="1637" w:type="dxa"/>
            <w:gridSpan w:val="10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涉及县或个数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江北区/1个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项目规模</w:t>
            </w:r>
          </w:p>
        </w:tc>
        <w:tc>
          <w:tcPr>
            <w:tcW w:w="5103" w:type="dxa"/>
            <w:gridSpan w:val="17"/>
            <w:vMerge w:val="restart"/>
            <w:vAlign w:val="center"/>
          </w:tcPr>
          <w:p>
            <w:pPr>
              <w:pStyle w:val="6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sz w:val="18"/>
                <w:szCs w:val="18"/>
              </w:rPr>
              <w:t>道路全长1.165km，其中次干路全长0.822km，支路全长0.343km，包含土石方工程、架空结构工程、道路工程、排水工程、绿化工程等。</w:t>
            </w:r>
          </w:p>
        </w:tc>
        <w:tc>
          <w:tcPr>
            <w:tcW w:w="2074" w:type="dxa"/>
            <w:gridSpan w:val="10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总投资（万元）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48883.51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17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10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土建投资（万元）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26873.5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58" w:type="dxa"/>
            <w:gridSpan w:val="5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动工时间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2024年02月</w:t>
            </w:r>
          </w:p>
        </w:tc>
        <w:tc>
          <w:tcPr>
            <w:tcW w:w="1711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完工时间</w:t>
            </w:r>
          </w:p>
        </w:tc>
        <w:tc>
          <w:tcPr>
            <w:tcW w:w="2312" w:type="dxa"/>
            <w:gridSpan w:val="11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2025年12月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设计水平年</w:t>
            </w:r>
          </w:p>
        </w:tc>
        <w:tc>
          <w:tcPr>
            <w:tcW w:w="983" w:type="dxa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2026年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58" w:type="dxa"/>
            <w:gridSpan w:val="5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工程占地(hm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4.66</w:t>
            </w:r>
          </w:p>
        </w:tc>
        <w:tc>
          <w:tcPr>
            <w:tcW w:w="1711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永久占地(hm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gridSpan w:val="8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2.55</w:t>
            </w:r>
          </w:p>
        </w:tc>
        <w:tc>
          <w:tcPr>
            <w:tcW w:w="1897" w:type="dxa"/>
            <w:gridSpan w:val="8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临时占地(hm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)</w:t>
            </w:r>
          </w:p>
        </w:tc>
        <w:tc>
          <w:tcPr>
            <w:tcW w:w="983" w:type="dxa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104" w:type="dxa"/>
            <w:gridSpan w:val="8"/>
            <w:vMerge w:val="restart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土石方量（万m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）</w:t>
            </w:r>
          </w:p>
        </w:tc>
        <w:tc>
          <w:tcPr>
            <w:tcW w:w="1711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挖方</w:t>
            </w:r>
          </w:p>
        </w:tc>
        <w:tc>
          <w:tcPr>
            <w:tcW w:w="1303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填方</w:t>
            </w:r>
          </w:p>
        </w:tc>
        <w:tc>
          <w:tcPr>
            <w:tcW w:w="1238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借方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弃方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104" w:type="dxa"/>
            <w:gridSpan w:val="8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33.82</w:t>
            </w:r>
          </w:p>
        </w:tc>
        <w:tc>
          <w:tcPr>
            <w:tcW w:w="1303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5.97</w:t>
            </w:r>
          </w:p>
        </w:tc>
        <w:tc>
          <w:tcPr>
            <w:tcW w:w="1238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/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27.85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104" w:type="dxa"/>
            <w:gridSpan w:val="8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重点防治区名称</w:t>
            </w:r>
          </w:p>
        </w:tc>
        <w:tc>
          <w:tcPr>
            <w:tcW w:w="6153" w:type="dxa"/>
            <w:gridSpan w:val="23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重庆市水土流失重点预防区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253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地貌类型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浅丘剥蚀地貌</w:t>
            </w:r>
          </w:p>
        </w:tc>
        <w:tc>
          <w:tcPr>
            <w:tcW w:w="3077" w:type="dxa"/>
            <w:gridSpan w:val="1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水土保持区划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西南紫色土区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253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土壤侵蚀类型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水力侵蚀</w:t>
            </w:r>
          </w:p>
        </w:tc>
        <w:tc>
          <w:tcPr>
            <w:tcW w:w="3077" w:type="dxa"/>
            <w:gridSpan w:val="1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土壤侵蚀强度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轻度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253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防治责任范围面积（hm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4.66</w:t>
            </w:r>
          </w:p>
        </w:tc>
        <w:tc>
          <w:tcPr>
            <w:tcW w:w="3077" w:type="dxa"/>
            <w:gridSpan w:val="1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容许土壤流失量[t/（km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·a）]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253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水土流失预测总量（t）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502</w:t>
            </w:r>
          </w:p>
        </w:tc>
        <w:tc>
          <w:tcPr>
            <w:tcW w:w="3077" w:type="dxa"/>
            <w:gridSpan w:val="1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新增水土流失量（t）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238" w:type="dxa"/>
            <w:gridSpan w:val="10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水土流失防治标准执行等级</w:t>
            </w:r>
          </w:p>
        </w:tc>
        <w:tc>
          <w:tcPr>
            <w:tcW w:w="5019" w:type="dxa"/>
            <w:gridSpan w:val="21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西南紫色土区建设类一级防治标准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防治目标</w:t>
            </w:r>
          </w:p>
        </w:tc>
        <w:tc>
          <w:tcPr>
            <w:tcW w:w="3392" w:type="dxa"/>
            <w:gridSpan w:val="8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水土流失治理度（%）</w:t>
            </w:r>
          </w:p>
        </w:tc>
        <w:tc>
          <w:tcPr>
            <w:tcW w:w="1235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97</w:t>
            </w:r>
          </w:p>
        </w:tc>
        <w:tc>
          <w:tcPr>
            <w:tcW w:w="2550" w:type="dxa"/>
            <w:gridSpan w:val="13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土壤流失控制比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8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渣土防护率率（%）</w:t>
            </w:r>
          </w:p>
        </w:tc>
        <w:tc>
          <w:tcPr>
            <w:tcW w:w="1235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94</w:t>
            </w:r>
          </w:p>
        </w:tc>
        <w:tc>
          <w:tcPr>
            <w:tcW w:w="2550" w:type="dxa"/>
            <w:gridSpan w:val="13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表土保护率（%）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8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林草植被恢复率（%）</w:t>
            </w:r>
          </w:p>
        </w:tc>
        <w:tc>
          <w:tcPr>
            <w:tcW w:w="1235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97</w:t>
            </w:r>
          </w:p>
        </w:tc>
        <w:tc>
          <w:tcPr>
            <w:tcW w:w="2550" w:type="dxa"/>
            <w:gridSpan w:val="13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林草覆盖率（%）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防治措施及工程量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分区</w:t>
            </w:r>
          </w:p>
        </w:tc>
        <w:tc>
          <w:tcPr>
            <w:tcW w:w="2976" w:type="dxa"/>
            <w:gridSpan w:val="9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工程措施</w:t>
            </w:r>
          </w:p>
        </w:tc>
        <w:tc>
          <w:tcPr>
            <w:tcW w:w="2268" w:type="dxa"/>
            <w:gridSpan w:val="11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植物措施</w:t>
            </w:r>
          </w:p>
        </w:tc>
        <w:tc>
          <w:tcPr>
            <w:tcW w:w="2468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临时措施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exac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8"/>
              <w:spacing w:line="240" w:lineRule="auto"/>
              <w:rPr>
                <w:rFonts w:asci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color w:val="auto"/>
                <w:sz w:val="18"/>
                <w:szCs w:val="18"/>
              </w:rPr>
              <w:t>项目建设防治区</w:t>
            </w:r>
          </w:p>
        </w:tc>
        <w:tc>
          <w:tcPr>
            <w:tcW w:w="2976" w:type="dxa"/>
            <w:gridSpan w:val="9"/>
            <w:vAlign w:val="center"/>
          </w:tcPr>
          <w:p>
            <w:pPr>
              <w:pStyle w:val="8"/>
              <w:spacing w:line="240" w:lineRule="auto"/>
              <w:jc w:val="left"/>
              <w:rPr>
                <w:rFonts w:asci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color w:val="auto"/>
                <w:sz w:val="18"/>
                <w:szCs w:val="18"/>
              </w:rPr>
              <w:t>主设：雨水管网长度1725m，双箅雨水口83座，截水沟774m，马道排水沟123m，沉沙井6口，人行道透水铺装8097m</w:t>
            </w:r>
            <w:r>
              <w:rPr>
                <w:rFonts w:ascii="Times New Roman" w:eastAsia="方正仿宋_GBK" w:cs="Times New Roman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gridSpan w:val="11"/>
            <w:vAlign w:val="center"/>
          </w:tcPr>
          <w:p>
            <w:pPr>
              <w:pStyle w:val="8"/>
              <w:spacing w:line="240" w:lineRule="auto"/>
              <w:jc w:val="left"/>
              <w:rPr>
                <w:rFonts w:asci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color w:val="auto"/>
                <w:sz w:val="18"/>
                <w:szCs w:val="18"/>
              </w:rPr>
              <w:t>主设：行道树140株，TBS生态护坡505m</w:t>
            </w:r>
            <w:r>
              <w:rPr>
                <w:rFonts w:ascii="Times New Roman" w:eastAsia="方正仿宋_GBK" w:cs="Times New Roman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方正仿宋_GBK" w:cs="Times New Roman"/>
                <w:color w:val="auto"/>
                <w:sz w:val="18"/>
                <w:szCs w:val="18"/>
              </w:rPr>
              <w:t>，三维网植草护坡582m</w:t>
            </w:r>
            <w:r>
              <w:rPr>
                <w:rFonts w:ascii="Times New Roman" w:eastAsia="方正仿宋_GBK" w:cs="Times New Roman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68" w:type="dxa"/>
            <w:gridSpan w:val="7"/>
            <w:vAlign w:val="center"/>
          </w:tcPr>
          <w:p>
            <w:pPr>
              <w:pStyle w:val="8"/>
              <w:spacing w:line="240" w:lineRule="auto"/>
              <w:jc w:val="left"/>
              <w:rPr>
                <w:rFonts w:asci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color w:val="auto"/>
                <w:sz w:val="18"/>
                <w:szCs w:val="18"/>
              </w:rPr>
              <w:t>主设：临时雨水管439m，临时双箅雨水口5座；</w:t>
            </w:r>
          </w:p>
          <w:p>
            <w:pPr>
              <w:pStyle w:val="8"/>
              <w:spacing w:line="240" w:lineRule="auto"/>
              <w:jc w:val="left"/>
              <w:rPr>
                <w:rFonts w:asci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color w:val="auto"/>
                <w:sz w:val="18"/>
                <w:szCs w:val="18"/>
              </w:rPr>
              <w:t>新增：彩条布覆盖3000m</w:t>
            </w:r>
            <w:r>
              <w:rPr>
                <w:rFonts w:ascii="Times New Roman" w:eastAsia="方正仿宋_GBK" w:cs="Times New Roman"/>
                <w:color w:val="auto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8"/>
              <w:spacing w:line="240" w:lineRule="auto"/>
              <w:rPr>
                <w:rFonts w:asci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color w:val="auto"/>
                <w:sz w:val="18"/>
                <w:szCs w:val="18"/>
              </w:rPr>
              <w:t>投资</w:t>
            </w:r>
          </w:p>
          <w:p>
            <w:pPr>
              <w:pStyle w:val="8"/>
              <w:spacing w:line="240" w:lineRule="auto"/>
              <w:rPr>
                <w:rFonts w:asci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color w:val="auto"/>
                <w:sz w:val="18"/>
                <w:szCs w:val="18"/>
              </w:rPr>
              <w:t>（万元）</w:t>
            </w:r>
          </w:p>
        </w:tc>
        <w:tc>
          <w:tcPr>
            <w:tcW w:w="2976" w:type="dxa"/>
            <w:gridSpan w:val="9"/>
            <w:vAlign w:val="center"/>
          </w:tcPr>
          <w:p>
            <w:pPr>
              <w:pStyle w:val="8"/>
              <w:spacing w:line="240" w:lineRule="auto"/>
              <w:rPr>
                <w:rFonts w:asci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color w:val="auto"/>
                <w:sz w:val="18"/>
                <w:szCs w:val="18"/>
              </w:rPr>
              <w:t>332.33（主体332.33）</w:t>
            </w:r>
          </w:p>
        </w:tc>
        <w:tc>
          <w:tcPr>
            <w:tcW w:w="2268" w:type="dxa"/>
            <w:gridSpan w:val="11"/>
            <w:vAlign w:val="center"/>
          </w:tcPr>
          <w:p>
            <w:pPr>
              <w:pStyle w:val="8"/>
              <w:spacing w:line="240" w:lineRule="auto"/>
              <w:rPr>
                <w:rFonts w:asci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color w:val="auto"/>
                <w:sz w:val="18"/>
                <w:szCs w:val="18"/>
              </w:rPr>
              <w:t>69.39（主体69.39）</w:t>
            </w:r>
          </w:p>
        </w:tc>
        <w:tc>
          <w:tcPr>
            <w:tcW w:w="2468" w:type="dxa"/>
            <w:gridSpan w:val="7"/>
            <w:vAlign w:val="center"/>
          </w:tcPr>
          <w:p>
            <w:pPr>
              <w:pStyle w:val="8"/>
              <w:spacing w:line="240" w:lineRule="auto"/>
              <w:rPr>
                <w:rFonts w:asci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color w:val="auto"/>
                <w:sz w:val="18"/>
                <w:szCs w:val="18"/>
              </w:rPr>
              <w:t>302.99（主体301.46，新增1.53）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2498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水土保持总投资（万元）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741.22（主体703.18，新增38.04）</w:t>
            </w:r>
          </w:p>
        </w:tc>
        <w:tc>
          <w:tcPr>
            <w:tcW w:w="2301" w:type="dxa"/>
            <w:gridSpan w:val="12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独立费用（万元）</w:t>
            </w:r>
          </w:p>
        </w:tc>
        <w:tc>
          <w:tcPr>
            <w:tcW w:w="2468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17.54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98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监理费（万元）</w:t>
            </w:r>
          </w:p>
        </w:tc>
        <w:tc>
          <w:tcPr>
            <w:tcW w:w="758" w:type="dxa"/>
            <w:gridSpan w:val="2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1.00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监测费（万元）</w:t>
            </w:r>
          </w:p>
        </w:tc>
        <w:tc>
          <w:tcPr>
            <w:tcW w:w="1276" w:type="dxa"/>
            <w:gridSpan w:val="8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10.67</w:t>
            </w:r>
          </w:p>
        </w:tc>
        <w:tc>
          <w:tcPr>
            <w:tcW w:w="1758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补偿费（万元）</w:t>
            </w:r>
          </w:p>
        </w:tc>
        <w:tc>
          <w:tcPr>
            <w:tcW w:w="983" w:type="dxa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6.52344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4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方案编制单位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四川恒得复生态科技有限公司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建设单位</w:t>
            </w:r>
          </w:p>
        </w:tc>
        <w:tc>
          <w:tcPr>
            <w:tcW w:w="3460" w:type="dxa"/>
            <w:gridSpan w:val="1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重庆市江北区观音桥商圈管理办公室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4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法定代表人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代兴禄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法定代表人</w:t>
            </w:r>
          </w:p>
        </w:tc>
        <w:tc>
          <w:tcPr>
            <w:tcW w:w="3460" w:type="dxa"/>
            <w:gridSpan w:val="1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李秋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地址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成都市武侯区武晋路1488号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地址</w:t>
            </w:r>
          </w:p>
        </w:tc>
        <w:tc>
          <w:tcPr>
            <w:tcW w:w="3460" w:type="dxa"/>
            <w:gridSpan w:val="1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重庆市江北区建新西路2号北城艺术大厦10楼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4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邮政编码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610041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邮政编码</w:t>
            </w:r>
          </w:p>
        </w:tc>
        <w:tc>
          <w:tcPr>
            <w:tcW w:w="3460" w:type="dxa"/>
            <w:gridSpan w:val="14"/>
            <w:vAlign w:val="top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400000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4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联系人及电话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**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/184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****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9163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联系人及电话</w:t>
            </w:r>
          </w:p>
        </w:tc>
        <w:tc>
          <w:tcPr>
            <w:tcW w:w="3460" w:type="dxa"/>
            <w:gridSpan w:val="1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周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*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/152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****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1543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4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传真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传真</w:t>
            </w:r>
          </w:p>
        </w:tc>
        <w:tc>
          <w:tcPr>
            <w:tcW w:w="3460" w:type="dxa"/>
            <w:gridSpan w:val="1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023-67968709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4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电子信箱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3065273713@qq.com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电子信箱</w:t>
            </w:r>
          </w:p>
        </w:tc>
        <w:tc>
          <w:tcPr>
            <w:tcW w:w="3460" w:type="dxa"/>
            <w:gridSpan w:val="1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45" w:type="dxa"/>
            <w:gridSpan w:val="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社会信用代码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91510107MA65WL0G52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社会信用代码</w:t>
            </w:r>
          </w:p>
        </w:tc>
        <w:tc>
          <w:tcPr>
            <w:tcW w:w="3460" w:type="dxa"/>
            <w:gridSpan w:val="14"/>
            <w:vAlign w:val="center"/>
          </w:tcPr>
          <w:p>
            <w:pPr>
              <w:pStyle w:val="6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115001057688652122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80A07"/>
    <w:rsid w:val="4AD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eastAsia="宋体"/>
      <w:szCs w:val="24"/>
    </w:rPr>
  </w:style>
  <w:style w:type="paragraph" w:customStyle="1" w:styleId="6">
    <w:name w:val="表格文本"/>
    <w:basedOn w:val="7"/>
    <w:qFormat/>
    <w:uiPriority w:val="0"/>
    <w:pPr>
      <w:spacing w:line="240" w:lineRule="auto"/>
      <w:ind w:firstLine="0" w:firstLineChars="0"/>
      <w:jc w:val="center"/>
    </w:pPr>
    <w:rPr>
      <w:sz w:val="21"/>
      <w:szCs w:val="21"/>
    </w:rPr>
  </w:style>
  <w:style w:type="paragraph" w:customStyle="1" w:styleId="7">
    <w:name w:val="正文文字110"/>
    <w:basedOn w:val="1"/>
    <w:qFormat/>
    <w:uiPriority w:val="0"/>
    <w:pPr>
      <w:spacing w:line="460" w:lineRule="exact"/>
      <w:ind w:firstLine="200" w:firstLineChars="200"/>
    </w:pPr>
    <w:rPr>
      <w:rFonts w:cs="宋体"/>
      <w:sz w:val="24"/>
      <w:szCs w:val="20"/>
    </w:rPr>
  </w:style>
  <w:style w:type="paragraph" w:customStyle="1" w:styleId="8">
    <w:name w:val="样式 xns表格 + 行距: 最小值 0 磅"/>
    <w:basedOn w:val="1"/>
    <w:qFormat/>
    <w:uiPriority w:val="0"/>
    <w:pPr>
      <w:spacing w:line="0" w:lineRule="atLeast"/>
      <w:jc w:val="center"/>
    </w:pPr>
    <w:rPr>
      <w:rFonts w:ascii="宋体" w:hAnsi="Times New Roman" w:eastAsia="仿宋_GB2312" w:cs="宋体"/>
      <w:color w:val="FF00FF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2024-03-18T02:12:00Z</dcterms:created>
  <dc:creator>hp</dc:creator>
  <cp:lastModifiedBy>hp</cp:lastModifiedBy>
  <dcterms:modified xsi:type="dcterms:W3CDTF">2024-03-18T02:13:42Z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