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hint="eastAsia" w:ascii="Times New Roman" w:hAnsi="Times New Roman" w:eastAsia="方正小标宋_GBK"/>
          <w:sz w:val="44"/>
          <w:szCs w:val="44"/>
        </w:rPr>
      </w:pPr>
      <w:r>
        <w:rPr>
          <w:rFonts w:ascii="Times New Roman" w:hAnsi="Times New Roman" w:eastAsia="方正黑体_GBK"/>
          <w:bCs/>
          <w:sz w:val="32"/>
          <w:szCs w:val="32"/>
        </w:rPr>
        <w:t>附件2</w:t>
      </w:r>
    </w:p>
    <w:p>
      <w:pPr>
        <w:spacing w:line="594" w:lineRule="exact"/>
        <w:jc w:val="center"/>
        <w:rPr>
          <w:rFonts w:ascii="Times New Roman" w:hAnsi="Times New Roman" w:eastAsia="方正小标宋_GBK"/>
          <w:sz w:val="44"/>
          <w:szCs w:val="44"/>
        </w:rPr>
      </w:pPr>
      <w:bookmarkStart w:id="0" w:name="_GoBack"/>
      <w:r>
        <w:rPr>
          <w:rFonts w:hint="eastAsia" w:ascii="Times New Roman" w:hAnsi="Times New Roman" w:eastAsia="方正小标宋_GBK"/>
          <w:sz w:val="44"/>
          <w:szCs w:val="44"/>
        </w:rPr>
        <w:t>江北区溉澜溪体育公园片区地下公共人防工程水土保持方案报告书专家评审意见</w:t>
      </w:r>
    </w:p>
    <w:bookmarkEnd w:id="0"/>
    <w:p>
      <w:pPr>
        <w:pStyle w:val="4"/>
        <w:ind w:firstLine="0" w:firstLineChars="0"/>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2025年5月26日，江北区农业农村委组织召开了《江北区溉澜溪体育公园片区地下公共人防工程水土保持方案报告书》（以下简称《水保方案》）专家评审会，项目法人重庆市江北区国防动员办公室、报告编制单位重庆雄乾科技发展有限公司的代表及特邀专家参加了会议。会议成立了专家组，专家组成员会前详细审阅了《水保方案（送审稿）》，与会人员会上认真听取了报告编制单位的汇报，进行了深入讨论。根据</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水利部令第53号</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办水保〔2023〕177号</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和</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渝水〔2018〕267号</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专家组对《水保方案》进行了质量评分，质量评定等级合格。报告编制单位会后对《水保方案》进行了修改、补充和完善，项目法人于2025年6月11日提交了修改完善后的《水保方案》。经专家组复核，形成专家评审意见如下：</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一、综合说明</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（一）方案编制所依据的法律法规、技术标准及相关资料等基本正确。</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（二）同意方案设计水平年为2027年。</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（三）同意水土流失防治责任范围界定，水土流失防治责任范围面积为2.73hm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四</w:t>
      </w:r>
      <w:r>
        <w:rPr>
          <w:rFonts w:ascii="Times New Roman" w:hAnsi="Times New Roman" w:eastAsia="方正仿宋_GBK"/>
          <w:sz w:val="32"/>
          <w:szCs w:val="32"/>
        </w:rPr>
        <w:t>）同意项目水土流失防治标准执行等级为西南紫色土区建设类项目一级防治标准。</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（五）同意水土流失防治目标。其中：水土流失治理度97%,土壤流失控制比1.0，渣土防护率94％，表土保护率92％，林草植被恢复率97％，林草覆盖率25%。</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二、项目概况</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（一）项目概况阐述基本清楚。</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江北区溉澜溪体育公园片区地下公共人防工程（以下简称项目）位于江北区寸滩街道溉澜溪片区，拟建重庆市江北区溉澜溪B02-2-3地块项目及溉澜溪体育公园地下。项目规划用地面积2.41hm</w:t>
      </w:r>
      <w:r>
        <w:rPr>
          <w:rFonts w:ascii="Times New Roman" w:hAnsi="Times New Roman" w:eastAsia="方正仿宋_GBK"/>
          <w:sz w:val="32"/>
          <w:szCs w:val="32"/>
          <w:vertAlign w:val="superscript"/>
        </w:rPr>
        <w:t>2</w:t>
      </w:r>
      <w:r>
        <w:rPr>
          <w:rFonts w:ascii="Times New Roman" w:hAnsi="Times New Roman" w:eastAsia="方正仿宋_GBK"/>
          <w:sz w:val="32"/>
          <w:szCs w:val="32"/>
        </w:rPr>
        <w:t>，总建筑面积30115.11m</w:t>
      </w:r>
      <w:r>
        <w:rPr>
          <w:rFonts w:ascii="Times New Roman" w:hAnsi="Times New Roman" w:eastAsia="方正仿宋_GBK"/>
          <w:sz w:val="32"/>
          <w:szCs w:val="32"/>
          <w:vertAlign w:val="superscript"/>
        </w:rPr>
        <w:t>2</w:t>
      </w:r>
      <w:r>
        <w:rPr>
          <w:rFonts w:ascii="Times New Roman" w:hAnsi="Times New Roman" w:eastAsia="方正仿宋_GBK"/>
          <w:sz w:val="32"/>
          <w:szCs w:val="32"/>
        </w:rPr>
        <w:t>，其中地上建筑面积460.32m</w:t>
      </w:r>
      <w:r>
        <w:rPr>
          <w:rFonts w:ascii="Times New Roman" w:hAnsi="Times New Roman" w:eastAsia="方正仿宋_GBK"/>
          <w:sz w:val="32"/>
          <w:szCs w:val="32"/>
          <w:vertAlign w:val="superscript"/>
        </w:rPr>
        <w:t>2</w:t>
      </w:r>
      <w:r>
        <w:rPr>
          <w:rFonts w:ascii="Times New Roman" w:hAnsi="Times New Roman" w:eastAsia="方正仿宋_GBK"/>
          <w:sz w:val="32"/>
          <w:szCs w:val="32"/>
        </w:rPr>
        <w:t>，地下建筑面积29654.79m</w:t>
      </w:r>
      <w:r>
        <w:rPr>
          <w:rFonts w:ascii="Times New Roman" w:hAnsi="Times New Roman" w:eastAsia="方正仿宋_GBK"/>
          <w:sz w:val="32"/>
          <w:szCs w:val="32"/>
          <w:vertAlign w:val="superscript"/>
        </w:rPr>
        <w:t>2</w:t>
      </w:r>
      <w:r>
        <w:rPr>
          <w:rFonts w:ascii="Times New Roman" w:hAnsi="Times New Roman" w:eastAsia="方正仿宋_GBK"/>
          <w:sz w:val="32"/>
          <w:szCs w:val="32"/>
        </w:rPr>
        <w:t>，设置406个地下停车位。项目主要包括位于B02-2-3地块基地内的掘开式人防工程，下穿溉澜溪体育公园的坑道式人防工程，以及位于溉澜溪体育公园内的地面出入口建筑物。掘开式人防工程布置钢筋加工区1处和临时堆放区1处；坑道式人防工程在1#～4#出入口施工场地内均布置了钢筋加工区、材料堆放区和临时堆土区。工程占地2.73hm</w:t>
      </w:r>
      <w:r>
        <w:rPr>
          <w:rFonts w:ascii="Times New Roman" w:hAnsi="Times New Roman" w:eastAsia="方正仿宋_GBK"/>
          <w:sz w:val="32"/>
          <w:szCs w:val="32"/>
          <w:vertAlign w:val="superscript"/>
        </w:rPr>
        <w:t>2</w:t>
      </w:r>
      <w:r>
        <w:rPr>
          <w:rFonts w:ascii="Times New Roman" w:hAnsi="Times New Roman" w:eastAsia="方正仿宋_GBK"/>
          <w:sz w:val="32"/>
          <w:szCs w:val="32"/>
        </w:rPr>
        <w:t>，其中永久占地2.41hm</w:t>
      </w:r>
      <w:r>
        <w:rPr>
          <w:rFonts w:ascii="Times New Roman" w:hAnsi="Times New Roman" w:eastAsia="方正仿宋_GBK"/>
          <w:sz w:val="32"/>
          <w:szCs w:val="32"/>
          <w:vertAlign w:val="superscript"/>
        </w:rPr>
        <w:t>2</w:t>
      </w:r>
      <w:r>
        <w:rPr>
          <w:rFonts w:ascii="Times New Roman" w:hAnsi="Times New Roman" w:eastAsia="方正仿宋_GBK"/>
          <w:sz w:val="32"/>
          <w:szCs w:val="32"/>
        </w:rPr>
        <w:t>，临时占地0.32hm</w:t>
      </w:r>
      <w:r>
        <w:rPr>
          <w:rFonts w:ascii="Times New Roman" w:hAnsi="Times New Roman" w:eastAsia="方正仿宋_GBK"/>
          <w:sz w:val="32"/>
          <w:szCs w:val="32"/>
          <w:vertAlign w:val="superscript"/>
        </w:rPr>
        <w:t>2</w:t>
      </w:r>
      <w:r>
        <w:rPr>
          <w:rFonts w:ascii="Times New Roman" w:hAnsi="Times New Roman" w:eastAsia="方正仿宋_GBK"/>
          <w:sz w:val="32"/>
          <w:szCs w:val="32"/>
        </w:rPr>
        <w:t>。工程挖方24.62万m³（含表土剥离0.05万m³),填方0.51万m³（含表土回覆0.05万m³),余方24.11万m³,不对外借方。余方全部运至银翔城天誉学府G组团消纳场堆填，运距约51km，本项目不设置弃渣场。工程2024年12月开工，计划2027年6月完工，工期31个月。工程总投资29746.33万元，其中土建投资20793.91万元。</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（二）拆迁安置与专项设施改（迁）建阐述较清楚。</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（三）项目区自然概况阐述较为清楚。</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三、项目水土保持评价</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（一）基本同意主体工程选址（线）的水土保持评价。</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（二）基本同意建设方案与布局水土保持评价。</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（三）基本同意主体工程设计中水土保持措施界定。</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四、水土流失分析与预测</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（一）基本同意对项目水土流失现状及影响分析。</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（二）基本同意工程扰动地表面积为1.37hm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（三）基本同意水土流失量预测方法及成果。工程建设可能造成的水土流失总量为335t，其中新增土壤流失量274t。</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（四）基本同意水土流失的危害性分析。</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五、水土保持措施</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（一）基本同意项目划分掘开和坑道两个水土流失防治区。</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（二）基本同意由主体工程设计的水土保持措施和方案新增的水土保持措施所组成的水土流失防治措施体系。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（三）基本同意各防治区防治措施布局、方案新增水土保持措施典型设计。</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1.掘开防治区</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sectPr>
          <w:footerReference r:id="rId3" w:type="default"/>
          <w:pgSz w:w="11907" w:h="16839"/>
          <w:pgMar w:top="1431" w:right="1417" w:bottom="1157" w:left="1426" w:header="0" w:footer="997" w:gutter="0"/>
          <w:pgNumType w:fmt="decimal"/>
          <w:cols w:space="720" w:num="1"/>
        </w:sectPr>
      </w:pPr>
      <w:r>
        <w:rPr>
          <w:rFonts w:ascii="Times New Roman" w:hAnsi="Times New Roman" w:eastAsia="方正仿宋_GBK"/>
          <w:sz w:val="32"/>
          <w:szCs w:val="32"/>
        </w:rPr>
        <w:t>施工前，在掘开区场地东北角施工车辆出入口处布置1座车辆冲洗站，用于清洗冲刷施工进出车辆。施工中，在场地西侧、南侧挡墙顶部设置截水沟；在北侧、东侧挡墙顶板布置临时截水</w:t>
      </w:r>
    </w:p>
    <w:p>
      <w:pPr>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沟，末端通过管道接入市政雨水管网；在基坑四周布置临时排水沟，雨水经临时排水沟汇集至基坑东南角集水坑，通过抽排至市政雨水管网；在临时堆放区四周采用编织土袋拦挡，对裸露土质边坡及临时堆放区采用彩条布遮盖。施工后期，在人防工程顶板沿西侧、南侧挡墙布置排水沟；对施工临时扰动占地完工后外购种植土回填后撒播草籽绿化。</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2.坑道防治区</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坑道区主要为地下施工，不扰动地表，对原有植被进行保留。施工前，对1#～4#出入口施工扰动区域内可剥离表土进行剥离，剥离的表土装入编织土袋用于临时堆土区四周拦挡，剩余的就近分别堆放在各个出入口的临时堆土区内，采用彩条布与后期回填临时堆放的土石方隔开，并用彩条布遮盖。施工中，在2#～4#出入口挡墙外侧布置临时截水沟，截水沟接入临时排水沟后排入溉澜溪体育公园雨水系统；对裸露土质边坡采用彩条布遮盖；施工后期，对施工扰动区域除建构筑物外经土地整治以及表土回填后景观绿化和景观恢复。</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（四）水土保持施工组织设计基本可行。</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六、水土保持监测</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基本同意水土保持监测方案。</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七、水土保持投资估算及效益分析</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（一）投资估算编制依据正确，费用及定额选择基本合理，编制深度基本满足规范要求。</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sectPr>
          <w:footerReference r:id="rId4" w:type="default"/>
          <w:pgSz w:w="11907" w:h="16839"/>
          <w:pgMar w:top="1431" w:right="1309" w:bottom="1157" w:left="1426" w:header="0" w:footer="997" w:gutter="0"/>
          <w:pgNumType w:fmt="decimal"/>
          <w:cols w:space="720" w:num="1"/>
        </w:sectPr>
      </w:pP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二）经审核，该项目水土保持总投资为92.66万元，其中主体已有水土保持投资53.12万元，方案新增水土保持投资39.54万元（其中工程措施1.79万元，植物措施0.17万元，监测措施8.38万元，临时措施14.32万元，独立费用12.64万元，基本预备费2.24万元，水土保持补偿费3.82648万元（免征）。</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（三）效益分析方法基本正确，分析结果基本合理。</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八、水土保持管理</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基本同意组织管理、后续设计、水土保持监测、水土保持监理、水土保持施工、水土保持设施验收等保障措施和要求。</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九、其他</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（一）建设单位应进一步优化项目建设方案，减少土石方开挖填筑，加大土石方综合利用，减少弃方。加强施工组织，优化施工工艺，减少地表扰动及植被破坏，严禁越界施工，严格控制工程建设中水土流失。</w:t>
      </w:r>
    </w:p>
    <w:p>
      <w:pPr>
        <w:keepNext w:val="0"/>
        <w:keepLines w:val="0"/>
        <w:pageBreakBefore w:val="0"/>
        <w:widowControl w:val="0"/>
        <w:kinsoku/>
        <w:wordWrap/>
        <w:overflowPunct/>
        <w:topLinePunct w:val="0"/>
        <w:autoSpaceDE/>
        <w:autoSpaceDN/>
        <w:bidi w:val="0"/>
        <w:adjustRightInd w:val="0"/>
        <w:snapToGrid w:val="0"/>
        <w:spacing w:line="594" w:lineRule="exact"/>
        <w:ind w:firstLine="707" w:firstLineChars="221"/>
        <w:jc w:val="left"/>
        <w:textAlignment w:val="auto"/>
        <w:outlineLvl w:val="9"/>
        <w:rPr>
          <w:rFonts w:hint="eastAsia" w:ascii="Times New Roman" w:hAnsi="Times New Roman" w:eastAsia="方正仿宋_GBK"/>
          <w:sz w:val="32"/>
          <w:szCs w:val="32"/>
        </w:rPr>
      </w:pPr>
      <w:r>
        <w:rPr>
          <w:rFonts w:ascii="Times New Roman" w:hAnsi="Times New Roman" w:eastAsia="方正仿宋_GBK"/>
          <w:sz w:val="32"/>
          <w:szCs w:val="32"/>
        </w:rPr>
        <w:t>（二）加强施工管理，严禁土石方乱挖乱堆乱放乱弃，弃渣必须全部运至协议项目集中利用，严禁随意取土采砂，严禁向河道管理范围、自然保护区、生态红线等敏感区域取土弃渣。</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专家组组长：</w:t>
      </w:r>
      <w:r>
        <w:rPr>
          <w:rFonts w:hint="eastAsia" w:ascii="Times New Roman" w:hAnsi="Times New Roman" w:eastAsia="方正仿宋_GBK"/>
          <w:sz w:val="32"/>
          <w:szCs w:val="32"/>
        </w:rPr>
        <w:drawing>
          <wp:inline distT="0" distB="0" distL="114300" distR="114300">
            <wp:extent cx="965200" cy="454025"/>
            <wp:effectExtent l="0" t="0" r="6350" b="317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965200" cy="4540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outlineLvl w:val="9"/>
        <w:rPr>
          <w:rFonts w:hint="eastAsia" w:ascii="Times New Roman" w:hAnsi="Times New Roman" w:eastAsia="方正仿宋_GBK"/>
          <w:sz w:val="32"/>
          <w:szCs w:val="32"/>
        </w:rPr>
      </w:pPr>
    </w:p>
    <w:p>
      <w:pPr>
        <w:adjustRightInd w:val="0"/>
        <w:snapToGrid w:val="0"/>
        <w:jc w:val="center"/>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2025年6月13日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89"/>
      <w:rPr>
        <w:rFonts w:ascii="Times New Roman" w:hAnsi="Times New Roman" w:eastAsia="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84"/>
      <w:rPr>
        <w:rFonts w:ascii="Times New Roman" w:hAnsi="Times New Roman" w:eastAsia="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D3BEC"/>
    <w:rsid w:val="724D3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none" w:color="auto" w:sz="0" w:space="1"/>
        <w:left w:val="none" w:color="auto" w:sz="0" w:space="1"/>
        <w:bottom w:val="none" w:color="auto" w:sz="0" w:space="1"/>
        <w:right w:val="none" w:color="auto" w:sz="0" w:space="1"/>
      </w:pBdr>
      <w:spacing w:line="360" w:lineRule="auto"/>
      <w:ind w:firstLine="643" w:firstLineChars="200"/>
    </w:pPr>
    <w:rPr>
      <w:rFonts w:ascii="Cambria" w:hAnsi="Cambria"/>
      <w:sz w:val="28"/>
    </w:rPr>
  </w:style>
  <w:style w:type="paragraph" w:styleId="3">
    <w:name w:val="Body Text"/>
    <w:basedOn w:val="1"/>
    <w:uiPriority w:val="0"/>
    <w:pPr>
      <w:spacing w:after="120"/>
    </w:pPr>
    <w:rPr>
      <w:rFonts w:eastAsia="宋体"/>
      <w:szCs w:val="24"/>
    </w:rPr>
  </w:style>
  <w:style w:type="paragraph" w:styleId="4">
    <w:name w:val="Body Text First Indent"/>
    <w:basedOn w:val="3"/>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2025-07-08T07:41:00Z</dcterms:created>
  <dc:creator>hp</dc:creator>
  <cp:lastModifiedBy>hp</cp:lastModifiedBy>
  <dcterms:modified xsi:type="dcterms:W3CDTF">2025-07-08T07:42:44Z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