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t>附件1</w:t>
      </w:r>
    </w:p>
    <w:p>
      <w:pPr>
        <w:autoSpaceDE w:val="0"/>
        <w:autoSpaceDN w:val="0"/>
        <w:snapToGrid w:val="0"/>
        <w:spacing w:line="240" w:lineRule="exact"/>
        <w:ind w:firstLine="482" w:firstLineChars="200"/>
        <w:jc w:val="center"/>
        <w:rPr>
          <w:rFonts w:hint="eastAsia" w:ascii="方正黑体_GBK" w:hAnsi="方正黑体_GBK" w:eastAsia="方正黑体_GBK" w:cs="方正黑体_GBK"/>
          <w:szCs w:val="21"/>
        </w:rPr>
      </w:pPr>
      <w:bookmarkStart w:id="3" w:name="_GoBack"/>
      <w:r>
        <w:rPr>
          <w:rFonts w:hint="eastAsia" w:ascii="方正黑体_GBK" w:hAnsi="方正黑体_GBK" w:eastAsia="方正黑体_GBK" w:cs="方正黑体_GBK"/>
          <w:b/>
          <w:sz w:val="24"/>
        </w:rPr>
        <w:t>港城园区B区24号路北侧边坡整治工程水土保持方案特性表</w:t>
      </w:r>
    </w:p>
    <w:bookmarkEnd w:id="3"/>
    <w:tbl>
      <w:tblPr>
        <w:tblStyle w:val="5"/>
        <w:tblW w:w="92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576"/>
        <w:gridCol w:w="801"/>
        <w:gridCol w:w="1019"/>
        <w:gridCol w:w="166"/>
        <w:gridCol w:w="1429"/>
        <w:gridCol w:w="366"/>
        <w:gridCol w:w="473"/>
        <w:gridCol w:w="550"/>
        <w:gridCol w:w="921"/>
        <w:gridCol w:w="781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项目名称</w:t>
            </w:r>
          </w:p>
        </w:tc>
        <w:tc>
          <w:tcPr>
            <w:tcW w:w="3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港城园区B区24号路北侧边坡整治工程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流域管理机构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水利部长江水利委员会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涉及省（市、区）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重庆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涉及地市或个数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/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涉及县或个数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江北区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项目规模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本工程总用地面积2.20hm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，建设内容包括景观绿化、排水工程、土石方工程、边坡支护、挡墙及附属设施等内容，不含路面结构、管网、电照等内容。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总投资（万元）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2900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土建投资（万元）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2357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动工时间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2022年3月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完工时间</w:t>
            </w: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2023年5月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设计水平年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工程占地（hm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）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2.2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永久占地（hm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）</w:t>
            </w: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1.62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临时占地（hm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土石方量（万m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）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挖方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填方</w:t>
            </w: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借方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弃方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3.83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14.1</w:t>
            </w: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10.27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重点防治区名称</w:t>
            </w:r>
          </w:p>
        </w:tc>
        <w:tc>
          <w:tcPr>
            <w:tcW w:w="60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地貌类型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丘陵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水土保持区划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西南紫色土区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土壤侵蚀类别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水力侵蚀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土壤侵蚀强度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中度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防治责任范围面积（hm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2.2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容许土壤流失量[t/(km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.a)]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水土流失预测总量（t）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114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新增水土流失量（t）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水土流失防治标准执行等级</w:t>
            </w:r>
          </w:p>
        </w:tc>
        <w:tc>
          <w:tcPr>
            <w:tcW w:w="60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西南紫色土区建设类项目一级标准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防治目标</w:t>
            </w: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水土流失治理度（%）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97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土壤流失控制比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渣土防护率（%）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94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表土保护率（%）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林草植被恢复率（%）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97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林草覆盖率（%）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bookmarkStart w:id="0" w:name="OLE_LINK16" w:colFirst="0" w:colLast="4"/>
            <w:bookmarkStart w:id="1" w:name="OLE_LINK21" w:colFirst="0" w:colLast="4"/>
            <w:bookmarkStart w:id="2" w:name="OLE_LINK20" w:colFirst="0" w:colLast="4"/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防治措施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分区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工程措施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植物措施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临时措施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主体工程防治区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18"/>
                <w:szCs w:val="18"/>
              </w:rPr>
              <w:t>主体设计：</w:t>
            </w:r>
            <w:r>
              <w:rPr>
                <w:rFonts w:hint="eastAsia" w:ascii="方正仿宋_GBK" w:hAnsi="方正仿宋_GBK" w:eastAsia="方正仿宋_GBK" w:cs="方正仿宋_GBK"/>
                <w:bCs/>
                <w:sz w:val="18"/>
                <w:szCs w:val="18"/>
              </w:rPr>
              <w:t>排水沟562m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，急流槽61m，全面整地0.86hm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18"/>
                <w:szCs w:val="18"/>
              </w:rPr>
              <w:t>主体设计：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栽植乔灌草0.86hm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，TBS生态护坡0.61hm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18"/>
                <w:szCs w:val="18"/>
              </w:rPr>
              <w:t>/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施工营地防治区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18"/>
                <w:szCs w:val="18"/>
              </w:rPr>
              <w:t>主体设计：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全面整地0.05hm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18"/>
                <w:szCs w:val="18"/>
              </w:rPr>
              <w:t>主体设计：</w:t>
            </w:r>
            <w:r>
              <w:rPr>
                <w:rFonts w:hint="eastAsia" w:ascii="方正仿宋_GBK" w:hAnsi="方正仿宋_GBK" w:eastAsia="方正仿宋_GBK" w:cs="方正仿宋_GBK"/>
                <w:bCs/>
                <w:sz w:val="18"/>
                <w:szCs w:val="18"/>
              </w:rPr>
              <w:t>撒播草籽0.05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hm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18"/>
                <w:szCs w:val="18"/>
              </w:rPr>
              <w:t>/</w:t>
            </w:r>
          </w:p>
        </w:tc>
      </w:tr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投资（万元）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21.73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171.63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水土保持总投资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（万元）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218.64（方案新增25.28）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独立费用（万元）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20.66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监理费（万元）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/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监测费（万元）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1.55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补偿费（万元）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3.07454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方案编制单位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重庆一可环保工程有限公司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建设单位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iCs/>
                <w:sz w:val="18"/>
                <w:szCs w:val="18"/>
              </w:rPr>
              <w:t>重庆江北新城发展建设有限公司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法定代表人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袁巍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法定代表人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曾国涛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地址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重庆市九龙坡区渝州路街道科园二路137号19层2号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地址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重庆市江北区海尔路952号水语华庭二期11号楼第三层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邮编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400041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邮编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400025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联系人及电话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李萌菲/17696133690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联系人及电话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陈工/13220339070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传真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/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传真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/</w:t>
            </w:r>
          </w:p>
        </w:tc>
      </w:tr>
    </w:tbl>
    <w:p>
      <w:r>
        <w:rPr>
          <w:rFonts w:ascii="Times New Roman" w:hAnsi="Times New Roman" w:eastAsia="方正黑体_GBK"/>
          <w:bCs/>
          <w:color w:val="FF000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A2286"/>
    <w:rsid w:val="368A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2025-09-26T08:07:00Z</dcterms:created>
  <dc:creator>hp</dc:creator>
  <cp:lastModifiedBy>hp</cp:lastModifiedBy>
  <dcterms:modified xsi:type="dcterms:W3CDTF">2025-09-26T08:08:40Z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