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rPr>
          <w:rFonts w:ascii="Times New Roman" w:hAnsi="Times New Roman" w:eastAsia="方正黑体_GBK"/>
          <w:bCs/>
          <w:sz w:val="32"/>
          <w:szCs w:val="32"/>
        </w:rPr>
      </w:pPr>
      <w:r>
        <w:rPr>
          <w:rFonts w:ascii="Times New Roman" w:hAnsi="Times New Roman" w:eastAsia="方正黑体_GBK"/>
          <w:bCs/>
          <w:sz w:val="32"/>
          <w:szCs w:val="32"/>
        </w:rPr>
        <w:t>附件2</w:t>
      </w:r>
    </w:p>
    <w:p>
      <w:pPr>
        <w:keepNext w:val="0"/>
        <w:keepLines w:val="0"/>
        <w:pageBreakBefore w:val="0"/>
        <w:widowControl w:val="0"/>
        <w:kinsoku/>
        <w:wordWrap/>
        <w:overflowPunct/>
        <w:autoSpaceDE/>
        <w:autoSpaceDN/>
        <w:bidi w:val="0"/>
        <w:spacing w:line="596" w:lineRule="exact"/>
        <w:jc w:val="center"/>
        <w:textAlignment w:val="auto"/>
        <w:rPr>
          <w:rFonts w:ascii="Times New Roman" w:hAnsi="Times New Roman" w:eastAsia="方正小标宋_GBK"/>
          <w:sz w:val="44"/>
          <w:szCs w:val="44"/>
        </w:rPr>
      </w:pPr>
      <w:bookmarkStart w:id="0" w:name="_GoBack"/>
      <w:r>
        <w:rPr>
          <w:rFonts w:hint="eastAsia" w:ascii="Times New Roman" w:hAnsi="Times New Roman" w:eastAsia="方正小标宋_GBK"/>
          <w:sz w:val="44"/>
          <w:szCs w:val="44"/>
        </w:rPr>
        <w:t>港城园区B区景观工程（渝航大道跑马坪立交段）水土保持方案报告书</w:t>
      </w:r>
    </w:p>
    <w:p>
      <w:pPr>
        <w:keepNext w:val="0"/>
        <w:keepLines w:val="0"/>
        <w:pageBreakBefore w:val="0"/>
        <w:widowControl w:val="0"/>
        <w:kinsoku/>
        <w:wordWrap/>
        <w:overflowPunct/>
        <w:autoSpaceDE/>
        <w:autoSpaceDN/>
        <w:bidi w:val="0"/>
        <w:spacing w:line="596"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专家评审意见</w:t>
      </w:r>
    </w:p>
    <w:bookmarkEnd w:id="0"/>
    <w:p>
      <w:pPr>
        <w:pStyle w:val="2"/>
        <w:keepNext w:val="0"/>
        <w:keepLines w:val="0"/>
        <w:pageBreakBefore w:val="0"/>
        <w:widowControl w:val="0"/>
        <w:kinsoku/>
        <w:wordWrap/>
        <w:overflowPunct/>
        <w:autoSpaceDE/>
        <w:autoSpaceDN/>
        <w:bidi w:val="0"/>
        <w:spacing w:line="596" w:lineRule="exact"/>
        <w:ind w:firstLine="0" w:firstLineChars="0"/>
        <w:textAlignment w:val="auto"/>
        <w:rPr>
          <w:rFonts w:ascii="Times New Roman" w:hAnsi="Times New Roman"/>
        </w:rPr>
      </w:pP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根据《中华人民共和国水土保持法》、《重庆市实施中华人民共和国水土保持法办法》等法律法规的规定及有关要求，重庆市江北区农业农村委员会于2025年9月12日组织专家对《港城园区B区景观工程（渝航大道跑马坪立交段）水土保持方案报告书》（以下简称《水保方案》）进行了评审。评审专家组由廖梦南、郑云泽、牛青霞组成，廖梦南任组长。专家组成员详细审阅了《水保方案》，提出了修改完善意见。报告编制单位根据各位专家的修改意见对《水保方案》进行了修改、补充和完善，形成了《水保方案（报批稿）》。经专家组复核，形成专家组评审意见如下：</w:t>
      </w:r>
    </w:p>
    <w:p>
      <w:pPr>
        <w:keepNext w:val="0"/>
        <w:keepLines w:val="0"/>
        <w:pageBreakBefore w:val="0"/>
        <w:widowControl w:val="0"/>
        <w:numPr>
          <w:ilvl w:val="0"/>
          <w:numId w:val="1"/>
        </w:numPr>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综合说明</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（一）方案编制所依据的法律法规、技术标准及相关资料基本正确。</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（二）同意方案设计水平年为2025年。</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（三）同意水土流失防治责任范围界定，水土流失防治责任范围面积13.2hm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（四）同意项目水土流失防治标准执行等级为西南紫色土区建设类一级标准。</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（五）同意水土流失防治目标。至设计水平年：水土流失治理度97%，土壤流失控制比1.0，渣土防护率94%，表土保护率92%，林草植被恢复率97%，林草覆盖率25%。</w:t>
      </w:r>
    </w:p>
    <w:p>
      <w:pPr>
        <w:keepNext w:val="0"/>
        <w:keepLines w:val="0"/>
        <w:pageBreakBefore w:val="0"/>
        <w:widowControl w:val="0"/>
        <w:kinsoku/>
        <w:wordWrap/>
        <w:overflowPunct/>
        <w:autoSpaceDE/>
        <w:autoSpaceDN/>
        <w:bidi w:val="0"/>
        <w:adjustRightInd w:val="0"/>
        <w:snapToGrid w:val="0"/>
        <w:spacing w:line="596" w:lineRule="exact"/>
        <w:ind w:firstLine="611" w:firstLineChars="200"/>
        <w:textAlignment w:val="auto"/>
        <w:rPr>
          <w:rFonts w:ascii="Times New Roman" w:hAnsi="Times New Roman" w:eastAsia="方正仿宋_GBK"/>
          <w:b/>
          <w:bCs/>
          <w:w w:val="95"/>
          <w:sz w:val="32"/>
          <w:szCs w:val="32"/>
        </w:rPr>
      </w:pPr>
      <w:r>
        <w:rPr>
          <w:rFonts w:ascii="Times New Roman" w:hAnsi="Times New Roman" w:eastAsia="方正仿宋_GBK"/>
          <w:b/>
          <w:bCs/>
          <w:w w:val="95"/>
          <w:sz w:val="32"/>
          <w:szCs w:val="32"/>
        </w:rPr>
        <w:t>二、项目概况</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（一）项目概况阐述基本清楚。</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港城园区B区景观工程（渝航大道跑马坪立交段）位于重庆市江北区港城工业园B区，隶属于江北区寸滩街道，项目建设类型为新建。建设单位为重庆江北新城发展建设有限公司。项目建设内容包括景观绿化工程、土石方工程、绿化给水工程、排水工程组成，项目总用地面积为132022m</w:t>
      </w:r>
      <w:r>
        <w:rPr>
          <w:rFonts w:ascii="Times New Roman" w:hAnsi="Times New Roman" w:eastAsia="方正仿宋_GBK"/>
          <w:sz w:val="32"/>
          <w:szCs w:val="32"/>
          <w:vertAlign w:val="superscript"/>
        </w:rPr>
        <w:t>2</w:t>
      </w:r>
      <w:r>
        <w:rPr>
          <w:rFonts w:ascii="Times New Roman" w:hAnsi="Times New Roman" w:eastAsia="方正仿宋_GBK"/>
          <w:sz w:val="32"/>
          <w:szCs w:val="32"/>
        </w:rPr>
        <w:t>，约13.2hm</w:t>
      </w:r>
      <w:r>
        <w:rPr>
          <w:rFonts w:ascii="Times New Roman" w:hAnsi="Times New Roman" w:eastAsia="方正仿宋_GBK"/>
          <w:sz w:val="32"/>
          <w:szCs w:val="32"/>
          <w:vertAlign w:val="superscript"/>
        </w:rPr>
        <w:t>2</w:t>
      </w:r>
      <w:r>
        <w:rPr>
          <w:rFonts w:ascii="Times New Roman" w:hAnsi="Times New Roman" w:eastAsia="方正仿宋_GBK"/>
          <w:sz w:val="32"/>
          <w:szCs w:val="32"/>
        </w:rPr>
        <w:t>，全部为永久占地，其中地被植物面积11.03hm</w:t>
      </w:r>
      <w:r>
        <w:rPr>
          <w:rFonts w:ascii="Times New Roman" w:hAnsi="Times New Roman" w:eastAsia="方正仿宋_GBK"/>
          <w:sz w:val="32"/>
          <w:szCs w:val="32"/>
          <w:vertAlign w:val="superscript"/>
        </w:rPr>
        <w:t>2</w:t>
      </w:r>
      <w:r>
        <w:rPr>
          <w:rFonts w:ascii="Times New Roman" w:hAnsi="Times New Roman" w:eastAsia="方正仿宋_GBK"/>
          <w:sz w:val="32"/>
          <w:szCs w:val="32"/>
        </w:rPr>
        <w:t>，灌木面积2.04hm</w:t>
      </w:r>
      <w:r>
        <w:rPr>
          <w:rFonts w:ascii="Times New Roman" w:hAnsi="Times New Roman" w:eastAsia="方正仿宋_GBK"/>
          <w:sz w:val="32"/>
          <w:szCs w:val="32"/>
          <w:vertAlign w:val="superscript"/>
        </w:rPr>
        <w:t>2</w:t>
      </w:r>
      <w:r>
        <w:rPr>
          <w:rFonts w:ascii="Times New Roman" w:hAnsi="Times New Roman" w:eastAsia="方正仿宋_GBK"/>
          <w:sz w:val="32"/>
          <w:szCs w:val="32"/>
        </w:rPr>
        <w:t>，乔木3703株。项目区总绿地面积约13.07hm</w:t>
      </w:r>
      <w:r>
        <w:rPr>
          <w:rFonts w:ascii="Times New Roman" w:hAnsi="Times New Roman" w:eastAsia="方正仿宋_GBK"/>
          <w:sz w:val="32"/>
          <w:szCs w:val="32"/>
          <w:vertAlign w:val="superscript"/>
        </w:rPr>
        <w:t>2</w:t>
      </w:r>
      <w:r>
        <w:rPr>
          <w:rFonts w:ascii="Times New Roman" w:hAnsi="Times New Roman" w:eastAsia="方正仿宋_GBK"/>
          <w:sz w:val="32"/>
          <w:szCs w:val="32"/>
        </w:rPr>
        <w:t>，绿地率99.01%。本项目施工营地设置在项目占地红线内南侧，搭建活动板房作办公用房及生活区（现已拆除）；施工道路通过已有道路到达项目区，不在项目区红线外另建施工道路。</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本项目土石方总挖方9.34万m</w:t>
      </w:r>
      <w:r>
        <w:rPr>
          <w:rFonts w:ascii="Times New Roman" w:hAnsi="Times New Roman" w:eastAsia="方正仿宋_GBK"/>
          <w:sz w:val="32"/>
          <w:szCs w:val="32"/>
          <w:vertAlign w:val="superscript"/>
        </w:rPr>
        <w:t>3</w:t>
      </w:r>
      <w:r>
        <w:rPr>
          <w:rFonts w:ascii="Times New Roman" w:hAnsi="Times New Roman" w:eastAsia="方正仿宋_GBK"/>
          <w:sz w:val="32"/>
          <w:szCs w:val="32"/>
        </w:rPr>
        <w:t>（含表土剥离0.12万m</w:t>
      </w:r>
      <w:r>
        <w:rPr>
          <w:rFonts w:ascii="Times New Roman" w:hAnsi="Times New Roman" w:eastAsia="方正仿宋_GBK"/>
          <w:sz w:val="32"/>
          <w:szCs w:val="32"/>
          <w:vertAlign w:val="superscript"/>
        </w:rPr>
        <w:t>3</w:t>
      </w:r>
      <w:r>
        <w:rPr>
          <w:rFonts w:ascii="Times New Roman" w:hAnsi="Times New Roman" w:eastAsia="方正仿宋_GBK"/>
          <w:sz w:val="32"/>
          <w:szCs w:val="32"/>
        </w:rPr>
        <w:t>），总填方13.75万m</w:t>
      </w:r>
      <w:r>
        <w:rPr>
          <w:rFonts w:ascii="Times New Roman" w:hAnsi="Times New Roman" w:eastAsia="方正仿宋_GBK"/>
          <w:sz w:val="32"/>
          <w:szCs w:val="32"/>
          <w:vertAlign w:val="superscript"/>
        </w:rPr>
        <w:t>3</w:t>
      </w:r>
      <w:r>
        <w:rPr>
          <w:rFonts w:ascii="Times New Roman" w:hAnsi="Times New Roman" w:eastAsia="方正仿宋_GBK"/>
          <w:sz w:val="32"/>
          <w:szCs w:val="32"/>
        </w:rPr>
        <w:t>（含表土回填4.53万m</w:t>
      </w:r>
      <w:r>
        <w:rPr>
          <w:rFonts w:ascii="Times New Roman" w:hAnsi="Times New Roman" w:eastAsia="方正仿宋_GBK"/>
          <w:sz w:val="32"/>
          <w:szCs w:val="32"/>
          <w:vertAlign w:val="superscript"/>
        </w:rPr>
        <w:t>3</w:t>
      </w:r>
      <w:r>
        <w:rPr>
          <w:rFonts w:ascii="Times New Roman" w:hAnsi="Times New Roman" w:eastAsia="方正仿宋_GBK"/>
          <w:sz w:val="32"/>
          <w:szCs w:val="32"/>
        </w:rPr>
        <w:t>），外</w:t>
      </w:r>
      <w:r>
        <w:rPr>
          <w:rFonts w:hint="eastAsia" w:ascii="Times New Roman" w:hAnsi="Times New Roman" w:eastAsia="方正仿宋_GBK"/>
          <w:sz w:val="32"/>
          <w:szCs w:val="32"/>
        </w:rPr>
        <w:t>借</w:t>
      </w:r>
      <w:r>
        <w:rPr>
          <w:rFonts w:ascii="Times New Roman" w:hAnsi="Times New Roman" w:eastAsia="方正仿宋_GBK"/>
          <w:sz w:val="32"/>
          <w:szCs w:val="32"/>
        </w:rPr>
        <w:t>表土4.41万m</w:t>
      </w:r>
      <w:r>
        <w:rPr>
          <w:rFonts w:ascii="Times New Roman" w:hAnsi="Times New Roman" w:eastAsia="方正仿宋_GBK"/>
          <w:sz w:val="32"/>
          <w:szCs w:val="32"/>
          <w:vertAlign w:val="superscript"/>
        </w:rPr>
        <w:t>3</w:t>
      </w:r>
      <w:r>
        <w:rPr>
          <w:rFonts w:ascii="Times New Roman" w:hAnsi="Times New Roman" w:eastAsia="方正仿宋_GBK"/>
          <w:sz w:val="32"/>
          <w:szCs w:val="32"/>
        </w:rPr>
        <w:t>，外</w:t>
      </w:r>
      <w:r>
        <w:rPr>
          <w:rFonts w:hint="eastAsia" w:ascii="Times New Roman" w:hAnsi="Times New Roman" w:eastAsia="方正仿宋_GBK"/>
          <w:sz w:val="32"/>
          <w:szCs w:val="32"/>
        </w:rPr>
        <w:t>借</w:t>
      </w:r>
      <w:r>
        <w:rPr>
          <w:rFonts w:ascii="Times New Roman" w:hAnsi="Times New Roman" w:eastAsia="方正仿宋_GBK"/>
          <w:sz w:val="32"/>
          <w:szCs w:val="32"/>
        </w:rPr>
        <w:t>表土</w:t>
      </w:r>
      <w:r>
        <w:rPr>
          <w:rFonts w:hint="eastAsia" w:ascii="Times New Roman" w:hAnsi="Times New Roman" w:eastAsia="方正仿宋_GBK"/>
          <w:sz w:val="32"/>
          <w:szCs w:val="32"/>
        </w:rPr>
        <w:t>由园区从</w:t>
      </w:r>
      <w:r>
        <w:rPr>
          <w:rFonts w:ascii="Times New Roman" w:hAnsi="Times New Roman" w:eastAsia="方正仿宋_GBK"/>
          <w:sz w:val="32"/>
          <w:szCs w:val="32"/>
        </w:rPr>
        <w:t>重庆港城工业园区2#表土堆场</w:t>
      </w:r>
      <w:r>
        <w:rPr>
          <w:rFonts w:hint="eastAsia" w:ascii="Times New Roman" w:hAnsi="Times New Roman" w:eastAsia="方正仿宋_GBK"/>
          <w:sz w:val="32"/>
          <w:szCs w:val="32"/>
        </w:rPr>
        <w:t>调配</w:t>
      </w:r>
      <w:r>
        <w:rPr>
          <w:rFonts w:ascii="Times New Roman" w:hAnsi="Times New Roman" w:eastAsia="方正仿宋_GBK"/>
          <w:sz w:val="32"/>
          <w:szCs w:val="32"/>
        </w:rPr>
        <w:t>。项目已于2021年3月开工，2021年11月完工，工期共计9个月。项目总投资为3681.12万元，其中土建投资2854.28万元，资金来源为区级财政资金。项目区不涉及移民搬迁和专项设施改（迁）建。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（二）同意工程占地及土石方平衡分析。</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（三）项目区地形、地貌、地质、气象、水文、土壤、植被等情况阐述较为清楚。</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三、水土保持评价</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（一）同意主体工程选址（线）的水土保持评价结论。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（二）同意建设方案与布局的评价结论。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（三）同意主体工程设计中水土保持措施界定成果。</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四、水土流失分析与预测</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（一）同意对项目区水土流失现状及影响分析评价结论。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（二）项目建设过程中扰动地表面积13.2hm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（三）同意水土流失量预测方法及成果。工程建设可能造成的水土流失总量727t，新增水土流失量292t。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（四）同意水土流失的危害性分析结论和指导性意见。</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五、水土保持措施布设</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（一）同意项目区</w:t>
      </w:r>
      <w:r>
        <w:rPr>
          <w:rFonts w:ascii="Times New Roman" w:hAnsi="Times New Roman" w:eastAsia="方正仿宋_GBK"/>
          <w:sz w:val="32"/>
          <w:szCs w:val="32"/>
          <w:lang w:val="zh-CN"/>
        </w:rPr>
        <w:t>划</w:t>
      </w:r>
      <w:r>
        <w:rPr>
          <w:rFonts w:ascii="Times New Roman" w:hAnsi="Times New Roman" w:eastAsia="方正仿宋_GBK"/>
          <w:sz w:val="32"/>
          <w:szCs w:val="32"/>
        </w:rPr>
        <w:t>分为一</w:t>
      </w:r>
      <w:r>
        <w:rPr>
          <w:rFonts w:ascii="Times New Roman" w:hAnsi="Times New Roman" w:eastAsia="方正仿宋_GBK"/>
          <w:sz w:val="32"/>
          <w:szCs w:val="32"/>
          <w:lang w:val="zh-CN"/>
        </w:rPr>
        <w:t>个一级分区，即</w:t>
      </w:r>
      <w:r>
        <w:rPr>
          <w:rFonts w:ascii="Times New Roman" w:hAnsi="Times New Roman" w:eastAsia="方正仿宋_GBK"/>
          <w:sz w:val="32"/>
          <w:szCs w:val="32"/>
        </w:rPr>
        <w:t>项目建设</w:t>
      </w:r>
      <w:r>
        <w:rPr>
          <w:rFonts w:ascii="Times New Roman" w:hAnsi="Times New Roman" w:eastAsia="方正仿宋_GBK"/>
          <w:sz w:val="32"/>
          <w:szCs w:val="32"/>
          <w:lang w:val="zh-CN"/>
        </w:rPr>
        <w:t>防治区。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（二）同意由主体工程设计的水土保持措施和方案新增的水土保持措施所组成的水土流失防治措施体系。</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（三）同意各防治区防治措施布局、方案新增水土保持措施典型设计。</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1、项目建设防治区</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施工前，主体对项目区内可剥离的表土进行剥离，剥离的表土集中堆放在地块东侧的绿化区域内并进行防护，对堆土表面采用防雨布进行覆盖，剥离的表土已用于项目区绿化区域覆土回填。</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施工过程中，主体沿地块中部及南侧跑马坪立交桥墩等建构筑物及道路周边设置了雨水排水管，排水出口接入地块周边已有排水沟、立交落水管及市政雨水管网；主体在项目区南侧中部道路周边设置了排水沟，排水沟出口接入项目区内地块已有排水沟及市政雨水管网；对施工临时裸露面采用防雨布进行覆盖；主体对绿化区域进行覆土回填后采取种植乔灌草的方式进行了景观绿化。</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工程措施（主体已实施）：雨水排水管565m，排水沟1420m，表土剥离0.12万m</w:t>
      </w:r>
      <w:r>
        <w:rPr>
          <w:rFonts w:ascii="Times New Roman" w:hAnsi="Times New Roman" w:eastAsia="方正仿宋_GBK"/>
          <w:sz w:val="32"/>
          <w:szCs w:val="32"/>
          <w:vertAlign w:val="superscript"/>
        </w:rPr>
        <w:t>3</w:t>
      </w:r>
      <w:r>
        <w:rPr>
          <w:rFonts w:ascii="Times New Roman" w:hAnsi="Times New Roman" w:eastAsia="方正仿宋_GBK"/>
          <w:sz w:val="32"/>
          <w:szCs w:val="32"/>
        </w:rPr>
        <w:t>，表土回填0.12万m</w:t>
      </w:r>
      <w:r>
        <w:rPr>
          <w:rFonts w:ascii="Times New Roman" w:hAnsi="Times New Roman" w:eastAsia="方正仿宋_GBK"/>
          <w:sz w:val="32"/>
          <w:szCs w:val="32"/>
          <w:vertAlign w:val="superscript"/>
        </w:rPr>
        <w:t>3</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植物措施（主体已实施）：灌木地被13.07hm</w:t>
      </w:r>
      <w:r>
        <w:rPr>
          <w:rFonts w:ascii="Times New Roman" w:hAnsi="Times New Roman" w:eastAsia="方正仿宋_GBK"/>
          <w:sz w:val="32"/>
          <w:szCs w:val="32"/>
          <w:vertAlign w:val="superscript"/>
        </w:rPr>
        <w:t>2</w:t>
      </w:r>
      <w:r>
        <w:rPr>
          <w:rFonts w:ascii="Times New Roman" w:hAnsi="Times New Roman" w:eastAsia="方正仿宋_GBK"/>
          <w:sz w:val="32"/>
          <w:szCs w:val="32"/>
        </w:rPr>
        <w:t>，乔木、大灌3703株，藤本植物3006m。</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临时措施（主体已实施）：防雨布覆盖3500m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（四）同意水土保持施工组织设计。</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六、水土保持监测</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同意水土保持监测方案。</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七、水土保持投资估算及效益分析</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（一）投资估算编制依据正确，费用及定额选择基本合理，编制深度基本满足规范要求。</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（二）经审核，水土保持方案静态总投资1952.01万元，其中方案新增投资10.04万元，主体工程已列投资1941.97万元。在方案新增投资中监测措施2.1万元，独立费用7.94万元，</w:t>
      </w:r>
      <w:r>
        <w:rPr>
          <w:rFonts w:ascii="Times New Roman" w:hAnsi="Times New Roman" w:eastAsia="方正仿宋_GBK"/>
          <w:sz w:val="32"/>
          <w:szCs w:val="32"/>
          <w:lang w:val="zh-CN"/>
        </w:rPr>
        <w:t>水土保持补偿费</w:t>
      </w:r>
      <w:r>
        <w:rPr>
          <w:rFonts w:ascii="Times New Roman" w:hAnsi="Times New Roman" w:eastAsia="方正仿宋_GBK"/>
          <w:sz w:val="32"/>
          <w:szCs w:val="32"/>
        </w:rPr>
        <w:t>18.48万</w:t>
      </w:r>
      <w:r>
        <w:rPr>
          <w:rFonts w:ascii="Times New Roman" w:hAnsi="Times New Roman" w:eastAsia="方正仿宋_GBK"/>
          <w:sz w:val="32"/>
          <w:szCs w:val="32"/>
          <w:lang w:val="zh-CN"/>
        </w:rPr>
        <w:t>元（免征，不计入水土保持投资）</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（三）效益分析方法基本正确，分析结果基本合理。</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八、水土保持管理</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方案中提出的组织管理、后续设计、水土保持监测、水土保持监理、水土保持施工、水土保持设施验收等保障措施和要求基本可行。</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九、评审结论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本水土保持方案符合《生产建设项目水土保持技术标准》( GB50433-2018 ) 的规定及相关要求，报告格式规范、内容完整，技术方案基本可行。同意该方案通过技术评审。</w:t>
      </w:r>
    </w:p>
    <w:p>
      <w:pPr>
        <w:spacing w:line="600" w:lineRule="exact"/>
        <w:ind w:firstLine="640" w:firstLineChars="200"/>
        <w:rPr>
          <w:rFonts w:ascii="Times New Roman" w:hAnsi="Times New Roman" w:eastAsia="方正仿宋_GBK"/>
          <w:sz w:val="32"/>
          <w:szCs w:val="32"/>
        </w:rPr>
      </w:pPr>
    </w:p>
    <w:p>
      <w:pPr>
        <w:spacing w:line="600" w:lineRule="exact"/>
        <w:ind w:firstLine="420" w:firstLineChars="200"/>
        <w:rPr>
          <w:rFonts w:ascii="Times New Roman" w:hAnsi="Times New Roman" w:eastAsia="方正仿宋_GBK"/>
          <w:sz w:val="32"/>
          <w:szCs w:val="32"/>
        </w:rPr>
      </w:pPr>
      <w:r>
        <w:rPr>
          <w:rFonts w:hint="eastAsia" w:eastAsia="宋体"/>
          <w:szCs w:val="21"/>
          <w:lang w:eastAsia="zh-CN"/>
        </w:rPr>
        <w:drawing>
          <wp:anchor distT="0" distB="0" distL="114300" distR="114300" simplePos="0" relativeHeight="251658240" behindDoc="0" locked="0" layoutInCell="1" allowOverlap="1">
            <wp:simplePos x="0" y="0"/>
            <wp:positionH relativeFrom="column">
              <wp:posOffset>4227195</wp:posOffset>
            </wp:positionH>
            <wp:positionV relativeFrom="paragraph">
              <wp:posOffset>25400</wp:posOffset>
            </wp:positionV>
            <wp:extent cx="663575" cy="403860"/>
            <wp:effectExtent l="0" t="0" r="3175" b="15240"/>
            <wp:wrapNone/>
            <wp:docPr id="1" name="图片 5" descr="微信图片_2025092323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微信图片_20250923231018"/>
                    <pic:cNvPicPr>
                      <a:picLocks noChangeAspect="1"/>
                    </pic:cNvPicPr>
                  </pic:nvPicPr>
                  <pic:blipFill>
                    <a:blip r:embed="rId4"/>
                    <a:stretch>
                      <a:fillRect/>
                    </a:stretch>
                  </pic:blipFill>
                  <pic:spPr>
                    <a:xfrm>
                      <a:off x="0" y="0"/>
                      <a:ext cx="663575" cy="403860"/>
                    </a:xfrm>
                    <a:prstGeom prst="rect">
                      <a:avLst/>
                    </a:prstGeom>
                    <a:noFill/>
                    <a:ln w="9525">
                      <a:noFill/>
                    </a:ln>
                  </pic:spPr>
                </pic:pic>
              </a:graphicData>
            </a:graphic>
          </wp:anchor>
        </w:drawing>
      </w:r>
      <w:r>
        <w:rPr>
          <w:rFonts w:ascii="Times New Roman" w:hAnsi="Times New Roman" w:eastAsia="方正仿宋_GBK"/>
          <w:sz w:val="32"/>
          <w:szCs w:val="32"/>
        </w:rPr>
        <w:t xml:space="preserve">                            专家组长：</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2025</w:t>
      </w:r>
      <w:r>
        <w:rPr>
          <w:rFonts w:ascii="Times New Roman" w:hAnsi="Times New Roman" w:eastAsia="方正仿宋_GBK"/>
          <w:sz w:val="32"/>
          <w:szCs w:val="32"/>
        </w:rPr>
        <w:t>年</w:t>
      </w:r>
      <w:r>
        <w:rPr>
          <w:rFonts w:hint="eastAsia" w:ascii="Times New Roman" w:hAnsi="Times New Roman" w:eastAsia="方正仿宋_GBK"/>
          <w:sz w:val="32"/>
          <w:szCs w:val="32"/>
        </w:rPr>
        <w:t>9</w:t>
      </w:r>
      <w:r>
        <w:rPr>
          <w:rFonts w:ascii="Times New Roman" w:hAnsi="Times New Roman" w:eastAsia="方正仿宋_GBK"/>
          <w:sz w:val="32"/>
          <w:szCs w:val="32"/>
        </w:rPr>
        <w:t>月</w:t>
      </w:r>
      <w:r>
        <w:rPr>
          <w:rFonts w:hint="eastAsia" w:ascii="Times New Roman" w:hAnsi="Times New Roman" w:eastAsia="方正仿宋_GBK"/>
          <w:sz w:val="32"/>
          <w:szCs w:val="32"/>
        </w:rPr>
        <w:t>19</w:t>
      </w:r>
      <w:r>
        <w:rPr>
          <w:rFonts w:ascii="Times New Roman" w:hAnsi="Times New Roman" w:eastAsia="方正仿宋_GBK"/>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5C4549"/>
    <w:multiLevelType w:val="singleLevel"/>
    <w:tmpl w:val="EB5C45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34594"/>
    <w:rsid w:val="07334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iPriority w:val="0"/>
    <w:pPr>
      <w:spacing w:after="120"/>
    </w:pPr>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2025-09-26T08:11:00Z</dcterms:created>
  <dc:creator>hp</dc:creator>
  <cp:lastModifiedBy>hp</cp:lastModifiedBy>
  <dcterms:modified xsi:type="dcterms:W3CDTF">2025-09-26T08:11:21Z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