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ectPr>
          <w:headerReference r:id="rId3" w:type="default"/>
          <w:footerReference r:id="rId4" w:type="default"/>
          <w:pgSz w:w="11906" w:h="16838"/>
          <w:pgMar w:top="1440" w:right="1020" w:bottom="1440" w:left="1020" w:header="851" w:footer="851" w:gutter="0"/>
          <w:pgNumType w:start="1"/>
          <w:cols w:space="720" w:num="1"/>
          <w:docGrid w:linePitch="312" w:charSpace="0"/>
        </w:sectPr>
      </w:pPr>
      <w:r>
        <w:drawing>
          <wp:inline distT="0" distB="0" distL="114300" distR="114300">
            <wp:extent cx="5984875" cy="8515985"/>
            <wp:effectExtent l="0" t="0" r="15875" b="1841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9"/>
                    <a:stretch>
                      <a:fillRect/>
                    </a:stretch>
                  </pic:blipFill>
                  <pic:spPr>
                    <a:xfrm>
                      <a:off x="0" y="0"/>
                      <a:ext cx="5984875" cy="8515985"/>
                    </a:xfrm>
                    <a:prstGeom prst="rect">
                      <a:avLst/>
                    </a:prstGeom>
                    <a:noFill/>
                    <a:ln>
                      <a:noFill/>
                    </a:ln>
                  </pic:spPr>
                </pic:pic>
              </a:graphicData>
            </a:graphic>
          </wp:inline>
        </w:drawing>
      </w:r>
    </w:p>
    <w:p>
      <w:pPr>
        <w:sectPr>
          <w:pgSz w:w="11906" w:h="16838"/>
          <w:pgMar w:top="1440" w:right="1020" w:bottom="1440" w:left="1020" w:header="851" w:footer="851" w:gutter="0"/>
          <w:pgNumType w:start="1"/>
          <w:cols w:space="720" w:num="1"/>
          <w:docGrid w:linePitch="312" w:charSpace="0"/>
        </w:sectPr>
      </w:pPr>
      <w:r>
        <w:drawing>
          <wp:inline distT="0" distB="0" distL="114300" distR="114300">
            <wp:extent cx="5873750" cy="8789035"/>
            <wp:effectExtent l="0" t="0" r="12700" b="1206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0"/>
                    <a:stretch>
                      <a:fillRect/>
                    </a:stretch>
                  </pic:blipFill>
                  <pic:spPr>
                    <a:xfrm>
                      <a:off x="0" y="0"/>
                      <a:ext cx="5873750" cy="8789035"/>
                    </a:xfrm>
                    <a:prstGeom prst="rect">
                      <a:avLst/>
                    </a:prstGeom>
                    <a:noFill/>
                    <a:ln>
                      <a:noFill/>
                    </a:ln>
                  </pic:spPr>
                </pic:pic>
              </a:graphicData>
            </a:graphic>
          </wp:inline>
        </w:drawing>
      </w:r>
    </w:p>
    <w:p>
      <w:pPr>
        <w:pStyle w:val="2"/>
        <w:sectPr>
          <w:pgSz w:w="11906" w:h="16838"/>
          <w:pgMar w:top="1440" w:right="1020" w:bottom="1440" w:left="1020" w:header="851" w:footer="851" w:gutter="0"/>
          <w:pgNumType w:start="1"/>
          <w:cols w:space="720" w:num="1"/>
          <w:docGrid w:linePitch="312" w:charSpace="0"/>
        </w:sectPr>
      </w:pPr>
      <w:r>
        <w:drawing>
          <wp:inline distT="0" distB="0" distL="114300" distR="114300">
            <wp:extent cx="6264275" cy="7185660"/>
            <wp:effectExtent l="0" t="0" r="3175" b="1524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1"/>
                    <a:stretch>
                      <a:fillRect/>
                    </a:stretch>
                  </pic:blipFill>
                  <pic:spPr>
                    <a:xfrm>
                      <a:off x="0" y="0"/>
                      <a:ext cx="6264275" cy="7185660"/>
                    </a:xfrm>
                    <a:prstGeom prst="rect">
                      <a:avLst/>
                    </a:prstGeom>
                    <a:noFill/>
                    <a:ln>
                      <a:noFill/>
                    </a:ln>
                  </pic:spPr>
                </pic:pic>
              </a:graphicData>
            </a:graphic>
          </wp:inline>
        </w:drawing>
      </w:r>
    </w:p>
    <w:p>
      <w:pPr>
        <w:pStyle w:val="4"/>
        <w:sectPr>
          <w:pgSz w:w="11906" w:h="16838"/>
          <w:pgMar w:top="1440" w:right="1020" w:bottom="1440" w:left="1020" w:header="851" w:footer="851" w:gutter="0"/>
          <w:pgNumType w:start="1"/>
          <w:cols w:space="720" w:num="1"/>
          <w:docGrid w:linePitch="312" w:charSpace="0"/>
        </w:sectPr>
      </w:pPr>
      <w:r>
        <w:drawing>
          <wp:inline distT="0" distB="0" distL="114300" distR="114300">
            <wp:extent cx="5391150" cy="5299075"/>
            <wp:effectExtent l="0" t="0" r="0" b="15875"/>
            <wp:docPr id="5" name="图片 8" descr="C:\Users\User\Desktop\捕获.JPG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C:\Users\User\Desktop\捕获.JPG捕获"/>
                    <pic:cNvPicPr>
                      <a:picLocks noChangeAspect="1"/>
                    </pic:cNvPicPr>
                  </pic:nvPicPr>
                  <pic:blipFill>
                    <a:blip r:embed="rId12"/>
                    <a:srcRect/>
                    <a:stretch>
                      <a:fillRect/>
                    </a:stretch>
                  </pic:blipFill>
                  <pic:spPr>
                    <a:xfrm>
                      <a:off x="0" y="0"/>
                      <a:ext cx="5391150" cy="5299075"/>
                    </a:xfrm>
                    <a:prstGeom prst="rect">
                      <a:avLst/>
                    </a:prstGeom>
                    <a:noFill/>
                    <a:ln>
                      <a:noFill/>
                    </a:ln>
                  </pic:spPr>
                </pic:pic>
              </a:graphicData>
            </a:graphic>
          </wp:inline>
        </w:drawing>
      </w:r>
    </w:p>
    <w:p>
      <w:pPr>
        <w:pStyle w:val="2"/>
        <w:sectPr>
          <w:pgSz w:w="11906" w:h="16838"/>
          <w:pgMar w:top="1440" w:right="1020" w:bottom="1440" w:left="1020" w:header="851" w:footer="851" w:gutter="0"/>
          <w:pgNumType w:start="1"/>
          <w:cols w:space="720" w:num="1"/>
          <w:docGrid w:linePitch="312" w:charSpace="0"/>
        </w:sectPr>
      </w:pPr>
      <w:bookmarkStart w:id="9" w:name="_GoBack"/>
      <w:r>
        <w:drawing>
          <wp:inline distT="0" distB="0" distL="114300" distR="114300">
            <wp:extent cx="5735955" cy="8284210"/>
            <wp:effectExtent l="0" t="0" r="17145" b="254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3"/>
                    <a:stretch>
                      <a:fillRect/>
                    </a:stretch>
                  </pic:blipFill>
                  <pic:spPr>
                    <a:xfrm>
                      <a:off x="0" y="0"/>
                      <a:ext cx="5735955" cy="8284210"/>
                    </a:xfrm>
                    <a:prstGeom prst="rect">
                      <a:avLst/>
                    </a:prstGeom>
                    <a:noFill/>
                    <a:ln>
                      <a:noFill/>
                    </a:ln>
                  </pic:spPr>
                </pic:pic>
              </a:graphicData>
            </a:graphic>
          </wp:inline>
        </w:drawing>
      </w:r>
      <w:bookmarkEnd w:id="9"/>
    </w:p>
    <w:p>
      <w:pPr>
        <w:pStyle w:val="5"/>
        <w:rPr>
          <w:rFonts w:eastAsia="宋体"/>
          <w:snapToGrid w:val="0"/>
          <w:color w:val="auto"/>
        </w:rPr>
      </w:pPr>
      <w:r>
        <w:rPr>
          <w:rFonts w:eastAsia="宋体"/>
          <w:snapToGrid w:val="0"/>
          <w:color w:val="auto"/>
        </w:rPr>
        <w:t>一、建设项目基本情况</w:t>
      </w:r>
    </w:p>
    <w:tbl>
      <w:tblPr>
        <w:tblStyle w:val="40"/>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7"/>
        <w:gridCol w:w="1435"/>
        <w:gridCol w:w="2458"/>
        <w:gridCol w:w="1870"/>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162" w:type="dxa"/>
            <w:gridSpan w:val="2"/>
            <w:tcMar>
              <w:top w:w="16" w:type="dxa"/>
              <w:left w:w="16" w:type="dxa"/>
              <w:right w:w="16" w:type="dxa"/>
            </w:tcMar>
            <w:vAlign w:val="center"/>
          </w:tcPr>
          <w:p>
            <w:pPr>
              <w:spacing w:line="240" w:lineRule="auto"/>
              <w:ind w:firstLine="0" w:firstLineChars="0"/>
              <w:jc w:val="center"/>
              <w:rPr>
                <w:color w:val="auto"/>
              </w:rPr>
            </w:pPr>
            <w:r>
              <w:rPr>
                <w:color w:val="auto"/>
              </w:rPr>
              <w:t>建设项目名称</w:t>
            </w:r>
          </w:p>
        </w:tc>
        <w:tc>
          <w:tcPr>
            <w:tcW w:w="7725" w:type="dxa"/>
            <w:gridSpan w:val="3"/>
            <w:vAlign w:val="center"/>
          </w:tcPr>
          <w:p>
            <w:pPr>
              <w:spacing w:line="240" w:lineRule="auto"/>
              <w:ind w:firstLine="0" w:firstLineChars="0"/>
              <w:jc w:val="center"/>
              <w:rPr>
                <w:color w:val="auto"/>
                <w:sz w:val="32"/>
                <w:u w:val="single"/>
              </w:rPr>
            </w:pPr>
            <w:r>
              <w:rPr>
                <w:rFonts w:hint="eastAsia"/>
                <w:color w:val="auto"/>
              </w:rPr>
              <w:t>侏罗纪动物医院迅猛龙分院项目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162" w:type="dxa"/>
            <w:gridSpan w:val="2"/>
            <w:tcMar>
              <w:top w:w="16" w:type="dxa"/>
              <w:left w:w="16" w:type="dxa"/>
              <w:right w:w="16" w:type="dxa"/>
            </w:tcMar>
            <w:vAlign w:val="center"/>
          </w:tcPr>
          <w:p>
            <w:pPr>
              <w:spacing w:line="240" w:lineRule="auto"/>
              <w:ind w:firstLine="0" w:firstLineChars="0"/>
              <w:jc w:val="center"/>
              <w:rPr>
                <w:color w:val="auto"/>
              </w:rPr>
            </w:pPr>
            <w:r>
              <w:rPr>
                <w:color w:val="auto"/>
              </w:rPr>
              <w:t>项目代码</w:t>
            </w:r>
          </w:p>
        </w:tc>
        <w:tc>
          <w:tcPr>
            <w:tcW w:w="7725" w:type="dxa"/>
            <w:gridSpan w:val="3"/>
            <w:vAlign w:val="center"/>
          </w:tcPr>
          <w:p>
            <w:pPr>
              <w:spacing w:line="240" w:lineRule="auto"/>
              <w:ind w:firstLine="0" w:firstLineChars="0"/>
              <w:jc w:val="center"/>
              <w:rPr>
                <w:color w:val="auto"/>
              </w:rPr>
            </w:pPr>
            <w:r>
              <w:rPr>
                <w:color w:val="auto"/>
                <w:sz w:val="22"/>
                <w:szCs w:val="22"/>
              </w:rPr>
              <w:t>2501-500105-04-01-606331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162" w:type="dxa"/>
            <w:gridSpan w:val="2"/>
            <w:tcMar>
              <w:top w:w="16" w:type="dxa"/>
              <w:left w:w="16" w:type="dxa"/>
              <w:right w:w="16" w:type="dxa"/>
            </w:tcMar>
            <w:vAlign w:val="center"/>
          </w:tcPr>
          <w:p>
            <w:pPr>
              <w:spacing w:line="240" w:lineRule="auto"/>
              <w:ind w:firstLine="0" w:firstLineChars="0"/>
              <w:jc w:val="center"/>
              <w:rPr>
                <w:color w:val="auto"/>
              </w:rPr>
            </w:pPr>
            <w:r>
              <w:rPr>
                <w:color w:val="auto"/>
              </w:rPr>
              <w:t>建设单位联系人</w:t>
            </w:r>
          </w:p>
        </w:tc>
        <w:tc>
          <w:tcPr>
            <w:tcW w:w="2458" w:type="dxa"/>
            <w:vAlign w:val="center"/>
          </w:tcPr>
          <w:p>
            <w:pPr>
              <w:spacing w:line="240" w:lineRule="auto"/>
              <w:ind w:firstLine="0" w:firstLineChars="0"/>
              <w:jc w:val="center"/>
              <w:rPr>
                <w:rFonts w:hint="default" w:eastAsia="宋体"/>
                <w:color w:val="auto"/>
                <w:lang w:val="en-US" w:eastAsia="zh-CN"/>
              </w:rPr>
            </w:pPr>
            <w:r>
              <w:rPr>
                <w:rFonts w:hint="eastAsia"/>
                <w:color w:val="auto"/>
              </w:rPr>
              <w:t>邓</w:t>
            </w:r>
            <w:r>
              <w:rPr>
                <w:rFonts w:hint="eastAsia"/>
                <w:color w:val="auto"/>
                <w:lang w:val="en-US" w:eastAsia="zh-CN"/>
              </w:rPr>
              <w:t>**</w:t>
            </w:r>
          </w:p>
        </w:tc>
        <w:tc>
          <w:tcPr>
            <w:tcW w:w="1870" w:type="dxa"/>
            <w:vAlign w:val="center"/>
          </w:tcPr>
          <w:p>
            <w:pPr>
              <w:spacing w:line="240" w:lineRule="auto"/>
              <w:ind w:firstLine="0" w:firstLineChars="0"/>
              <w:jc w:val="center"/>
              <w:rPr>
                <w:color w:val="auto"/>
              </w:rPr>
            </w:pPr>
            <w:r>
              <w:rPr>
                <w:color w:val="auto"/>
              </w:rPr>
              <w:t>联系方式</w:t>
            </w:r>
          </w:p>
        </w:tc>
        <w:tc>
          <w:tcPr>
            <w:tcW w:w="3397" w:type="dxa"/>
            <w:vAlign w:val="center"/>
          </w:tcPr>
          <w:p>
            <w:pPr>
              <w:spacing w:line="240" w:lineRule="auto"/>
              <w:ind w:firstLine="0" w:firstLineChars="0"/>
              <w:jc w:val="center"/>
              <w:rPr>
                <w:rFonts w:hint="eastAsia" w:eastAsia="宋体"/>
                <w:color w:val="auto"/>
                <w:lang w:eastAsia="zh-CN"/>
              </w:rPr>
            </w:pPr>
            <w:r>
              <w:rPr>
                <w:color w:val="auto"/>
              </w:rPr>
              <w:t>15</w:t>
            </w:r>
            <w:r>
              <w:rPr>
                <w:rFonts w:hint="eastAsia"/>
                <w:color w:val="auto"/>
                <w:lang w:val="en-US" w:eastAsia="zh-CN"/>
              </w:rPr>
              <w:t>*******</w:t>
            </w:r>
            <w:r>
              <w:rPr>
                <w:color w:val="auto"/>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162" w:type="dxa"/>
            <w:gridSpan w:val="2"/>
            <w:tcMar>
              <w:top w:w="16" w:type="dxa"/>
              <w:left w:w="16" w:type="dxa"/>
              <w:right w:w="16" w:type="dxa"/>
            </w:tcMar>
            <w:vAlign w:val="center"/>
          </w:tcPr>
          <w:p>
            <w:pPr>
              <w:spacing w:line="240" w:lineRule="auto"/>
              <w:ind w:firstLine="0" w:firstLineChars="0"/>
              <w:jc w:val="center"/>
              <w:rPr>
                <w:color w:val="auto"/>
              </w:rPr>
            </w:pPr>
            <w:r>
              <w:rPr>
                <w:color w:val="auto"/>
              </w:rPr>
              <w:t>建设地点</w:t>
            </w:r>
          </w:p>
        </w:tc>
        <w:tc>
          <w:tcPr>
            <w:tcW w:w="7725" w:type="dxa"/>
            <w:gridSpan w:val="3"/>
            <w:vAlign w:val="center"/>
          </w:tcPr>
          <w:p>
            <w:pPr>
              <w:spacing w:line="240" w:lineRule="auto"/>
              <w:ind w:firstLine="0" w:firstLineChars="0"/>
              <w:jc w:val="center"/>
              <w:rPr>
                <w:rFonts w:hint="default" w:eastAsia="宋体"/>
                <w:color w:val="auto"/>
                <w:lang w:val="en-US" w:eastAsia="zh-CN"/>
              </w:rPr>
            </w:pPr>
            <w:r>
              <w:rPr>
                <w:rFonts w:hint="eastAsia"/>
                <w:color w:val="auto"/>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162" w:type="dxa"/>
            <w:gridSpan w:val="2"/>
            <w:tcMar>
              <w:top w:w="16" w:type="dxa"/>
              <w:left w:w="16" w:type="dxa"/>
              <w:right w:w="16" w:type="dxa"/>
            </w:tcMar>
            <w:vAlign w:val="center"/>
          </w:tcPr>
          <w:p>
            <w:pPr>
              <w:spacing w:line="240" w:lineRule="auto"/>
              <w:ind w:firstLine="0" w:firstLineChars="0"/>
              <w:jc w:val="center"/>
              <w:rPr>
                <w:color w:val="auto"/>
              </w:rPr>
            </w:pPr>
            <w:r>
              <w:rPr>
                <w:color w:val="auto"/>
              </w:rPr>
              <w:t>地理坐标</w:t>
            </w:r>
          </w:p>
        </w:tc>
        <w:tc>
          <w:tcPr>
            <w:tcW w:w="7725" w:type="dxa"/>
            <w:gridSpan w:val="3"/>
            <w:vAlign w:val="center"/>
          </w:tcPr>
          <w:p>
            <w:pPr>
              <w:spacing w:line="240" w:lineRule="auto"/>
              <w:ind w:firstLine="0" w:firstLineChars="0"/>
              <w:jc w:val="center"/>
              <w:rPr>
                <w:rFonts w:hint="default" w:eastAsia="宋体"/>
                <w:color w:val="auto"/>
                <w:lang w:val="en-US"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162" w:type="dxa"/>
            <w:gridSpan w:val="2"/>
            <w:tcMar>
              <w:top w:w="16" w:type="dxa"/>
              <w:left w:w="16" w:type="dxa"/>
              <w:right w:w="16" w:type="dxa"/>
            </w:tcMar>
            <w:vAlign w:val="center"/>
          </w:tcPr>
          <w:p>
            <w:pPr>
              <w:spacing w:line="240" w:lineRule="auto"/>
              <w:ind w:firstLine="0" w:firstLineChars="0"/>
              <w:jc w:val="center"/>
              <w:rPr>
                <w:color w:val="auto"/>
              </w:rPr>
            </w:pPr>
            <w:r>
              <w:rPr>
                <w:color w:val="auto"/>
              </w:rPr>
              <w:t>国民经济</w:t>
            </w:r>
          </w:p>
          <w:p>
            <w:pPr>
              <w:spacing w:line="240" w:lineRule="auto"/>
              <w:ind w:firstLine="0" w:firstLineChars="0"/>
              <w:jc w:val="center"/>
              <w:rPr>
                <w:color w:val="auto"/>
              </w:rPr>
            </w:pPr>
            <w:r>
              <w:rPr>
                <w:color w:val="auto"/>
              </w:rPr>
              <w:t>行业类别</w:t>
            </w:r>
          </w:p>
        </w:tc>
        <w:tc>
          <w:tcPr>
            <w:tcW w:w="2458" w:type="dxa"/>
            <w:vAlign w:val="center"/>
          </w:tcPr>
          <w:p>
            <w:pPr>
              <w:spacing w:line="240" w:lineRule="auto"/>
              <w:ind w:firstLine="0" w:firstLineChars="0"/>
              <w:jc w:val="center"/>
              <w:rPr>
                <w:color w:val="auto"/>
              </w:rPr>
            </w:pPr>
            <w:r>
              <w:rPr>
                <w:color w:val="auto"/>
              </w:rPr>
              <w:t>O822 宠物服务</w:t>
            </w:r>
          </w:p>
        </w:tc>
        <w:tc>
          <w:tcPr>
            <w:tcW w:w="1870" w:type="dxa"/>
            <w:vAlign w:val="center"/>
          </w:tcPr>
          <w:p>
            <w:pPr>
              <w:spacing w:line="240" w:lineRule="auto"/>
              <w:ind w:firstLine="0" w:firstLineChars="0"/>
              <w:jc w:val="center"/>
              <w:rPr>
                <w:color w:val="auto"/>
              </w:rPr>
            </w:pPr>
            <w:bookmarkStart w:id="0" w:name="_Hlk49843745"/>
            <w:r>
              <w:rPr>
                <w:color w:val="auto"/>
              </w:rPr>
              <w:t>建设项目行业类别</w:t>
            </w:r>
            <w:bookmarkEnd w:id="0"/>
          </w:p>
        </w:tc>
        <w:tc>
          <w:tcPr>
            <w:tcW w:w="3397" w:type="dxa"/>
            <w:vAlign w:val="center"/>
          </w:tcPr>
          <w:p>
            <w:pPr>
              <w:spacing w:line="240" w:lineRule="auto"/>
              <w:ind w:firstLine="0" w:firstLineChars="0"/>
              <w:rPr>
                <w:color w:val="auto"/>
              </w:rPr>
            </w:pPr>
            <w:r>
              <w:rPr>
                <w:color w:val="auto"/>
              </w:rPr>
              <w:t>五十、社会事业与服务业，123动物医院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162" w:type="dxa"/>
            <w:gridSpan w:val="2"/>
            <w:tcMar>
              <w:top w:w="16" w:type="dxa"/>
              <w:left w:w="16" w:type="dxa"/>
              <w:right w:w="16" w:type="dxa"/>
            </w:tcMar>
            <w:vAlign w:val="center"/>
          </w:tcPr>
          <w:p>
            <w:pPr>
              <w:spacing w:line="240" w:lineRule="auto"/>
              <w:ind w:firstLine="0" w:firstLineChars="0"/>
              <w:jc w:val="center"/>
              <w:rPr>
                <w:color w:val="auto"/>
              </w:rPr>
            </w:pPr>
            <w:r>
              <w:rPr>
                <w:color w:val="auto"/>
              </w:rPr>
              <w:t>建设性质</w:t>
            </w:r>
          </w:p>
        </w:tc>
        <w:tc>
          <w:tcPr>
            <w:tcW w:w="2458" w:type="dxa"/>
            <w:vAlign w:val="center"/>
          </w:tcPr>
          <w:p>
            <w:pPr>
              <w:spacing w:line="240" w:lineRule="auto"/>
              <w:ind w:firstLine="0" w:firstLineChars="0"/>
              <w:rPr>
                <w:color w:val="auto"/>
              </w:rPr>
            </w:pPr>
            <w:r>
              <w:rPr>
                <w:color w:val="auto"/>
              </w:rPr>
              <w:t>□新建（迁建）</w:t>
            </w:r>
          </w:p>
          <w:p>
            <w:pPr>
              <w:spacing w:line="240" w:lineRule="auto"/>
              <w:ind w:firstLine="0" w:firstLineChars="0"/>
              <w:rPr>
                <w:color w:val="auto"/>
              </w:rPr>
            </w:pPr>
            <w:r>
              <w:rPr>
                <w:color w:val="auto"/>
              </w:rPr>
              <w:t>□改建</w:t>
            </w:r>
          </w:p>
          <w:p>
            <w:pPr>
              <w:spacing w:line="240" w:lineRule="auto"/>
              <w:ind w:firstLine="0" w:firstLineChars="0"/>
              <w:rPr>
                <w:color w:val="auto"/>
              </w:rPr>
            </w:pPr>
            <w:r>
              <w:rPr>
                <w:color w:val="auto"/>
              </w:rPr>
              <w:t>■扩建</w:t>
            </w:r>
          </w:p>
          <w:p>
            <w:pPr>
              <w:spacing w:line="240" w:lineRule="auto"/>
              <w:ind w:firstLine="0" w:firstLineChars="0"/>
              <w:rPr>
                <w:color w:val="auto"/>
              </w:rPr>
            </w:pPr>
            <w:r>
              <w:rPr>
                <w:color w:val="auto"/>
              </w:rPr>
              <w:t>□技术改造</w:t>
            </w:r>
          </w:p>
        </w:tc>
        <w:tc>
          <w:tcPr>
            <w:tcW w:w="1870" w:type="dxa"/>
            <w:vAlign w:val="center"/>
          </w:tcPr>
          <w:p>
            <w:pPr>
              <w:spacing w:line="240" w:lineRule="auto"/>
              <w:ind w:firstLine="0" w:firstLineChars="0"/>
              <w:jc w:val="center"/>
              <w:rPr>
                <w:color w:val="auto"/>
              </w:rPr>
            </w:pPr>
            <w:r>
              <w:rPr>
                <w:color w:val="auto"/>
              </w:rPr>
              <w:t>建设项目</w:t>
            </w:r>
          </w:p>
          <w:p>
            <w:pPr>
              <w:spacing w:line="240" w:lineRule="auto"/>
              <w:ind w:firstLine="0" w:firstLineChars="0"/>
              <w:jc w:val="center"/>
              <w:rPr>
                <w:color w:val="auto"/>
              </w:rPr>
            </w:pPr>
            <w:r>
              <w:rPr>
                <w:color w:val="auto"/>
              </w:rPr>
              <w:t>申报情形</w:t>
            </w:r>
          </w:p>
        </w:tc>
        <w:tc>
          <w:tcPr>
            <w:tcW w:w="3397" w:type="dxa"/>
            <w:vAlign w:val="center"/>
          </w:tcPr>
          <w:p>
            <w:pPr>
              <w:spacing w:line="240" w:lineRule="auto"/>
              <w:ind w:firstLine="0" w:firstLineChars="0"/>
              <w:rPr>
                <w:color w:val="auto"/>
              </w:rPr>
            </w:pPr>
            <w:r>
              <w:rPr>
                <w:color w:val="auto"/>
              </w:rPr>
              <w:t>■首次申报项目</w:t>
            </w:r>
          </w:p>
          <w:p>
            <w:pPr>
              <w:spacing w:line="240" w:lineRule="auto"/>
              <w:ind w:firstLine="0" w:firstLineChars="0"/>
              <w:rPr>
                <w:color w:val="auto"/>
              </w:rPr>
            </w:pPr>
            <w:r>
              <w:rPr>
                <w:color w:val="auto"/>
              </w:rPr>
              <w:t>□不予批准后再次申报项目</w:t>
            </w:r>
          </w:p>
          <w:p>
            <w:pPr>
              <w:spacing w:line="240" w:lineRule="auto"/>
              <w:ind w:firstLine="0" w:firstLineChars="0"/>
              <w:rPr>
                <w:color w:val="auto"/>
              </w:rPr>
            </w:pPr>
            <w:r>
              <w:rPr>
                <w:color w:val="auto"/>
              </w:rPr>
              <w:t>□超五年重新审核项目</w:t>
            </w:r>
          </w:p>
          <w:p>
            <w:pPr>
              <w:spacing w:line="240" w:lineRule="auto"/>
              <w:ind w:firstLine="0" w:firstLineChars="0"/>
              <w:rPr>
                <w:color w:val="auto"/>
              </w:rPr>
            </w:pPr>
            <w:r>
              <w:rPr>
                <w:color w:val="auto"/>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162" w:type="dxa"/>
            <w:gridSpan w:val="2"/>
            <w:tcMar>
              <w:top w:w="16" w:type="dxa"/>
              <w:left w:w="16" w:type="dxa"/>
              <w:right w:w="16" w:type="dxa"/>
            </w:tcMar>
            <w:vAlign w:val="center"/>
          </w:tcPr>
          <w:p>
            <w:pPr>
              <w:spacing w:line="240" w:lineRule="auto"/>
              <w:ind w:firstLine="0" w:firstLineChars="0"/>
              <w:jc w:val="center"/>
              <w:rPr>
                <w:color w:val="auto"/>
              </w:rPr>
            </w:pPr>
            <w:r>
              <w:rPr>
                <w:color w:val="auto"/>
              </w:rPr>
              <w:t>项目审批（核准/备案）部门（选填）</w:t>
            </w:r>
          </w:p>
        </w:tc>
        <w:tc>
          <w:tcPr>
            <w:tcW w:w="2458" w:type="dxa"/>
            <w:vAlign w:val="center"/>
          </w:tcPr>
          <w:p>
            <w:pPr>
              <w:spacing w:line="240" w:lineRule="auto"/>
              <w:ind w:firstLine="0" w:firstLineChars="0"/>
              <w:jc w:val="center"/>
              <w:rPr>
                <w:rFonts w:hint="default" w:eastAsia="宋体"/>
                <w:color w:val="auto"/>
                <w:lang w:val="en-US" w:eastAsia="zh-CN"/>
              </w:rPr>
            </w:pPr>
            <w:r>
              <w:rPr>
                <w:rFonts w:hint="eastAsia"/>
                <w:color w:val="auto"/>
                <w:lang w:val="en-US" w:eastAsia="zh-CN"/>
              </w:rPr>
              <w:t>重庆市江北区发展和改革委员会</w:t>
            </w:r>
          </w:p>
        </w:tc>
        <w:tc>
          <w:tcPr>
            <w:tcW w:w="1870" w:type="dxa"/>
            <w:vAlign w:val="center"/>
          </w:tcPr>
          <w:p>
            <w:pPr>
              <w:spacing w:line="240" w:lineRule="auto"/>
              <w:ind w:firstLine="0" w:firstLineChars="0"/>
              <w:jc w:val="center"/>
              <w:rPr>
                <w:color w:val="auto"/>
              </w:rPr>
            </w:pPr>
            <w:r>
              <w:rPr>
                <w:color w:val="auto"/>
              </w:rPr>
              <w:t>项目审批（核准/备案）文号（选填）</w:t>
            </w:r>
          </w:p>
        </w:tc>
        <w:tc>
          <w:tcPr>
            <w:tcW w:w="3397" w:type="dxa"/>
            <w:vAlign w:val="center"/>
          </w:tcPr>
          <w:p>
            <w:pPr>
              <w:spacing w:line="240" w:lineRule="auto"/>
              <w:ind w:firstLine="0" w:firstLineChars="0"/>
              <w:jc w:val="center"/>
              <w:rPr>
                <w:color w:val="auto"/>
              </w:rPr>
            </w:pPr>
            <w:r>
              <w:rPr>
                <w:color w:val="auto"/>
                <w:sz w:val="22"/>
                <w:szCs w:val="22"/>
              </w:rPr>
              <w:t>2501-500105-04-01-606331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162" w:type="dxa"/>
            <w:gridSpan w:val="2"/>
            <w:tcMar>
              <w:top w:w="16" w:type="dxa"/>
              <w:left w:w="16" w:type="dxa"/>
              <w:right w:w="16" w:type="dxa"/>
            </w:tcMar>
            <w:vAlign w:val="center"/>
          </w:tcPr>
          <w:p>
            <w:pPr>
              <w:spacing w:line="240" w:lineRule="auto"/>
              <w:ind w:firstLine="0" w:firstLineChars="0"/>
              <w:jc w:val="center"/>
              <w:rPr>
                <w:color w:val="auto"/>
              </w:rPr>
            </w:pPr>
            <w:r>
              <w:rPr>
                <w:color w:val="auto"/>
              </w:rPr>
              <w:t>总投资（万元）</w:t>
            </w:r>
          </w:p>
        </w:tc>
        <w:tc>
          <w:tcPr>
            <w:tcW w:w="2458" w:type="dxa"/>
            <w:vAlign w:val="center"/>
          </w:tcPr>
          <w:p>
            <w:pPr>
              <w:spacing w:line="240" w:lineRule="auto"/>
              <w:ind w:firstLine="0" w:firstLineChars="0"/>
              <w:jc w:val="center"/>
              <w:rPr>
                <w:color w:val="auto"/>
              </w:rPr>
            </w:pPr>
            <w:r>
              <w:rPr>
                <w:color w:val="auto"/>
              </w:rPr>
              <w:t>10</w:t>
            </w:r>
          </w:p>
        </w:tc>
        <w:tc>
          <w:tcPr>
            <w:tcW w:w="1870" w:type="dxa"/>
            <w:tcMar>
              <w:top w:w="16" w:type="dxa"/>
              <w:left w:w="16" w:type="dxa"/>
              <w:right w:w="16" w:type="dxa"/>
            </w:tcMar>
            <w:vAlign w:val="center"/>
          </w:tcPr>
          <w:p>
            <w:pPr>
              <w:spacing w:line="240" w:lineRule="auto"/>
              <w:ind w:firstLine="0" w:firstLineChars="0"/>
              <w:jc w:val="center"/>
              <w:rPr>
                <w:color w:val="auto"/>
              </w:rPr>
            </w:pPr>
            <w:r>
              <w:rPr>
                <w:color w:val="auto"/>
              </w:rPr>
              <w:t>环保投资（万元）</w:t>
            </w:r>
          </w:p>
        </w:tc>
        <w:tc>
          <w:tcPr>
            <w:tcW w:w="3397" w:type="dxa"/>
            <w:vAlign w:val="center"/>
          </w:tcPr>
          <w:p>
            <w:pPr>
              <w:spacing w:line="240" w:lineRule="auto"/>
              <w:ind w:firstLine="0" w:firstLineChars="0"/>
              <w:jc w:val="center"/>
              <w:rPr>
                <w:color w:val="auto"/>
              </w:rPr>
            </w:pPr>
            <w:r>
              <w:rPr>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162" w:type="dxa"/>
            <w:gridSpan w:val="2"/>
            <w:tcMar>
              <w:top w:w="16" w:type="dxa"/>
              <w:left w:w="16" w:type="dxa"/>
              <w:right w:w="16" w:type="dxa"/>
            </w:tcMar>
            <w:vAlign w:val="center"/>
          </w:tcPr>
          <w:p>
            <w:pPr>
              <w:spacing w:line="240" w:lineRule="auto"/>
              <w:ind w:firstLine="0" w:firstLineChars="0"/>
              <w:jc w:val="center"/>
              <w:rPr>
                <w:color w:val="auto"/>
              </w:rPr>
            </w:pPr>
            <w:r>
              <w:rPr>
                <w:color w:val="auto"/>
              </w:rPr>
              <w:t>环保投资占比（%）</w:t>
            </w:r>
          </w:p>
        </w:tc>
        <w:tc>
          <w:tcPr>
            <w:tcW w:w="2458" w:type="dxa"/>
            <w:vAlign w:val="center"/>
          </w:tcPr>
          <w:p>
            <w:pPr>
              <w:spacing w:line="240" w:lineRule="auto"/>
              <w:ind w:firstLine="0" w:firstLineChars="0"/>
              <w:jc w:val="center"/>
              <w:rPr>
                <w:color w:val="auto"/>
              </w:rPr>
            </w:pPr>
            <w:r>
              <w:rPr>
                <w:color w:val="auto"/>
              </w:rPr>
              <w:t>20</w:t>
            </w:r>
          </w:p>
        </w:tc>
        <w:tc>
          <w:tcPr>
            <w:tcW w:w="1870" w:type="dxa"/>
            <w:tcMar>
              <w:top w:w="16" w:type="dxa"/>
              <w:left w:w="16" w:type="dxa"/>
              <w:right w:w="16" w:type="dxa"/>
            </w:tcMar>
            <w:vAlign w:val="center"/>
          </w:tcPr>
          <w:p>
            <w:pPr>
              <w:spacing w:line="240" w:lineRule="auto"/>
              <w:ind w:firstLine="0" w:firstLineChars="0"/>
              <w:jc w:val="center"/>
              <w:rPr>
                <w:color w:val="auto"/>
              </w:rPr>
            </w:pPr>
            <w:r>
              <w:rPr>
                <w:color w:val="auto"/>
              </w:rPr>
              <w:t>施工工期</w:t>
            </w:r>
          </w:p>
        </w:tc>
        <w:tc>
          <w:tcPr>
            <w:tcW w:w="3397" w:type="dxa"/>
            <w:vAlign w:val="center"/>
          </w:tcPr>
          <w:p>
            <w:pPr>
              <w:spacing w:line="240" w:lineRule="auto"/>
              <w:ind w:firstLine="0" w:firstLineChars="0"/>
              <w:jc w:val="center"/>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162" w:type="dxa"/>
            <w:gridSpan w:val="2"/>
            <w:tcMar>
              <w:top w:w="16" w:type="dxa"/>
              <w:left w:w="16" w:type="dxa"/>
              <w:right w:w="16" w:type="dxa"/>
            </w:tcMar>
            <w:vAlign w:val="center"/>
          </w:tcPr>
          <w:p>
            <w:pPr>
              <w:spacing w:line="240" w:lineRule="auto"/>
              <w:ind w:firstLine="0" w:firstLineChars="0"/>
              <w:jc w:val="center"/>
              <w:rPr>
                <w:color w:val="auto"/>
              </w:rPr>
            </w:pPr>
            <w:r>
              <w:rPr>
                <w:color w:val="auto"/>
              </w:rPr>
              <w:t>是否开工建设</w:t>
            </w:r>
          </w:p>
        </w:tc>
        <w:tc>
          <w:tcPr>
            <w:tcW w:w="2458" w:type="dxa"/>
            <w:vAlign w:val="center"/>
          </w:tcPr>
          <w:p>
            <w:pPr>
              <w:spacing w:line="240" w:lineRule="auto"/>
              <w:ind w:firstLine="0" w:firstLineChars="0"/>
              <w:jc w:val="left"/>
              <w:rPr>
                <w:color w:val="auto"/>
              </w:rPr>
            </w:pPr>
            <w:r>
              <w:rPr>
                <w:color w:val="auto"/>
              </w:rPr>
              <w:t>■否：</w:t>
            </w:r>
          </w:p>
          <w:p>
            <w:pPr>
              <w:spacing w:line="240" w:lineRule="auto"/>
              <w:ind w:firstLine="0" w:firstLineChars="0"/>
              <w:jc w:val="left"/>
              <w:rPr>
                <w:color w:val="auto"/>
              </w:rPr>
            </w:pPr>
            <w:r>
              <w:rPr>
                <w:color w:val="auto"/>
              </w:rPr>
              <w:sym w:font="Wingdings 2" w:char="00A3"/>
            </w:r>
            <w:r>
              <w:rPr>
                <w:color w:val="auto"/>
              </w:rPr>
              <w:t>是：</w:t>
            </w:r>
          </w:p>
        </w:tc>
        <w:tc>
          <w:tcPr>
            <w:tcW w:w="1870" w:type="dxa"/>
            <w:tcMar>
              <w:top w:w="16" w:type="dxa"/>
              <w:left w:w="16" w:type="dxa"/>
              <w:right w:w="16" w:type="dxa"/>
            </w:tcMar>
            <w:vAlign w:val="center"/>
          </w:tcPr>
          <w:p>
            <w:pPr>
              <w:spacing w:line="240" w:lineRule="auto"/>
              <w:ind w:firstLine="0" w:firstLineChars="0"/>
              <w:jc w:val="center"/>
              <w:rPr>
                <w:color w:val="auto"/>
              </w:rPr>
            </w:pPr>
            <w:r>
              <w:rPr>
                <w:color w:val="auto"/>
              </w:rPr>
              <w:t>用地（用海）面积（m</w:t>
            </w:r>
            <w:r>
              <w:rPr>
                <w:color w:val="auto"/>
                <w:vertAlign w:val="superscript"/>
              </w:rPr>
              <w:t>2</w:t>
            </w:r>
            <w:r>
              <w:rPr>
                <w:color w:val="auto"/>
              </w:rPr>
              <w:t>）</w:t>
            </w:r>
          </w:p>
        </w:tc>
        <w:tc>
          <w:tcPr>
            <w:tcW w:w="3397" w:type="dxa"/>
            <w:vAlign w:val="center"/>
          </w:tcPr>
          <w:p>
            <w:pPr>
              <w:spacing w:line="240" w:lineRule="auto"/>
              <w:ind w:firstLine="0" w:firstLineChars="0"/>
              <w:jc w:val="center"/>
              <w:rPr>
                <w:color w:val="auto"/>
              </w:rPr>
            </w:pPr>
            <w:r>
              <w:rPr>
                <w:rFonts w:hint="eastAsia"/>
                <w:color w:val="auto"/>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62" w:type="dxa"/>
            <w:gridSpan w:val="2"/>
            <w:vAlign w:val="center"/>
          </w:tcPr>
          <w:p>
            <w:pPr>
              <w:spacing w:line="240" w:lineRule="auto"/>
              <w:ind w:firstLine="0" w:firstLineChars="0"/>
              <w:jc w:val="center"/>
              <w:rPr>
                <w:color w:val="auto"/>
              </w:rPr>
            </w:pPr>
            <w:r>
              <w:rPr>
                <w:color w:val="auto"/>
              </w:rPr>
              <w:t>专项评价设置情况</w:t>
            </w:r>
          </w:p>
        </w:tc>
        <w:tc>
          <w:tcPr>
            <w:tcW w:w="7725" w:type="dxa"/>
            <w:gridSpan w:val="3"/>
            <w:vAlign w:val="center"/>
          </w:tcPr>
          <w:tbl>
            <w:tblPr>
              <w:tblStyle w:val="41"/>
              <w:tblW w:w="7477"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73"/>
              <w:gridCol w:w="3286"/>
              <w:gridCol w:w="331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59" w:hRule="atLeast"/>
              </w:trPr>
              <w:tc>
                <w:tcPr>
                  <w:tcW w:w="873" w:type="dxa"/>
                  <w:tcBorders>
                    <w:tl2br w:val="nil"/>
                    <w:tr2bl w:val="nil"/>
                  </w:tcBorders>
                  <w:vAlign w:val="center"/>
                </w:tcPr>
                <w:p>
                  <w:pPr>
                    <w:pStyle w:val="252"/>
                    <w:rPr>
                      <w:color w:val="auto"/>
                      <w:sz w:val="21"/>
                      <w:szCs w:val="21"/>
                    </w:rPr>
                  </w:pPr>
                  <w:r>
                    <w:rPr>
                      <w:rFonts w:hint="eastAsia"/>
                      <w:color w:val="auto"/>
                      <w:sz w:val="21"/>
                      <w:szCs w:val="21"/>
                    </w:rPr>
                    <w:t>专项</w:t>
                  </w:r>
                  <w:r>
                    <w:rPr>
                      <w:color w:val="auto"/>
                      <w:sz w:val="21"/>
                      <w:szCs w:val="21"/>
                    </w:rPr>
                    <w:t>评价类别</w:t>
                  </w:r>
                </w:p>
              </w:tc>
              <w:tc>
                <w:tcPr>
                  <w:tcW w:w="3286" w:type="dxa"/>
                  <w:tcBorders>
                    <w:tl2br w:val="nil"/>
                    <w:tr2bl w:val="nil"/>
                  </w:tcBorders>
                  <w:vAlign w:val="center"/>
                </w:tcPr>
                <w:p>
                  <w:pPr>
                    <w:pStyle w:val="252"/>
                    <w:jc w:val="center"/>
                    <w:rPr>
                      <w:color w:val="auto"/>
                      <w:sz w:val="21"/>
                      <w:szCs w:val="21"/>
                    </w:rPr>
                  </w:pPr>
                  <w:r>
                    <w:rPr>
                      <w:rFonts w:hint="eastAsia"/>
                      <w:color w:val="auto"/>
                      <w:sz w:val="21"/>
                      <w:szCs w:val="21"/>
                    </w:rPr>
                    <w:t>设置</w:t>
                  </w:r>
                  <w:r>
                    <w:rPr>
                      <w:color w:val="auto"/>
                      <w:sz w:val="21"/>
                      <w:szCs w:val="21"/>
                    </w:rPr>
                    <w:t>原则</w:t>
                  </w:r>
                </w:p>
              </w:tc>
              <w:tc>
                <w:tcPr>
                  <w:tcW w:w="3318" w:type="dxa"/>
                  <w:tcBorders>
                    <w:tl2br w:val="nil"/>
                    <w:tr2bl w:val="nil"/>
                  </w:tcBorders>
                  <w:vAlign w:val="center"/>
                </w:tcPr>
                <w:p>
                  <w:pPr>
                    <w:pStyle w:val="252"/>
                    <w:jc w:val="center"/>
                    <w:rPr>
                      <w:color w:val="auto"/>
                      <w:sz w:val="21"/>
                      <w:szCs w:val="21"/>
                    </w:rPr>
                  </w:pPr>
                  <w:r>
                    <w:rPr>
                      <w:rFonts w:hint="eastAsia"/>
                      <w:color w:val="auto"/>
                      <w:sz w:val="21"/>
                      <w:szCs w:val="21"/>
                    </w:rPr>
                    <w:t>本项目是否</w:t>
                  </w:r>
                  <w:r>
                    <w:rPr>
                      <w:color w:val="auto"/>
                      <w:sz w:val="21"/>
                      <w:szCs w:val="21"/>
                    </w:rPr>
                    <w:t>设置专项评价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06" w:hRule="atLeast"/>
              </w:trPr>
              <w:tc>
                <w:tcPr>
                  <w:tcW w:w="873" w:type="dxa"/>
                  <w:tcBorders>
                    <w:tl2br w:val="nil"/>
                    <w:tr2bl w:val="nil"/>
                  </w:tcBorders>
                  <w:vAlign w:val="center"/>
                </w:tcPr>
                <w:p>
                  <w:pPr>
                    <w:pStyle w:val="252"/>
                    <w:rPr>
                      <w:color w:val="auto"/>
                      <w:sz w:val="21"/>
                      <w:szCs w:val="21"/>
                    </w:rPr>
                  </w:pPr>
                  <w:r>
                    <w:rPr>
                      <w:rFonts w:hint="eastAsia"/>
                      <w:color w:val="auto"/>
                      <w:sz w:val="21"/>
                      <w:szCs w:val="21"/>
                    </w:rPr>
                    <w:t>大气</w:t>
                  </w:r>
                </w:p>
              </w:tc>
              <w:tc>
                <w:tcPr>
                  <w:tcW w:w="3286" w:type="dxa"/>
                  <w:tcBorders>
                    <w:tl2br w:val="nil"/>
                    <w:tr2bl w:val="nil"/>
                  </w:tcBorders>
                  <w:vAlign w:val="center"/>
                </w:tcPr>
                <w:p>
                  <w:pPr>
                    <w:pStyle w:val="252"/>
                    <w:rPr>
                      <w:color w:val="auto"/>
                      <w:sz w:val="21"/>
                      <w:szCs w:val="21"/>
                    </w:rPr>
                  </w:pPr>
                  <w:r>
                    <w:rPr>
                      <w:rFonts w:hint="eastAsia"/>
                      <w:color w:val="auto"/>
                      <w:sz w:val="21"/>
                      <w:szCs w:val="21"/>
                    </w:rPr>
                    <w:t>排放废气含有毒有害污染物</w:t>
                  </w:r>
                  <w:r>
                    <w:rPr>
                      <w:rFonts w:hint="eastAsia"/>
                      <w:color w:val="auto"/>
                      <w:sz w:val="21"/>
                      <w:szCs w:val="21"/>
                      <w:vertAlign w:val="superscript"/>
                    </w:rPr>
                    <w:t>1</w:t>
                  </w:r>
                  <w:r>
                    <w:rPr>
                      <w:rFonts w:hint="eastAsia"/>
                      <w:color w:val="auto"/>
                      <w:sz w:val="21"/>
                      <w:szCs w:val="21"/>
                    </w:rPr>
                    <w:t>、二噁英、苯并[a]芘、氰化物、氯气且厂界外500米范围内有环境空气保护目标</w:t>
                  </w:r>
                  <w:r>
                    <w:rPr>
                      <w:color w:val="auto"/>
                      <w:sz w:val="21"/>
                      <w:szCs w:val="21"/>
                      <w:vertAlign w:val="superscript"/>
                    </w:rPr>
                    <w:t>2</w:t>
                  </w:r>
                  <w:r>
                    <w:rPr>
                      <w:rFonts w:hint="eastAsia"/>
                      <w:color w:val="auto"/>
                      <w:sz w:val="21"/>
                      <w:szCs w:val="21"/>
                    </w:rPr>
                    <w:t>的建设项目；</w:t>
                  </w:r>
                </w:p>
              </w:tc>
              <w:tc>
                <w:tcPr>
                  <w:tcW w:w="3318" w:type="dxa"/>
                  <w:tcBorders>
                    <w:tl2br w:val="nil"/>
                    <w:tr2bl w:val="nil"/>
                  </w:tcBorders>
                  <w:vAlign w:val="center"/>
                </w:tcPr>
                <w:p>
                  <w:pPr>
                    <w:pStyle w:val="252"/>
                    <w:rPr>
                      <w:color w:val="auto"/>
                      <w:sz w:val="21"/>
                      <w:szCs w:val="21"/>
                    </w:rPr>
                  </w:pPr>
                  <w:r>
                    <w:rPr>
                      <w:rFonts w:hint="eastAsia"/>
                      <w:color w:val="auto"/>
                      <w:sz w:val="21"/>
                      <w:szCs w:val="21"/>
                    </w:rPr>
                    <w:t>否；本项目不涉及有毒有害污染物、二噁英、苯并[a]芘、氰化物、氯气等废气排放</w:t>
                  </w:r>
                  <w:r>
                    <w:rPr>
                      <w:color w:val="auto"/>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873" w:type="dxa"/>
                  <w:tcBorders>
                    <w:tl2br w:val="nil"/>
                    <w:tr2bl w:val="nil"/>
                  </w:tcBorders>
                  <w:vAlign w:val="center"/>
                </w:tcPr>
                <w:p>
                  <w:pPr>
                    <w:pStyle w:val="252"/>
                    <w:rPr>
                      <w:color w:val="auto"/>
                      <w:sz w:val="21"/>
                      <w:szCs w:val="21"/>
                    </w:rPr>
                  </w:pPr>
                  <w:r>
                    <w:rPr>
                      <w:rFonts w:hint="eastAsia"/>
                      <w:color w:val="auto"/>
                      <w:sz w:val="21"/>
                      <w:szCs w:val="21"/>
                    </w:rPr>
                    <w:t>地表水</w:t>
                  </w:r>
                </w:p>
              </w:tc>
              <w:tc>
                <w:tcPr>
                  <w:tcW w:w="3286" w:type="dxa"/>
                  <w:tcBorders>
                    <w:tl2br w:val="nil"/>
                    <w:tr2bl w:val="nil"/>
                  </w:tcBorders>
                  <w:vAlign w:val="center"/>
                </w:tcPr>
                <w:p>
                  <w:pPr>
                    <w:pStyle w:val="252"/>
                    <w:rPr>
                      <w:color w:val="auto"/>
                      <w:sz w:val="21"/>
                      <w:szCs w:val="21"/>
                    </w:rPr>
                  </w:pPr>
                  <w:r>
                    <w:rPr>
                      <w:rFonts w:hint="eastAsia"/>
                      <w:color w:val="auto"/>
                      <w:sz w:val="21"/>
                      <w:szCs w:val="21"/>
                    </w:rPr>
                    <w:t>新增工业废水直排建设项目（槽罐车外送污水处理厂的除外）；新增废水直排的污水集中处理厂；</w:t>
                  </w:r>
                </w:p>
              </w:tc>
              <w:tc>
                <w:tcPr>
                  <w:tcW w:w="3318" w:type="dxa"/>
                  <w:tcBorders>
                    <w:tl2br w:val="nil"/>
                    <w:tr2bl w:val="nil"/>
                  </w:tcBorders>
                  <w:vAlign w:val="center"/>
                </w:tcPr>
                <w:p>
                  <w:pPr>
                    <w:pStyle w:val="252"/>
                    <w:rPr>
                      <w:color w:val="auto"/>
                      <w:sz w:val="21"/>
                      <w:szCs w:val="21"/>
                    </w:rPr>
                  </w:pPr>
                  <w:r>
                    <w:rPr>
                      <w:rFonts w:hint="eastAsia"/>
                      <w:color w:val="auto"/>
                      <w:sz w:val="21"/>
                      <w:szCs w:val="21"/>
                    </w:rPr>
                    <w:t>否</w:t>
                  </w:r>
                  <w:r>
                    <w:rPr>
                      <w:color w:val="auto"/>
                      <w:sz w:val="21"/>
                      <w:szCs w:val="21"/>
                    </w:rPr>
                    <w:t>；</w:t>
                  </w:r>
                  <w:r>
                    <w:rPr>
                      <w:rFonts w:hint="eastAsia"/>
                      <w:color w:val="auto"/>
                      <w:sz w:val="21"/>
                      <w:szCs w:val="21"/>
                    </w:rPr>
                    <w:t>本项目无</w:t>
                  </w:r>
                  <w:r>
                    <w:rPr>
                      <w:color w:val="auto"/>
                      <w:sz w:val="21"/>
                      <w:szCs w:val="21"/>
                    </w:rPr>
                    <w:t>直排</w:t>
                  </w:r>
                  <w:r>
                    <w:rPr>
                      <w:rFonts w:hint="eastAsia"/>
                      <w:color w:val="auto"/>
                      <w:sz w:val="21"/>
                      <w:szCs w:val="21"/>
                    </w:rPr>
                    <w:t>工业废水；本项目不属于</w:t>
                  </w:r>
                  <w:r>
                    <w:rPr>
                      <w:color w:val="auto"/>
                      <w:sz w:val="21"/>
                      <w:szCs w:val="21"/>
                    </w:rPr>
                    <w:t>污水处理厂项目</w:t>
                  </w:r>
                  <w:r>
                    <w:rPr>
                      <w:rFonts w:hint="eastAsia"/>
                      <w:color w:val="auto"/>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873" w:type="dxa"/>
                  <w:tcBorders>
                    <w:tl2br w:val="nil"/>
                    <w:tr2bl w:val="nil"/>
                  </w:tcBorders>
                  <w:vAlign w:val="center"/>
                </w:tcPr>
                <w:p>
                  <w:pPr>
                    <w:pStyle w:val="252"/>
                    <w:rPr>
                      <w:color w:val="auto"/>
                      <w:sz w:val="21"/>
                      <w:szCs w:val="21"/>
                    </w:rPr>
                  </w:pPr>
                  <w:r>
                    <w:rPr>
                      <w:rFonts w:hint="eastAsia"/>
                      <w:color w:val="auto"/>
                      <w:sz w:val="21"/>
                      <w:szCs w:val="21"/>
                    </w:rPr>
                    <w:t>地下水</w:t>
                  </w:r>
                </w:p>
              </w:tc>
              <w:tc>
                <w:tcPr>
                  <w:tcW w:w="3286" w:type="dxa"/>
                  <w:tcBorders>
                    <w:tl2br w:val="nil"/>
                    <w:tr2bl w:val="nil"/>
                  </w:tcBorders>
                  <w:vAlign w:val="center"/>
                </w:tcPr>
                <w:p>
                  <w:pPr>
                    <w:pStyle w:val="252"/>
                    <w:rPr>
                      <w:color w:val="auto"/>
                      <w:sz w:val="21"/>
                      <w:szCs w:val="21"/>
                    </w:rPr>
                  </w:pPr>
                  <w:r>
                    <w:rPr>
                      <w:rFonts w:hint="eastAsia"/>
                      <w:color w:val="auto"/>
                      <w:sz w:val="21"/>
                      <w:szCs w:val="21"/>
                    </w:rPr>
                    <w:t>涉及集中式饮用水水源和热水、矿泉水、温泉等特殊地下水资源保护区的；</w:t>
                  </w:r>
                </w:p>
              </w:tc>
              <w:tc>
                <w:tcPr>
                  <w:tcW w:w="3318" w:type="dxa"/>
                  <w:tcBorders>
                    <w:tl2br w:val="nil"/>
                    <w:tr2bl w:val="nil"/>
                  </w:tcBorders>
                  <w:vAlign w:val="center"/>
                </w:tcPr>
                <w:p>
                  <w:pPr>
                    <w:pStyle w:val="252"/>
                    <w:rPr>
                      <w:color w:val="auto"/>
                      <w:sz w:val="21"/>
                      <w:szCs w:val="21"/>
                    </w:rPr>
                  </w:pPr>
                  <w:r>
                    <w:rPr>
                      <w:rFonts w:hint="eastAsia"/>
                      <w:color w:val="auto"/>
                      <w:sz w:val="21"/>
                      <w:szCs w:val="21"/>
                    </w:rPr>
                    <w:t>否</w:t>
                  </w:r>
                  <w:r>
                    <w:rPr>
                      <w:color w:val="auto"/>
                      <w:sz w:val="21"/>
                      <w:szCs w:val="21"/>
                    </w:rPr>
                    <w:t>；</w:t>
                  </w:r>
                  <w:r>
                    <w:rPr>
                      <w:rFonts w:hint="eastAsia"/>
                      <w:color w:val="auto"/>
                      <w:sz w:val="21"/>
                      <w:szCs w:val="21"/>
                    </w:rPr>
                    <w:t>本项目</w:t>
                  </w:r>
                  <w:r>
                    <w:rPr>
                      <w:color w:val="auto"/>
                      <w:sz w:val="21"/>
                      <w:szCs w:val="21"/>
                    </w:rPr>
                    <w:t>区域不涉及</w:t>
                  </w:r>
                  <w:r>
                    <w:rPr>
                      <w:rFonts w:hint="eastAsia"/>
                      <w:color w:val="auto"/>
                      <w:sz w:val="21"/>
                      <w:szCs w:val="21"/>
                    </w:rPr>
                    <w:t>集中式饮用水水源和热水、矿泉水、温泉等特殊地下水资源保护区；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873" w:type="dxa"/>
                  <w:tcBorders>
                    <w:tl2br w:val="nil"/>
                    <w:tr2bl w:val="nil"/>
                  </w:tcBorders>
                  <w:vAlign w:val="center"/>
                </w:tcPr>
                <w:p>
                  <w:pPr>
                    <w:pStyle w:val="252"/>
                    <w:rPr>
                      <w:color w:val="auto"/>
                      <w:sz w:val="21"/>
                      <w:szCs w:val="21"/>
                    </w:rPr>
                  </w:pPr>
                  <w:r>
                    <w:rPr>
                      <w:rFonts w:hint="eastAsia"/>
                      <w:color w:val="auto"/>
                      <w:sz w:val="21"/>
                      <w:szCs w:val="21"/>
                    </w:rPr>
                    <w:t>环境</w:t>
                  </w:r>
                  <w:r>
                    <w:rPr>
                      <w:color w:val="auto"/>
                      <w:sz w:val="21"/>
                      <w:szCs w:val="21"/>
                    </w:rPr>
                    <w:t>风险</w:t>
                  </w:r>
                </w:p>
              </w:tc>
              <w:tc>
                <w:tcPr>
                  <w:tcW w:w="3286" w:type="dxa"/>
                  <w:tcBorders>
                    <w:tl2br w:val="nil"/>
                    <w:tr2bl w:val="nil"/>
                  </w:tcBorders>
                  <w:vAlign w:val="center"/>
                </w:tcPr>
                <w:p>
                  <w:pPr>
                    <w:pStyle w:val="252"/>
                    <w:rPr>
                      <w:color w:val="auto"/>
                      <w:sz w:val="21"/>
                      <w:szCs w:val="21"/>
                    </w:rPr>
                  </w:pPr>
                  <w:r>
                    <w:rPr>
                      <w:rFonts w:hint="eastAsia"/>
                      <w:color w:val="auto"/>
                      <w:sz w:val="21"/>
                      <w:szCs w:val="21"/>
                    </w:rPr>
                    <w:t>有毒有害和易燃易爆危险物质存储量</w:t>
                  </w:r>
                  <w:r>
                    <w:rPr>
                      <w:rFonts w:hint="eastAsia"/>
                      <w:color w:val="auto"/>
                      <w:sz w:val="21"/>
                      <w:szCs w:val="21"/>
                      <w:vertAlign w:val="superscript"/>
                    </w:rPr>
                    <w:t>3</w:t>
                  </w:r>
                  <w:r>
                    <w:rPr>
                      <w:rFonts w:hint="eastAsia"/>
                      <w:color w:val="auto"/>
                      <w:sz w:val="21"/>
                      <w:szCs w:val="21"/>
                    </w:rPr>
                    <w:t>超过临界量的建设项目；</w:t>
                  </w:r>
                </w:p>
              </w:tc>
              <w:tc>
                <w:tcPr>
                  <w:tcW w:w="3318" w:type="dxa"/>
                  <w:tcBorders>
                    <w:tl2br w:val="nil"/>
                    <w:tr2bl w:val="nil"/>
                  </w:tcBorders>
                  <w:vAlign w:val="center"/>
                </w:tcPr>
                <w:p>
                  <w:pPr>
                    <w:pStyle w:val="252"/>
                    <w:rPr>
                      <w:color w:val="auto"/>
                      <w:sz w:val="21"/>
                      <w:szCs w:val="21"/>
                    </w:rPr>
                  </w:pPr>
                  <w:r>
                    <w:rPr>
                      <w:rFonts w:hint="eastAsia"/>
                      <w:color w:val="auto"/>
                      <w:sz w:val="21"/>
                      <w:szCs w:val="21"/>
                    </w:rPr>
                    <w:t>否</w:t>
                  </w:r>
                  <w:r>
                    <w:rPr>
                      <w:color w:val="auto"/>
                      <w:sz w:val="21"/>
                      <w:szCs w:val="21"/>
                    </w:rPr>
                    <w:t>；</w:t>
                  </w:r>
                  <w:r>
                    <w:rPr>
                      <w:rFonts w:hint="eastAsia"/>
                      <w:color w:val="auto"/>
                      <w:sz w:val="21"/>
                      <w:szCs w:val="21"/>
                    </w:rPr>
                    <w:t>本项目有毒有害和易燃易爆危险物质存储量未超过《建设项目环境风险评价技术导则》（HJ169）附录B中的临界量；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873" w:type="dxa"/>
                  <w:tcBorders>
                    <w:tl2br w:val="nil"/>
                    <w:tr2bl w:val="nil"/>
                  </w:tcBorders>
                  <w:vAlign w:val="center"/>
                </w:tcPr>
                <w:p>
                  <w:pPr>
                    <w:pStyle w:val="252"/>
                    <w:jc w:val="center"/>
                    <w:rPr>
                      <w:color w:val="auto"/>
                      <w:sz w:val="21"/>
                      <w:szCs w:val="21"/>
                    </w:rPr>
                  </w:pPr>
                  <w:r>
                    <w:rPr>
                      <w:rFonts w:hint="eastAsia"/>
                      <w:color w:val="auto"/>
                      <w:sz w:val="21"/>
                      <w:szCs w:val="21"/>
                    </w:rPr>
                    <w:t>生态</w:t>
                  </w:r>
                </w:p>
              </w:tc>
              <w:tc>
                <w:tcPr>
                  <w:tcW w:w="3286" w:type="dxa"/>
                  <w:tcBorders>
                    <w:tl2br w:val="nil"/>
                    <w:tr2bl w:val="nil"/>
                  </w:tcBorders>
                  <w:vAlign w:val="center"/>
                </w:tcPr>
                <w:p>
                  <w:pPr>
                    <w:pStyle w:val="252"/>
                    <w:rPr>
                      <w:color w:val="auto"/>
                      <w:sz w:val="21"/>
                      <w:szCs w:val="21"/>
                    </w:rPr>
                  </w:pPr>
                  <w:r>
                    <w:rPr>
                      <w:rFonts w:hint="eastAsia"/>
                      <w:color w:val="auto"/>
                      <w:sz w:val="21"/>
                      <w:szCs w:val="21"/>
                    </w:rPr>
                    <w:t>取水口下游500米范围内有重要水生生物的自然产卵场、索饵场、越冬场和洄游通道的新增河道取水的污染类建设项目；</w:t>
                  </w:r>
                </w:p>
              </w:tc>
              <w:tc>
                <w:tcPr>
                  <w:tcW w:w="3318" w:type="dxa"/>
                  <w:tcBorders>
                    <w:tl2br w:val="nil"/>
                    <w:tr2bl w:val="nil"/>
                  </w:tcBorders>
                  <w:vAlign w:val="center"/>
                </w:tcPr>
                <w:p>
                  <w:pPr>
                    <w:pStyle w:val="252"/>
                    <w:rPr>
                      <w:color w:val="auto"/>
                      <w:sz w:val="21"/>
                      <w:szCs w:val="21"/>
                    </w:rPr>
                  </w:pPr>
                  <w:r>
                    <w:rPr>
                      <w:rFonts w:hint="eastAsia"/>
                      <w:color w:val="auto"/>
                      <w:sz w:val="21"/>
                      <w:szCs w:val="21"/>
                    </w:rPr>
                    <w:t>否</w:t>
                  </w:r>
                  <w:r>
                    <w:rPr>
                      <w:color w:val="auto"/>
                      <w:sz w:val="21"/>
                      <w:szCs w:val="21"/>
                    </w:rPr>
                    <w:t>；</w:t>
                  </w:r>
                  <w:r>
                    <w:rPr>
                      <w:rFonts w:hint="eastAsia"/>
                      <w:color w:val="auto"/>
                      <w:sz w:val="21"/>
                      <w:szCs w:val="21"/>
                    </w:rPr>
                    <w:t>本项目不属于新增河道取水的污染类建设项目；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873" w:type="dxa"/>
                  <w:tcBorders>
                    <w:tl2br w:val="nil"/>
                    <w:tr2bl w:val="nil"/>
                  </w:tcBorders>
                  <w:vAlign w:val="center"/>
                </w:tcPr>
                <w:p>
                  <w:pPr>
                    <w:pStyle w:val="252"/>
                    <w:jc w:val="center"/>
                    <w:rPr>
                      <w:color w:val="auto"/>
                      <w:sz w:val="21"/>
                      <w:szCs w:val="21"/>
                    </w:rPr>
                  </w:pPr>
                  <w:r>
                    <w:rPr>
                      <w:rFonts w:hint="eastAsia"/>
                      <w:color w:val="auto"/>
                      <w:sz w:val="21"/>
                      <w:szCs w:val="21"/>
                    </w:rPr>
                    <w:t>海洋</w:t>
                  </w:r>
                </w:p>
              </w:tc>
              <w:tc>
                <w:tcPr>
                  <w:tcW w:w="3286" w:type="dxa"/>
                  <w:tcBorders>
                    <w:tl2br w:val="nil"/>
                    <w:tr2bl w:val="nil"/>
                  </w:tcBorders>
                  <w:vAlign w:val="center"/>
                </w:tcPr>
                <w:p>
                  <w:pPr>
                    <w:pStyle w:val="252"/>
                    <w:rPr>
                      <w:color w:val="auto"/>
                      <w:sz w:val="21"/>
                      <w:szCs w:val="21"/>
                    </w:rPr>
                  </w:pPr>
                  <w:r>
                    <w:rPr>
                      <w:rFonts w:hint="eastAsia"/>
                      <w:color w:val="auto"/>
                      <w:sz w:val="21"/>
                      <w:szCs w:val="21"/>
                    </w:rPr>
                    <w:t>直接向海排放污染物的海洋工程建设项目。</w:t>
                  </w:r>
                </w:p>
              </w:tc>
              <w:tc>
                <w:tcPr>
                  <w:tcW w:w="3318" w:type="dxa"/>
                  <w:tcBorders>
                    <w:tl2br w:val="nil"/>
                    <w:tr2bl w:val="nil"/>
                  </w:tcBorders>
                  <w:vAlign w:val="center"/>
                </w:tcPr>
                <w:p>
                  <w:pPr>
                    <w:pStyle w:val="252"/>
                    <w:rPr>
                      <w:color w:val="auto"/>
                      <w:sz w:val="21"/>
                      <w:szCs w:val="21"/>
                    </w:rPr>
                  </w:pPr>
                  <w:r>
                    <w:rPr>
                      <w:rFonts w:hint="eastAsia"/>
                      <w:color w:val="auto"/>
                      <w:sz w:val="21"/>
                      <w:szCs w:val="21"/>
                    </w:rPr>
                    <w:t>否</w:t>
                  </w:r>
                  <w:r>
                    <w:rPr>
                      <w:color w:val="auto"/>
                      <w:sz w:val="21"/>
                      <w:szCs w:val="21"/>
                    </w:rPr>
                    <w:t>；</w:t>
                  </w:r>
                  <w:r>
                    <w:rPr>
                      <w:rFonts w:hint="eastAsia"/>
                      <w:color w:val="auto"/>
                      <w:sz w:val="21"/>
                      <w:szCs w:val="21"/>
                    </w:rPr>
                    <w:t>本项目不属于直接向海排放污染物的海洋工程建设项目。</w:t>
                  </w:r>
                </w:p>
              </w:tc>
            </w:tr>
          </w:tbl>
          <w:p>
            <w:pPr>
              <w:pStyle w:val="252"/>
              <w:rPr>
                <w:color w:val="auto"/>
                <w:sz w:val="21"/>
                <w:szCs w:val="21"/>
              </w:rPr>
            </w:pPr>
            <w:r>
              <w:rPr>
                <w:rFonts w:hint="eastAsia"/>
                <w:color w:val="auto"/>
                <w:sz w:val="21"/>
                <w:szCs w:val="21"/>
              </w:rPr>
              <w:t>注</w:t>
            </w:r>
            <w:r>
              <w:rPr>
                <w:rFonts w:hint="eastAsia"/>
                <w:color w:val="auto"/>
                <w:sz w:val="21"/>
                <w:szCs w:val="21"/>
                <w:lang w:eastAsia="zh-CN"/>
              </w:rPr>
              <w:t>：</w:t>
            </w:r>
            <w:r>
              <w:rPr>
                <w:rFonts w:hint="eastAsia"/>
                <w:color w:val="auto"/>
                <w:sz w:val="21"/>
                <w:szCs w:val="21"/>
              </w:rPr>
              <w:t>1、废气中有毒有害污染物指纳入《有毒有害大气污染物名录》的污染物（不包括无排放标准的污染物）。</w:t>
            </w:r>
          </w:p>
          <w:p>
            <w:pPr>
              <w:pStyle w:val="252"/>
              <w:rPr>
                <w:color w:val="auto"/>
                <w:sz w:val="21"/>
                <w:szCs w:val="21"/>
              </w:rPr>
            </w:pPr>
            <w:r>
              <w:rPr>
                <w:rFonts w:hint="eastAsia"/>
                <w:color w:val="auto"/>
                <w:sz w:val="21"/>
                <w:szCs w:val="21"/>
              </w:rPr>
              <w:t>2、环境空气保护目标指自然保护区、风景名胜区、居住区、文化区和农村地区中人群较集中的区域。</w:t>
            </w:r>
          </w:p>
          <w:p>
            <w:pPr>
              <w:pStyle w:val="252"/>
              <w:rPr>
                <w:color w:val="auto"/>
                <w:sz w:val="21"/>
                <w:szCs w:val="21"/>
              </w:rPr>
            </w:pPr>
            <w:r>
              <w:rPr>
                <w:rFonts w:hint="eastAsia"/>
                <w:color w:val="auto"/>
                <w:sz w:val="21"/>
                <w:szCs w:val="21"/>
              </w:rPr>
              <w:t>3、临界量及其计算方法可参考《建设项目环境风险评价技术导则》（HJ169）附录B、附录C</w:t>
            </w:r>
          </w:p>
          <w:p>
            <w:pPr>
              <w:spacing w:line="240" w:lineRule="auto"/>
              <w:ind w:firstLine="0" w:firstLineChars="0"/>
              <w:rPr>
                <w:color w:val="auto"/>
              </w:rPr>
            </w:pPr>
            <w:r>
              <w:rPr>
                <w:rFonts w:hint="eastAsia"/>
                <w:color w:val="auto"/>
                <w:szCs w:val="21"/>
              </w:rPr>
              <w:t>由上可知，</w:t>
            </w:r>
            <w:r>
              <w:rPr>
                <w:color w:val="auto"/>
                <w:szCs w:val="21"/>
              </w:rPr>
              <w:t>本项目</w:t>
            </w:r>
            <w:r>
              <w:rPr>
                <w:rFonts w:hint="eastAsia"/>
                <w:color w:val="auto"/>
                <w:szCs w:val="21"/>
              </w:rPr>
              <w:t>无需</w:t>
            </w:r>
            <w:r>
              <w:rPr>
                <w:color w:val="auto"/>
                <w:szCs w:val="21"/>
              </w:rPr>
              <w:t>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62" w:type="dxa"/>
            <w:gridSpan w:val="2"/>
            <w:vAlign w:val="center"/>
          </w:tcPr>
          <w:p>
            <w:pPr>
              <w:spacing w:line="240" w:lineRule="auto"/>
              <w:ind w:firstLine="0" w:firstLineChars="0"/>
              <w:jc w:val="center"/>
              <w:rPr>
                <w:color w:val="auto"/>
              </w:rPr>
            </w:pPr>
            <w:r>
              <w:rPr>
                <w:color w:val="auto"/>
              </w:rPr>
              <w:t>规划情况</w:t>
            </w:r>
          </w:p>
        </w:tc>
        <w:tc>
          <w:tcPr>
            <w:tcW w:w="7725" w:type="dxa"/>
            <w:gridSpan w:val="3"/>
            <w:vAlign w:val="center"/>
          </w:tcPr>
          <w:p>
            <w:pPr>
              <w:spacing w:line="240" w:lineRule="auto"/>
              <w:ind w:firstLine="0" w:firstLineChars="0"/>
              <w:jc w:val="center"/>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62" w:type="dxa"/>
            <w:gridSpan w:val="2"/>
            <w:vAlign w:val="center"/>
          </w:tcPr>
          <w:p>
            <w:pPr>
              <w:spacing w:line="240" w:lineRule="auto"/>
              <w:ind w:firstLine="0" w:firstLineChars="0"/>
              <w:jc w:val="center"/>
              <w:rPr>
                <w:color w:val="auto"/>
              </w:rPr>
            </w:pPr>
            <w:r>
              <w:rPr>
                <w:color w:val="auto"/>
              </w:rPr>
              <w:t>规划环境影响评价情况</w:t>
            </w:r>
          </w:p>
        </w:tc>
        <w:tc>
          <w:tcPr>
            <w:tcW w:w="7725" w:type="dxa"/>
            <w:gridSpan w:val="3"/>
            <w:vAlign w:val="center"/>
          </w:tcPr>
          <w:p>
            <w:pPr>
              <w:spacing w:line="240" w:lineRule="auto"/>
              <w:ind w:firstLine="0" w:firstLineChars="0"/>
              <w:jc w:val="center"/>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62" w:type="dxa"/>
            <w:gridSpan w:val="2"/>
            <w:vAlign w:val="center"/>
          </w:tcPr>
          <w:p>
            <w:pPr>
              <w:spacing w:line="240" w:lineRule="auto"/>
              <w:ind w:firstLine="0" w:firstLineChars="0"/>
              <w:jc w:val="center"/>
              <w:rPr>
                <w:color w:val="auto"/>
              </w:rPr>
            </w:pPr>
            <w:r>
              <w:rPr>
                <w:color w:val="auto"/>
              </w:rPr>
              <w:t>规划及规划环境影响评价符合性分析</w:t>
            </w:r>
          </w:p>
        </w:tc>
        <w:tc>
          <w:tcPr>
            <w:tcW w:w="7725" w:type="dxa"/>
            <w:gridSpan w:val="3"/>
            <w:vAlign w:val="center"/>
          </w:tcPr>
          <w:p>
            <w:pPr>
              <w:spacing w:line="240" w:lineRule="auto"/>
              <w:ind w:firstLine="0" w:firstLineChars="0"/>
              <w:jc w:val="center"/>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Align w:val="center"/>
          </w:tcPr>
          <w:p>
            <w:pPr>
              <w:ind w:firstLine="0" w:firstLineChars="0"/>
              <w:jc w:val="center"/>
              <w:rPr>
                <w:color w:val="auto"/>
              </w:rPr>
            </w:pPr>
            <w:r>
              <w:rPr>
                <w:color w:val="auto"/>
              </w:rPr>
              <w:t>其他符合性分析</w:t>
            </w:r>
          </w:p>
        </w:tc>
        <w:tc>
          <w:tcPr>
            <w:tcW w:w="9160" w:type="dxa"/>
            <w:gridSpan w:val="4"/>
            <w:vAlign w:val="center"/>
          </w:tcPr>
          <w:p>
            <w:pPr>
              <w:autoSpaceDE w:val="0"/>
              <w:autoSpaceDN w:val="0"/>
              <w:adjustRightInd/>
              <w:snapToGrid/>
              <w:spacing w:before="120" w:beforeLines="50"/>
              <w:ind w:firstLine="422"/>
              <w:rPr>
                <w:b/>
                <w:color w:val="auto"/>
                <w:kern w:val="0"/>
                <w:szCs w:val="21"/>
              </w:rPr>
            </w:pPr>
            <w:r>
              <w:rPr>
                <w:b/>
                <w:color w:val="auto"/>
                <w:kern w:val="0"/>
                <w:szCs w:val="21"/>
              </w:rPr>
              <w:t>1、与 “三线一单”的符合性分析</w:t>
            </w:r>
          </w:p>
          <w:p>
            <w:pPr>
              <w:ind w:firstLine="420"/>
              <w:rPr>
                <w:color w:val="auto"/>
              </w:rPr>
            </w:pPr>
            <w:r>
              <w:rPr>
                <w:color w:val="auto"/>
              </w:rPr>
              <w:t>本项目位于</w:t>
            </w:r>
            <w:r>
              <w:rPr>
                <w:rFonts w:hint="eastAsia"/>
                <w:color w:val="auto"/>
              </w:rPr>
              <w:t>重庆市江北区观音桥街道渝澳大道72号附14号</w:t>
            </w:r>
            <w:r>
              <w:rPr>
                <w:color w:val="auto"/>
              </w:rPr>
              <w:t xml:space="preserve"> ，根据《重庆市“三线一单”生态环境分区管控调整方案（2023年）》（渝环规〔2024〕2号）、《建设项目环评“三线一单”符合性分析技术要点（试行）》（渝环函〔2022〕397号）、《重庆市</w:t>
            </w:r>
            <w:r>
              <w:rPr>
                <w:rFonts w:hint="eastAsia"/>
                <w:color w:val="auto"/>
              </w:rPr>
              <w:t>江北</w:t>
            </w:r>
            <w:r>
              <w:rPr>
                <w:color w:val="auto"/>
              </w:rPr>
              <w:t>区“三线一单”生态环境分区管控调整方案（2023年）》（</w:t>
            </w:r>
            <w:r>
              <w:rPr>
                <w:rFonts w:hint="eastAsia"/>
                <w:color w:val="auto"/>
              </w:rPr>
              <w:t>江北</w:t>
            </w:r>
            <w:r>
              <w:rPr>
                <w:color w:val="auto"/>
              </w:rPr>
              <w:t>府发〔2024〕5 号）及“重庆市‘三线一单’智检服务”，项目所在地不属于生态保护红线和一般生态空间，属于ZH5001</w:t>
            </w:r>
            <w:r>
              <w:rPr>
                <w:rFonts w:hint="eastAsia"/>
                <w:color w:val="auto"/>
              </w:rPr>
              <w:t>052</w:t>
            </w:r>
            <w:r>
              <w:rPr>
                <w:color w:val="auto"/>
              </w:rPr>
              <w:t>0001</w:t>
            </w:r>
            <w:r>
              <w:rPr>
                <w:rFonts w:hint="eastAsia"/>
                <w:color w:val="auto"/>
              </w:rPr>
              <w:t>江北区</w:t>
            </w:r>
            <w:r>
              <w:rPr>
                <w:color w:val="auto"/>
              </w:rPr>
              <w:t>工业城镇重点管控单元</w:t>
            </w:r>
            <w:r>
              <w:rPr>
                <w:rFonts w:hint="eastAsia"/>
                <w:color w:val="auto"/>
                <w:lang w:eastAsia="zh-CN"/>
              </w:rPr>
              <w:t>－</w:t>
            </w:r>
            <w:r>
              <w:rPr>
                <w:color w:val="auto"/>
              </w:rPr>
              <w:t>城区片区，系重点管控单元。</w:t>
            </w:r>
          </w:p>
          <w:p>
            <w:pPr>
              <w:ind w:firstLine="420"/>
              <w:rPr>
                <w:color w:val="auto"/>
              </w:rPr>
            </w:pPr>
            <w:r>
              <w:rPr>
                <w:color w:val="auto"/>
              </w:rPr>
              <w:t>本项目建设与“三线一单”管控要求的符合性分析，见下表。</w:t>
            </w:r>
          </w:p>
          <w:p>
            <w:pPr>
              <w:pStyle w:val="234"/>
              <w:spacing w:before="120"/>
              <w:ind w:firstLine="422"/>
              <w:rPr>
                <w:color w:val="auto"/>
              </w:rPr>
            </w:pPr>
            <w:r>
              <w:rPr>
                <w:color w:val="auto"/>
              </w:rPr>
              <w:t>表1-1   与“三线一单”总体管控要求的符合性分析</w:t>
            </w:r>
          </w:p>
          <w:tbl>
            <w:tblPr>
              <w:tblStyle w:val="40"/>
              <w:tblW w:w="8934"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52"/>
              <w:gridCol w:w="726"/>
              <w:gridCol w:w="845"/>
              <w:gridCol w:w="3705"/>
              <w:gridCol w:w="2014"/>
              <w:gridCol w:w="69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2523" w:type="dxa"/>
                  <w:gridSpan w:val="3"/>
                  <w:tcBorders>
                    <w:tl2br w:val="nil"/>
                    <w:tr2bl w:val="nil"/>
                  </w:tcBorders>
                  <w:vAlign w:val="center"/>
                </w:tcPr>
                <w:p>
                  <w:pPr>
                    <w:pStyle w:val="242"/>
                    <w:jc w:val="center"/>
                    <w:rPr>
                      <w:color w:val="auto"/>
                    </w:rPr>
                  </w:pPr>
                  <w:r>
                    <w:rPr>
                      <w:color w:val="auto"/>
                    </w:rPr>
                    <w:t>环境管控单元编码</w:t>
                  </w:r>
                </w:p>
              </w:tc>
              <w:tc>
                <w:tcPr>
                  <w:tcW w:w="3705" w:type="dxa"/>
                  <w:tcBorders>
                    <w:tl2br w:val="nil"/>
                    <w:tr2bl w:val="nil"/>
                  </w:tcBorders>
                  <w:vAlign w:val="center"/>
                </w:tcPr>
                <w:p>
                  <w:pPr>
                    <w:pStyle w:val="242"/>
                    <w:jc w:val="center"/>
                    <w:rPr>
                      <w:color w:val="auto"/>
                    </w:rPr>
                  </w:pPr>
                  <w:r>
                    <w:rPr>
                      <w:color w:val="auto"/>
                    </w:rPr>
                    <w:t>环境管控单元名称</w:t>
                  </w:r>
                </w:p>
              </w:tc>
              <w:tc>
                <w:tcPr>
                  <w:tcW w:w="2706" w:type="dxa"/>
                  <w:gridSpan w:val="2"/>
                  <w:tcBorders>
                    <w:tl2br w:val="nil"/>
                    <w:tr2bl w:val="nil"/>
                  </w:tcBorders>
                  <w:vAlign w:val="center"/>
                </w:tcPr>
                <w:p>
                  <w:pPr>
                    <w:pStyle w:val="242"/>
                    <w:jc w:val="center"/>
                    <w:rPr>
                      <w:color w:val="auto"/>
                    </w:rPr>
                  </w:pPr>
                  <w:r>
                    <w:rPr>
                      <w:color w:val="auto"/>
                    </w:rPr>
                    <w:t>环境管控单元类型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2523" w:type="dxa"/>
                  <w:gridSpan w:val="3"/>
                  <w:tcBorders>
                    <w:tl2br w:val="nil"/>
                    <w:tr2bl w:val="nil"/>
                  </w:tcBorders>
                  <w:vAlign w:val="center"/>
                </w:tcPr>
                <w:p>
                  <w:pPr>
                    <w:pStyle w:val="242"/>
                    <w:jc w:val="center"/>
                    <w:rPr>
                      <w:color w:val="auto"/>
                    </w:rPr>
                  </w:pPr>
                  <w:r>
                    <w:rPr>
                      <w:color w:val="auto"/>
                    </w:rPr>
                    <w:t>ZH5001</w:t>
                  </w:r>
                  <w:r>
                    <w:rPr>
                      <w:rFonts w:hint="eastAsia"/>
                      <w:color w:val="auto"/>
                    </w:rPr>
                    <w:t>0520001</w:t>
                  </w:r>
                </w:p>
              </w:tc>
              <w:tc>
                <w:tcPr>
                  <w:tcW w:w="3705" w:type="dxa"/>
                  <w:tcBorders>
                    <w:tl2br w:val="nil"/>
                    <w:tr2bl w:val="nil"/>
                  </w:tcBorders>
                  <w:vAlign w:val="center"/>
                </w:tcPr>
                <w:p>
                  <w:pPr>
                    <w:pStyle w:val="242"/>
                    <w:jc w:val="center"/>
                    <w:rPr>
                      <w:color w:val="auto"/>
                    </w:rPr>
                  </w:pPr>
                  <w:r>
                    <w:rPr>
                      <w:rFonts w:hint="eastAsia"/>
                      <w:color w:val="auto"/>
                    </w:rPr>
                    <w:t>江北区</w:t>
                  </w:r>
                  <w:r>
                    <w:rPr>
                      <w:color w:val="auto"/>
                    </w:rPr>
                    <w:t>工业城镇重点管控单元</w:t>
                  </w:r>
                  <w:r>
                    <w:rPr>
                      <w:rFonts w:hint="eastAsia"/>
                      <w:color w:val="auto"/>
                      <w:lang w:eastAsia="zh-CN"/>
                    </w:rPr>
                    <w:t>－</w:t>
                  </w:r>
                  <w:r>
                    <w:rPr>
                      <w:color w:val="auto"/>
                    </w:rPr>
                    <w:t>城区片区</w:t>
                  </w:r>
                </w:p>
              </w:tc>
              <w:tc>
                <w:tcPr>
                  <w:tcW w:w="2706" w:type="dxa"/>
                  <w:gridSpan w:val="2"/>
                  <w:tcBorders>
                    <w:tl2br w:val="nil"/>
                    <w:tr2bl w:val="nil"/>
                  </w:tcBorders>
                  <w:vAlign w:val="center"/>
                </w:tcPr>
                <w:p>
                  <w:pPr>
                    <w:pStyle w:val="242"/>
                    <w:jc w:val="center"/>
                    <w:rPr>
                      <w:color w:val="auto"/>
                    </w:rPr>
                  </w:pPr>
                  <w:r>
                    <w:rPr>
                      <w:color w:val="auto"/>
                    </w:rPr>
                    <w:t>重点管控单元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tcBorders>
                    <w:tl2br w:val="nil"/>
                    <w:tr2bl w:val="nil"/>
                  </w:tcBorders>
                  <w:vAlign w:val="center"/>
                </w:tcPr>
                <w:p>
                  <w:pPr>
                    <w:pStyle w:val="242"/>
                    <w:jc w:val="center"/>
                    <w:rPr>
                      <w:color w:val="auto"/>
                    </w:rPr>
                  </w:pPr>
                  <w:r>
                    <w:rPr>
                      <w:color w:val="auto"/>
                    </w:rPr>
                    <w:t>管控要求层级</w:t>
                  </w:r>
                </w:p>
              </w:tc>
              <w:tc>
                <w:tcPr>
                  <w:tcW w:w="726" w:type="dxa"/>
                  <w:tcBorders>
                    <w:tl2br w:val="nil"/>
                    <w:tr2bl w:val="nil"/>
                  </w:tcBorders>
                  <w:vAlign w:val="center"/>
                </w:tcPr>
                <w:p>
                  <w:pPr>
                    <w:pStyle w:val="242"/>
                    <w:jc w:val="center"/>
                    <w:rPr>
                      <w:color w:val="auto"/>
                    </w:rPr>
                  </w:pPr>
                  <w:r>
                    <w:rPr>
                      <w:color w:val="auto"/>
                    </w:rPr>
                    <w:t>管控类型</w:t>
                  </w:r>
                </w:p>
              </w:tc>
              <w:tc>
                <w:tcPr>
                  <w:tcW w:w="4550" w:type="dxa"/>
                  <w:gridSpan w:val="2"/>
                  <w:tcBorders>
                    <w:tl2br w:val="nil"/>
                    <w:tr2bl w:val="nil"/>
                  </w:tcBorders>
                  <w:vAlign w:val="center"/>
                </w:tcPr>
                <w:p>
                  <w:pPr>
                    <w:pStyle w:val="242"/>
                    <w:jc w:val="center"/>
                    <w:rPr>
                      <w:color w:val="auto"/>
                    </w:rPr>
                  </w:pPr>
                  <w:r>
                    <w:rPr>
                      <w:color w:val="auto"/>
                    </w:rPr>
                    <w:t>管控要求</w:t>
                  </w:r>
                </w:p>
              </w:tc>
              <w:tc>
                <w:tcPr>
                  <w:tcW w:w="2014" w:type="dxa"/>
                  <w:tcBorders>
                    <w:tl2br w:val="nil"/>
                    <w:tr2bl w:val="nil"/>
                  </w:tcBorders>
                  <w:vAlign w:val="center"/>
                </w:tcPr>
                <w:p>
                  <w:pPr>
                    <w:pStyle w:val="242"/>
                    <w:rPr>
                      <w:color w:val="auto"/>
                    </w:rPr>
                  </w:pPr>
                  <w:r>
                    <w:rPr>
                      <w:color w:val="auto"/>
                    </w:rPr>
                    <w:t>建设项目相关情况</w:t>
                  </w:r>
                </w:p>
              </w:tc>
              <w:tc>
                <w:tcPr>
                  <w:tcW w:w="692" w:type="dxa"/>
                  <w:tcBorders>
                    <w:tl2br w:val="nil"/>
                    <w:tr2bl w:val="nil"/>
                  </w:tcBorders>
                  <w:vAlign w:val="center"/>
                </w:tcPr>
                <w:p>
                  <w:pPr>
                    <w:pStyle w:val="242"/>
                    <w:rPr>
                      <w:color w:val="auto"/>
                    </w:rPr>
                  </w:pPr>
                  <w:r>
                    <w:rPr>
                      <w:color w:val="auto"/>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restart"/>
                  <w:tcBorders>
                    <w:tl2br w:val="nil"/>
                    <w:tr2bl w:val="nil"/>
                  </w:tcBorders>
                  <w:vAlign w:val="center"/>
                </w:tcPr>
                <w:p>
                  <w:pPr>
                    <w:pStyle w:val="242"/>
                    <w:rPr>
                      <w:color w:val="auto"/>
                    </w:rPr>
                  </w:pPr>
                  <w:r>
                    <w:rPr>
                      <w:color w:val="auto"/>
                    </w:rPr>
                    <w:t>全市总体管控要求</w:t>
                  </w:r>
                </w:p>
              </w:tc>
              <w:tc>
                <w:tcPr>
                  <w:tcW w:w="726" w:type="dxa"/>
                  <w:vMerge w:val="restart"/>
                  <w:tcBorders>
                    <w:tl2br w:val="nil"/>
                    <w:tr2bl w:val="nil"/>
                  </w:tcBorders>
                  <w:vAlign w:val="center"/>
                </w:tcPr>
                <w:p>
                  <w:pPr>
                    <w:pStyle w:val="242"/>
                    <w:jc w:val="center"/>
                    <w:rPr>
                      <w:color w:val="auto"/>
                    </w:rPr>
                  </w:pPr>
                  <w:r>
                    <w:rPr>
                      <w:color w:val="auto"/>
                    </w:rPr>
                    <w:t>空间布局约束</w:t>
                  </w:r>
                </w:p>
              </w:tc>
              <w:tc>
                <w:tcPr>
                  <w:tcW w:w="4550" w:type="dxa"/>
                  <w:gridSpan w:val="2"/>
                  <w:tcBorders>
                    <w:tl2br w:val="nil"/>
                    <w:tr2bl w:val="nil"/>
                  </w:tcBorders>
                  <w:vAlign w:val="center"/>
                </w:tcPr>
                <w:p>
                  <w:pPr>
                    <w:pStyle w:val="242"/>
                    <w:rPr>
                      <w:color w:val="auto"/>
                    </w:rPr>
                  </w:pPr>
                  <w:r>
                    <w:rPr>
                      <w:color w:val="auto"/>
                    </w:rPr>
                    <w:t>1.深入贯彻习近平生态文明思想，筑牢长江上游重要生态屏障，推动优势区域重点发展、生态功能区重点保护、城乡融合发展，优化重点区域、流域、产业的空间布局。</w:t>
                  </w:r>
                </w:p>
              </w:tc>
              <w:tc>
                <w:tcPr>
                  <w:tcW w:w="2014" w:type="dxa"/>
                  <w:tcBorders>
                    <w:tl2br w:val="nil"/>
                    <w:tr2bl w:val="nil"/>
                  </w:tcBorders>
                  <w:vAlign w:val="center"/>
                </w:tcPr>
                <w:p>
                  <w:pPr>
                    <w:pStyle w:val="242"/>
                    <w:jc w:val="center"/>
                    <w:rPr>
                      <w:color w:val="auto"/>
                    </w:rPr>
                  </w:pPr>
                  <w:r>
                    <w:rPr>
                      <w:color w:val="auto"/>
                    </w:rPr>
                    <w:t>项目不涉及。</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2.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2014" w:type="dxa"/>
                  <w:tcBorders>
                    <w:tl2br w:val="nil"/>
                    <w:tr2bl w:val="nil"/>
                  </w:tcBorders>
                  <w:vAlign w:val="center"/>
                </w:tcPr>
                <w:p>
                  <w:pPr>
                    <w:pStyle w:val="242"/>
                    <w:rPr>
                      <w:color w:val="auto"/>
                    </w:rPr>
                  </w:pPr>
                  <w:r>
                    <w:rPr>
                      <w:color w:val="auto"/>
                    </w:rPr>
                    <w:t>项目属于宠物医院建设项目，位于</w:t>
                  </w:r>
                  <w:r>
                    <w:rPr>
                      <w:rFonts w:hint="eastAsia"/>
                      <w:color w:val="auto"/>
                    </w:rPr>
                    <w:t>江北区观音桥街道</w:t>
                  </w:r>
                  <w:r>
                    <w:rPr>
                      <w:color w:val="auto"/>
                    </w:rPr>
                    <w:t>，不属于左列禁止类项目</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3.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2014" w:type="dxa"/>
                  <w:tcBorders>
                    <w:tl2br w:val="nil"/>
                    <w:tr2bl w:val="nil"/>
                  </w:tcBorders>
                  <w:vAlign w:val="center"/>
                </w:tcPr>
                <w:p>
                  <w:pPr>
                    <w:pStyle w:val="242"/>
                    <w:rPr>
                      <w:color w:val="auto"/>
                    </w:rPr>
                  </w:pPr>
                  <w:r>
                    <w:rPr>
                      <w:color w:val="auto"/>
                    </w:rPr>
                    <w:t>项目属于宠物医院建设项目，不属于左列禁止和限制类项目</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4.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2014" w:type="dxa"/>
                  <w:tcBorders>
                    <w:tl2br w:val="nil"/>
                    <w:tr2bl w:val="nil"/>
                  </w:tcBorders>
                  <w:vAlign w:val="center"/>
                </w:tcPr>
                <w:p>
                  <w:pPr>
                    <w:pStyle w:val="242"/>
                    <w:rPr>
                      <w:color w:val="auto"/>
                    </w:rPr>
                  </w:pPr>
                  <w:r>
                    <w:rPr>
                      <w:color w:val="auto"/>
                    </w:rPr>
                    <w:t>项目属于宠物医院建设项目，不属于高耗能、高排放、低水平项目。</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5.新建、扩建有色金属冶炼、电镀、铅蓄电池等企业应布设在依法合规设立并经过规划环评的产业园区。</w:t>
                  </w:r>
                </w:p>
              </w:tc>
              <w:tc>
                <w:tcPr>
                  <w:tcW w:w="2014" w:type="dxa"/>
                  <w:tcBorders>
                    <w:tl2br w:val="nil"/>
                    <w:tr2bl w:val="nil"/>
                  </w:tcBorders>
                  <w:vAlign w:val="center"/>
                </w:tcPr>
                <w:p>
                  <w:pPr>
                    <w:pStyle w:val="242"/>
                    <w:rPr>
                      <w:color w:val="auto"/>
                    </w:rPr>
                  </w:pPr>
                  <w:r>
                    <w:rPr>
                      <w:color w:val="auto"/>
                    </w:rPr>
                    <w:t>项目不属于新建、扩建有色金属冶炼、电镀、铅蓄电池等企业。</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6.涉及环境防护距离的工业企业或项目应通过选址或调整布局原则上将环境防护距离控制在园区边界或用地红线内，提前合理规划项目地块布置、预防环境风险。</w:t>
                  </w:r>
                </w:p>
              </w:tc>
              <w:tc>
                <w:tcPr>
                  <w:tcW w:w="2014" w:type="dxa"/>
                  <w:tcBorders>
                    <w:tl2br w:val="nil"/>
                    <w:tr2bl w:val="nil"/>
                  </w:tcBorders>
                  <w:vAlign w:val="center"/>
                </w:tcPr>
                <w:p>
                  <w:pPr>
                    <w:pStyle w:val="242"/>
                    <w:rPr>
                      <w:color w:val="auto"/>
                    </w:rPr>
                  </w:pPr>
                  <w:r>
                    <w:rPr>
                      <w:color w:val="auto"/>
                    </w:rPr>
                    <w:t>项目不涉及环境防护距离。</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7.有效规范空间开发秩序，合理控制空间开发强度，切实将各类开发活动限制在资源环境承载能力之内，为构建高效协调可持续的国土空间开发格局奠定坚实基础。</w:t>
                  </w:r>
                </w:p>
              </w:tc>
              <w:tc>
                <w:tcPr>
                  <w:tcW w:w="2014" w:type="dxa"/>
                  <w:tcBorders>
                    <w:tl2br w:val="nil"/>
                    <w:tr2bl w:val="nil"/>
                  </w:tcBorders>
                  <w:vAlign w:val="center"/>
                </w:tcPr>
                <w:p>
                  <w:pPr>
                    <w:pStyle w:val="242"/>
                    <w:jc w:val="center"/>
                    <w:rPr>
                      <w:color w:val="auto"/>
                    </w:rPr>
                  </w:pPr>
                  <w:r>
                    <w:rPr>
                      <w:color w:val="auto"/>
                    </w:rPr>
                    <w:t>项目不涉及。</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restart"/>
                  <w:tcBorders>
                    <w:tl2br w:val="nil"/>
                    <w:tr2bl w:val="nil"/>
                  </w:tcBorders>
                  <w:vAlign w:val="center"/>
                </w:tcPr>
                <w:p>
                  <w:pPr>
                    <w:pStyle w:val="242"/>
                    <w:jc w:val="center"/>
                    <w:rPr>
                      <w:color w:val="auto"/>
                    </w:rPr>
                  </w:pPr>
                  <w:r>
                    <w:rPr>
                      <w:color w:val="auto"/>
                    </w:rPr>
                    <w:t>污染物排放管控</w:t>
                  </w:r>
                </w:p>
              </w:tc>
              <w:tc>
                <w:tcPr>
                  <w:tcW w:w="4550" w:type="dxa"/>
                  <w:gridSpan w:val="2"/>
                  <w:tcBorders>
                    <w:tl2br w:val="nil"/>
                    <w:tr2bl w:val="nil"/>
                  </w:tcBorders>
                  <w:vAlign w:val="center"/>
                </w:tcPr>
                <w:p>
                  <w:pPr>
                    <w:pStyle w:val="242"/>
                    <w:rPr>
                      <w:color w:val="auto"/>
                    </w:rPr>
                  </w:pPr>
                  <w:r>
                    <w:rPr>
                      <w:color w:val="auto"/>
                    </w:rPr>
                    <w:t>1.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2014" w:type="dxa"/>
                  <w:tcBorders>
                    <w:tl2br w:val="nil"/>
                    <w:tr2bl w:val="nil"/>
                  </w:tcBorders>
                  <w:vAlign w:val="center"/>
                </w:tcPr>
                <w:p>
                  <w:pPr>
                    <w:pStyle w:val="242"/>
                    <w:jc w:val="center"/>
                    <w:rPr>
                      <w:color w:val="auto"/>
                    </w:rPr>
                  </w:pPr>
                  <w:r>
                    <w:rPr>
                      <w:color w:val="auto"/>
                    </w:rPr>
                    <w:t>项目不涉及。</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2.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2014" w:type="dxa"/>
                  <w:tcBorders>
                    <w:tl2br w:val="nil"/>
                    <w:tr2bl w:val="nil"/>
                  </w:tcBorders>
                  <w:vAlign w:val="center"/>
                </w:tcPr>
                <w:p>
                  <w:pPr>
                    <w:pStyle w:val="242"/>
                    <w:rPr>
                      <w:color w:val="auto"/>
                    </w:rPr>
                  </w:pPr>
                  <w:r>
                    <w:rPr>
                      <w:color w:val="auto"/>
                    </w:rPr>
                    <w:t>项目位于</w:t>
                  </w:r>
                  <w:r>
                    <w:rPr>
                      <w:rFonts w:hint="eastAsia"/>
                      <w:color w:val="auto"/>
                    </w:rPr>
                    <w:t>江北</w:t>
                  </w:r>
                  <w:r>
                    <w:rPr>
                      <w:color w:val="auto"/>
                    </w:rPr>
                    <w:t>区，属于大气环境质量</w:t>
                  </w:r>
                  <w:r>
                    <w:rPr>
                      <w:rFonts w:hint="eastAsia"/>
                      <w:color w:val="auto"/>
                      <w:lang w:val="en-US" w:eastAsia="zh-CN"/>
                    </w:rPr>
                    <w:t>不</w:t>
                  </w:r>
                  <w:r>
                    <w:rPr>
                      <w:color w:val="auto"/>
                    </w:rPr>
                    <w:t>达标区。</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3.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2014" w:type="dxa"/>
                  <w:tcBorders>
                    <w:tl2br w:val="nil"/>
                    <w:tr2bl w:val="nil"/>
                  </w:tcBorders>
                  <w:vAlign w:val="center"/>
                </w:tcPr>
                <w:p>
                  <w:pPr>
                    <w:pStyle w:val="242"/>
                    <w:rPr>
                      <w:color w:val="auto"/>
                    </w:rPr>
                  </w:pPr>
                  <w:r>
                    <w:rPr>
                      <w:color w:val="auto"/>
                    </w:rPr>
                    <w:t>项目不属于重点行业、不涉及喷漆、喷粉、印刷。</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4.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2014" w:type="dxa"/>
                  <w:tcBorders>
                    <w:tl2br w:val="nil"/>
                    <w:tr2bl w:val="nil"/>
                  </w:tcBorders>
                  <w:vAlign w:val="center"/>
                </w:tcPr>
                <w:p>
                  <w:pPr>
                    <w:pStyle w:val="242"/>
                    <w:rPr>
                      <w:color w:val="auto"/>
                    </w:rPr>
                  </w:pPr>
                  <w:r>
                    <w:rPr>
                      <w:color w:val="auto"/>
                    </w:rPr>
                    <w:t>项目所在位置不属于工业聚集区，</w:t>
                  </w:r>
                  <w:bookmarkStart w:id="1" w:name="OLE_LINK7"/>
                  <w:r>
                    <w:rPr>
                      <w:color w:val="auto"/>
                    </w:rPr>
                    <w:t>项目医疗废水经医疗废水预处理设施消毒</w:t>
                  </w:r>
                  <w:bookmarkEnd w:id="1"/>
                  <w:r>
                    <w:rPr>
                      <w:color w:val="auto"/>
                    </w:rPr>
                    <w:t>预处理后与生活污水、洗浴废水一起排入</w:t>
                  </w:r>
                  <w:bookmarkStart w:id="2" w:name="OLE_LINK2"/>
                  <w:bookmarkStart w:id="3" w:name="OLE_LINK5"/>
                  <w:r>
                    <w:rPr>
                      <w:rFonts w:hint="eastAsia"/>
                      <w:color w:val="auto"/>
                    </w:rPr>
                    <w:t>招商锦星汇</w:t>
                  </w:r>
                  <w:r>
                    <w:rPr>
                      <w:color w:val="auto"/>
                    </w:rPr>
                    <w:t>生化池处理后接入市政污水管网排至唐家沱污水处理厂深度处理达标后排放。</w:t>
                  </w:r>
                  <w:bookmarkEnd w:id="2"/>
                  <w:bookmarkEnd w:id="3"/>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5.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tc>
              <w:tc>
                <w:tcPr>
                  <w:tcW w:w="2014" w:type="dxa"/>
                  <w:tcBorders>
                    <w:tl2br w:val="nil"/>
                    <w:tr2bl w:val="nil"/>
                  </w:tcBorders>
                  <w:vAlign w:val="center"/>
                </w:tcPr>
                <w:p>
                  <w:pPr>
                    <w:pStyle w:val="242"/>
                    <w:jc w:val="center"/>
                    <w:rPr>
                      <w:color w:val="auto"/>
                    </w:rPr>
                  </w:pPr>
                  <w:r>
                    <w:rPr>
                      <w:color w:val="auto"/>
                    </w:rPr>
                    <w:t>项目不涉及。</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6.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2014" w:type="dxa"/>
                  <w:tcBorders>
                    <w:tl2br w:val="nil"/>
                    <w:tr2bl w:val="nil"/>
                  </w:tcBorders>
                  <w:vAlign w:val="center"/>
                </w:tcPr>
                <w:p>
                  <w:pPr>
                    <w:pStyle w:val="242"/>
                    <w:jc w:val="center"/>
                    <w:rPr>
                      <w:color w:val="auto"/>
                    </w:rPr>
                  </w:pPr>
                  <w:r>
                    <w:rPr>
                      <w:color w:val="auto"/>
                    </w:rPr>
                    <w:t>项目不涉及。</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7.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2014" w:type="dxa"/>
                  <w:tcBorders>
                    <w:tl2br w:val="nil"/>
                    <w:tr2bl w:val="nil"/>
                  </w:tcBorders>
                  <w:vAlign w:val="center"/>
                </w:tcPr>
                <w:p>
                  <w:pPr>
                    <w:pStyle w:val="242"/>
                    <w:rPr>
                      <w:color w:val="auto"/>
                    </w:rPr>
                  </w:pPr>
                  <w:r>
                    <w:rPr>
                      <w:color w:val="auto"/>
                    </w:rPr>
                    <w:t>项目为宠物医院扩建项目，设置危险废物贮存点并建立废物污染环境防治责任制度及管理台账。</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8.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2014" w:type="dxa"/>
                  <w:tcBorders>
                    <w:tl2br w:val="nil"/>
                    <w:tr2bl w:val="nil"/>
                  </w:tcBorders>
                  <w:vAlign w:val="center"/>
                </w:tcPr>
                <w:p>
                  <w:pPr>
                    <w:pStyle w:val="242"/>
                    <w:rPr>
                      <w:color w:val="auto"/>
                    </w:rPr>
                  </w:pPr>
                  <w:r>
                    <w:rPr>
                      <w:color w:val="auto"/>
                    </w:rPr>
                    <w:t>项目生活垃圾交环卫部门统一处置。</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restart"/>
                  <w:tcBorders>
                    <w:tl2br w:val="nil"/>
                    <w:tr2bl w:val="nil"/>
                  </w:tcBorders>
                  <w:vAlign w:val="center"/>
                </w:tcPr>
                <w:p>
                  <w:pPr>
                    <w:pStyle w:val="242"/>
                    <w:jc w:val="center"/>
                    <w:rPr>
                      <w:color w:val="auto"/>
                    </w:rPr>
                  </w:pPr>
                  <w:r>
                    <w:rPr>
                      <w:color w:val="auto"/>
                    </w:rPr>
                    <w:t>环境风险防控</w:t>
                  </w:r>
                </w:p>
              </w:tc>
              <w:tc>
                <w:tcPr>
                  <w:tcW w:w="4550" w:type="dxa"/>
                  <w:gridSpan w:val="2"/>
                  <w:tcBorders>
                    <w:tl2br w:val="nil"/>
                    <w:tr2bl w:val="nil"/>
                  </w:tcBorders>
                  <w:vAlign w:val="center"/>
                </w:tcPr>
                <w:p>
                  <w:pPr>
                    <w:pStyle w:val="242"/>
                    <w:rPr>
                      <w:color w:val="auto"/>
                    </w:rPr>
                  </w:pPr>
                  <w:r>
                    <w:rPr>
                      <w:color w:val="auto"/>
                    </w:rPr>
                    <w:t>1.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2014" w:type="dxa"/>
                  <w:tcBorders>
                    <w:tl2br w:val="nil"/>
                    <w:tr2bl w:val="nil"/>
                  </w:tcBorders>
                  <w:vAlign w:val="center"/>
                </w:tcPr>
                <w:p>
                  <w:pPr>
                    <w:pStyle w:val="242"/>
                    <w:jc w:val="center"/>
                    <w:rPr>
                      <w:color w:val="auto"/>
                    </w:rPr>
                  </w:pPr>
                  <w:r>
                    <w:rPr>
                      <w:color w:val="auto"/>
                    </w:rPr>
                    <w:t>项目不涉及。</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2.强化化工园区涉水突发环境事件四级环境风险防范体系建设。持续推进重点化工园区（化工集中区）建设有毒有害气体监测预警体系和水质生物毒性预警体系。</w:t>
                  </w:r>
                </w:p>
              </w:tc>
              <w:tc>
                <w:tcPr>
                  <w:tcW w:w="2014" w:type="dxa"/>
                  <w:tcBorders>
                    <w:tl2br w:val="nil"/>
                    <w:tr2bl w:val="nil"/>
                  </w:tcBorders>
                  <w:vAlign w:val="center"/>
                </w:tcPr>
                <w:p>
                  <w:pPr>
                    <w:pStyle w:val="242"/>
                    <w:jc w:val="center"/>
                    <w:rPr>
                      <w:color w:val="auto"/>
                    </w:rPr>
                  </w:pPr>
                  <w:r>
                    <w:rPr>
                      <w:color w:val="auto"/>
                    </w:rPr>
                    <w:t>项目不涉及。</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restart"/>
                  <w:tcBorders>
                    <w:tl2br w:val="nil"/>
                    <w:tr2bl w:val="nil"/>
                  </w:tcBorders>
                  <w:vAlign w:val="center"/>
                </w:tcPr>
                <w:p>
                  <w:pPr>
                    <w:pStyle w:val="242"/>
                    <w:jc w:val="center"/>
                    <w:rPr>
                      <w:color w:val="auto"/>
                    </w:rPr>
                  </w:pPr>
                  <w:r>
                    <w:rPr>
                      <w:color w:val="auto"/>
                    </w:rPr>
                    <w:t>资源开发利用效率</w:t>
                  </w:r>
                </w:p>
              </w:tc>
              <w:tc>
                <w:tcPr>
                  <w:tcW w:w="4550" w:type="dxa"/>
                  <w:gridSpan w:val="2"/>
                  <w:tcBorders>
                    <w:tl2br w:val="nil"/>
                    <w:tr2bl w:val="nil"/>
                  </w:tcBorders>
                  <w:vAlign w:val="center"/>
                </w:tcPr>
                <w:p>
                  <w:pPr>
                    <w:pStyle w:val="242"/>
                    <w:rPr>
                      <w:color w:val="auto"/>
                    </w:rPr>
                  </w:pPr>
                  <w:r>
                    <w:rPr>
                      <w:color w:val="auto"/>
                    </w:rPr>
                    <w:t>1.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2014" w:type="dxa"/>
                  <w:tcBorders>
                    <w:tl2br w:val="nil"/>
                    <w:tr2bl w:val="nil"/>
                  </w:tcBorders>
                  <w:vAlign w:val="center"/>
                </w:tcPr>
                <w:p>
                  <w:pPr>
                    <w:pStyle w:val="242"/>
                    <w:jc w:val="center"/>
                    <w:rPr>
                      <w:color w:val="auto"/>
                    </w:rPr>
                  </w:pPr>
                  <w:r>
                    <w:rPr>
                      <w:color w:val="auto"/>
                    </w:rPr>
                    <w:t>项目不涉及。</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2.</w:t>
                  </w:r>
                  <w:r>
                    <w:rPr>
                      <w:color w:val="auto"/>
                      <w:lang w:bidi="ar"/>
                    </w:rPr>
                    <w:t>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2014" w:type="dxa"/>
                  <w:tcBorders>
                    <w:tl2br w:val="nil"/>
                    <w:tr2bl w:val="nil"/>
                  </w:tcBorders>
                  <w:vAlign w:val="center"/>
                </w:tcPr>
                <w:p>
                  <w:pPr>
                    <w:pStyle w:val="242"/>
                    <w:jc w:val="center"/>
                    <w:rPr>
                      <w:color w:val="auto"/>
                    </w:rPr>
                  </w:pPr>
                  <w:r>
                    <w:rPr>
                      <w:color w:val="auto"/>
                    </w:rPr>
                    <w:t>项目不涉及。</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lang w:bidi="ar"/>
                    </w:rPr>
                    <w:t>3.新建、扩建“两高”项目应采用先进适用的工艺技术和装备，单位产品物耗、能耗、水耗等达到清洁生产先进水平。</w:t>
                  </w:r>
                </w:p>
              </w:tc>
              <w:tc>
                <w:tcPr>
                  <w:tcW w:w="2014" w:type="dxa"/>
                  <w:tcBorders>
                    <w:tl2br w:val="nil"/>
                    <w:tr2bl w:val="nil"/>
                  </w:tcBorders>
                  <w:vAlign w:val="center"/>
                </w:tcPr>
                <w:p>
                  <w:pPr>
                    <w:pStyle w:val="242"/>
                    <w:rPr>
                      <w:color w:val="auto"/>
                    </w:rPr>
                  </w:pPr>
                  <w:r>
                    <w:rPr>
                      <w:color w:val="auto"/>
                    </w:rPr>
                    <w:t>项目不属于“两高”项目。</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lang w:bidi="ar"/>
                    </w:rPr>
                    <w:t>4.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2014" w:type="dxa"/>
                  <w:tcBorders>
                    <w:tl2br w:val="nil"/>
                    <w:tr2bl w:val="nil"/>
                  </w:tcBorders>
                  <w:vAlign w:val="center"/>
                </w:tcPr>
                <w:p>
                  <w:pPr>
                    <w:pStyle w:val="242"/>
                    <w:jc w:val="center"/>
                    <w:rPr>
                      <w:color w:val="auto"/>
                    </w:rPr>
                  </w:pPr>
                  <w:r>
                    <w:rPr>
                      <w:color w:val="auto"/>
                    </w:rPr>
                    <w:t>项目不涉及。</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lang w:bidi="ar"/>
                    </w:rPr>
                    <w:t>5.加快推进节水配套设施建设，加强再生水、雨水等非常规水多元、梯级和安全利用，逐年提高非常规水利用比例。结合现有污水处理设施提标升级扩能改造，系统规划城镇污水再生利用设施。</w:t>
                  </w:r>
                </w:p>
              </w:tc>
              <w:tc>
                <w:tcPr>
                  <w:tcW w:w="2014" w:type="dxa"/>
                  <w:tcBorders>
                    <w:tl2br w:val="nil"/>
                    <w:tr2bl w:val="nil"/>
                  </w:tcBorders>
                  <w:vAlign w:val="center"/>
                </w:tcPr>
                <w:p>
                  <w:pPr>
                    <w:pStyle w:val="242"/>
                    <w:jc w:val="center"/>
                    <w:rPr>
                      <w:color w:val="auto"/>
                    </w:rPr>
                  </w:pPr>
                  <w:r>
                    <w:rPr>
                      <w:color w:val="auto"/>
                    </w:rPr>
                    <w:t>项目不涉及。</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restart"/>
                  <w:tcBorders>
                    <w:tl2br w:val="nil"/>
                    <w:tr2bl w:val="nil"/>
                  </w:tcBorders>
                  <w:vAlign w:val="center"/>
                </w:tcPr>
                <w:p>
                  <w:pPr>
                    <w:pStyle w:val="242"/>
                    <w:rPr>
                      <w:color w:val="auto"/>
                    </w:rPr>
                  </w:pPr>
                  <w:r>
                    <w:rPr>
                      <w:rFonts w:hint="eastAsia"/>
                      <w:color w:val="auto"/>
                    </w:rPr>
                    <w:t>江</w:t>
                  </w:r>
                  <w:r>
                    <w:rPr>
                      <w:color w:val="auto"/>
                    </w:rPr>
                    <w:t>北</w:t>
                  </w:r>
                  <w:r>
                    <w:rPr>
                      <w:rFonts w:hint="eastAsia"/>
                      <w:color w:val="auto"/>
                    </w:rPr>
                    <w:t>区</w:t>
                  </w:r>
                  <w:r>
                    <w:rPr>
                      <w:color w:val="auto"/>
                    </w:rPr>
                    <w:t>总体管控要求</w:t>
                  </w:r>
                </w:p>
              </w:tc>
              <w:tc>
                <w:tcPr>
                  <w:tcW w:w="726" w:type="dxa"/>
                  <w:vMerge w:val="restart"/>
                  <w:tcBorders>
                    <w:tl2br w:val="nil"/>
                    <w:tr2bl w:val="nil"/>
                  </w:tcBorders>
                  <w:vAlign w:val="center"/>
                </w:tcPr>
                <w:p>
                  <w:pPr>
                    <w:pStyle w:val="242"/>
                    <w:jc w:val="center"/>
                    <w:rPr>
                      <w:color w:val="auto"/>
                    </w:rPr>
                  </w:pPr>
                  <w:r>
                    <w:rPr>
                      <w:color w:val="auto"/>
                    </w:rPr>
                    <w:t>空间布局约束</w:t>
                  </w:r>
                </w:p>
              </w:tc>
              <w:tc>
                <w:tcPr>
                  <w:tcW w:w="4550" w:type="dxa"/>
                  <w:gridSpan w:val="2"/>
                  <w:tcBorders>
                    <w:tl2br w:val="nil"/>
                    <w:tr2bl w:val="nil"/>
                  </w:tcBorders>
                  <w:vAlign w:val="center"/>
                </w:tcPr>
                <w:p>
                  <w:pPr>
                    <w:pStyle w:val="242"/>
                    <w:rPr>
                      <w:color w:val="auto"/>
                    </w:rPr>
                  </w:pPr>
                  <w:r>
                    <w:rPr>
                      <w:color w:val="auto"/>
                    </w:rPr>
                    <w:t>第一条执行重点管控单元市级总体管控要求第二条、第四条、第六条、第七条。</w:t>
                  </w:r>
                </w:p>
              </w:tc>
              <w:tc>
                <w:tcPr>
                  <w:tcW w:w="2014" w:type="dxa"/>
                  <w:tcBorders>
                    <w:tl2br w:val="nil"/>
                    <w:tr2bl w:val="nil"/>
                  </w:tcBorders>
                  <w:vAlign w:val="center"/>
                </w:tcPr>
                <w:p>
                  <w:pPr>
                    <w:pStyle w:val="242"/>
                    <w:rPr>
                      <w:color w:val="auto"/>
                    </w:rPr>
                  </w:pPr>
                  <w:r>
                    <w:rPr>
                      <w:color w:val="auto"/>
                    </w:rPr>
                    <w:t>项目满足重点管控单元市级总体要求第二条、第四条、第六条、第七条。</w:t>
                  </w:r>
                </w:p>
              </w:tc>
              <w:tc>
                <w:tcPr>
                  <w:tcW w:w="692" w:type="dxa"/>
                  <w:tcBorders>
                    <w:tl2br w:val="nil"/>
                    <w:tr2bl w:val="nil"/>
                  </w:tcBorders>
                  <w:vAlign w:val="center"/>
                </w:tcPr>
                <w:p>
                  <w:pPr>
                    <w:pStyle w:val="242"/>
                    <w:rPr>
                      <w:rFonts w:eastAsia="方正仿宋_GBK"/>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第二条禁止新建燃煤发电、钢铁、化工、水泥、采(碎)石场、烧结砖瓦企业及燃煤锅炉等项目，禁止在合规园区外新建、扩建焦化、建材、有色、制浆造纸等高污染项目（高污染项目严格按照《环境保护综合名录(2021年版）》“高污染”产品名录执行）。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2014" w:type="dxa"/>
                  <w:tcBorders>
                    <w:tl2br w:val="nil"/>
                    <w:tr2bl w:val="nil"/>
                  </w:tcBorders>
                  <w:vAlign w:val="center"/>
                </w:tcPr>
                <w:p>
                  <w:pPr>
                    <w:pStyle w:val="242"/>
                    <w:rPr>
                      <w:color w:val="auto"/>
                    </w:rPr>
                  </w:pPr>
                  <w:r>
                    <w:rPr>
                      <w:rFonts w:hint="eastAsia"/>
                      <w:color w:val="auto"/>
                    </w:rPr>
                    <w:t>项目为宠物医院建设项目，不属于左列项目。</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第三条规范岸线利用，严格保护湾、沱、滩、浩等特色景观区域，区内不再新增砂石码头，建设其他码头应满足《重庆港总体规划（2035年）》和其他相关法律法规要求。</w:t>
                  </w:r>
                </w:p>
              </w:tc>
              <w:tc>
                <w:tcPr>
                  <w:tcW w:w="2014" w:type="dxa"/>
                  <w:tcBorders>
                    <w:tl2br w:val="nil"/>
                    <w:tr2bl w:val="nil"/>
                  </w:tcBorders>
                  <w:vAlign w:val="center"/>
                </w:tcPr>
                <w:p>
                  <w:pPr>
                    <w:pStyle w:val="242"/>
                    <w:rPr>
                      <w:color w:val="auto"/>
                    </w:rPr>
                  </w:pPr>
                  <w:r>
                    <w:rPr>
                      <w:color w:val="auto"/>
                    </w:rPr>
                    <w:t>项目为宠物医院建设项目，不涉及</w:t>
                  </w:r>
                  <w:r>
                    <w:rPr>
                      <w:rFonts w:hint="eastAsia"/>
                      <w:color w:val="auto"/>
                    </w:rPr>
                    <w:t>岸线利用。</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restart"/>
                  <w:tcBorders>
                    <w:tl2br w:val="nil"/>
                    <w:tr2bl w:val="nil"/>
                  </w:tcBorders>
                  <w:vAlign w:val="center"/>
                </w:tcPr>
                <w:p>
                  <w:pPr>
                    <w:pStyle w:val="242"/>
                    <w:rPr>
                      <w:color w:val="auto"/>
                    </w:rPr>
                  </w:pPr>
                  <w:r>
                    <w:rPr>
                      <w:color w:val="auto"/>
                    </w:rPr>
                    <w:t>污染物排放管控</w:t>
                  </w:r>
                </w:p>
              </w:tc>
              <w:tc>
                <w:tcPr>
                  <w:tcW w:w="4550" w:type="dxa"/>
                  <w:gridSpan w:val="2"/>
                  <w:tcBorders>
                    <w:tl2br w:val="nil"/>
                    <w:tr2bl w:val="nil"/>
                  </w:tcBorders>
                  <w:vAlign w:val="center"/>
                </w:tcPr>
                <w:p>
                  <w:pPr>
                    <w:pStyle w:val="242"/>
                    <w:rPr>
                      <w:color w:val="auto"/>
                    </w:rPr>
                  </w:pPr>
                  <w:r>
                    <w:rPr>
                      <w:color w:val="auto"/>
                    </w:rPr>
                    <w:t>第四条执行重点管控单元市级总体管控要求第十一条、第十二条、第十四条、第十五条。</w:t>
                  </w:r>
                </w:p>
              </w:tc>
              <w:tc>
                <w:tcPr>
                  <w:tcW w:w="2014" w:type="dxa"/>
                  <w:tcBorders>
                    <w:tl2br w:val="nil"/>
                    <w:tr2bl w:val="nil"/>
                  </w:tcBorders>
                  <w:vAlign w:val="center"/>
                </w:tcPr>
                <w:p>
                  <w:pPr>
                    <w:pStyle w:val="242"/>
                    <w:rPr>
                      <w:color w:val="auto"/>
                    </w:rPr>
                  </w:pPr>
                  <w:r>
                    <w:rPr>
                      <w:color w:val="auto"/>
                    </w:rPr>
                    <w:t>项目满足重点管控单元市级总体要求第十一条、第十二条、第十四条、第十五条。</w:t>
                  </w:r>
                </w:p>
              </w:tc>
              <w:tc>
                <w:tcPr>
                  <w:tcW w:w="692" w:type="dxa"/>
                  <w:tcBorders>
                    <w:tl2br w:val="nil"/>
                    <w:tr2bl w:val="nil"/>
                  </w:tcBorders>
                  <w:vAlign w:val="center"/>
                </w:tcPr>
                <w:p>
                  <w:pPr>
                    <w:pStyle w:val="242"/>
                    <w:rPr>
                      <w:rFonts w:eastAsia="方正仿宋_GBK"/>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第五条严格落实国家及我市大气污染防控相关要求，对大气环境质量未达标地区，新建、改扩建项目实施更严格的污染物排放总量控制要求。“两高”行业的建设项目所在区域、流域控制单元环境质量未达到国家或者地方环境质量标准的，建设项目需提出有效的区域削减方案，主要污染物实行区域倍量削减。</w:t>
                  </w:r>
                </w:p>
              </w:tc>
              <w:tc>
                <w:tcPr>
                  <w:tcW w:w="2014" w:type="dxa"/>
                  <w:tcBorders>
                    <w:tl2br w:val="nil"/>
                    <w:tr2bl w:val="nil"/>
                  </w:tcBorders>
                  <w:vAlign w:val="center"/>
                </w:tcPr>
                <w:p>
                  <w:pPr>
                    <w:pStyle w:val="242"/>
                    <w:rPr>
                      <w:color w:val="auto"/>
                    </w:rPr>
                  </w:pPr>
                  <w:r>
                    <w:rPr>
                      <w:rFonts w:hint="eastAsia"/>
                      <w:color w:val="auto"/>
                    </w:rPr>
                    <w:t>项目为宠物医院建设项目，不属于工业项目。</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第六条制药、电子设备制造、包装印刷及其他产生含挥发性有机物废气的生产和服务活动，应当在密闭空间或者设备中进行，并按照规定安装、使用污染防治设施，保持正常运行；无法密闭的，应当采取措施减少废气排放。工业涂装企业和涉及喷涂作业的机动车维修服务企业，应当按照规定安装、使用污染防治设施，使用低挥发性有机物含量的原辅材料，或者进行工艺改造，并对原辅材料储运、加工生产、废弃物处置等环节实施全过程控制。储油储气库、加油加气站等，应当开展油气回收治理，按照国家有关规定安装油气回收装置并保持正常使用。</w:t>
                  </w:r>
                </w:p>
              </w:tc>
              <w:tc>
                <w:tcPr>
                  <w:tcW w:w="2014" w:type="dxa"/>
                  <w:tcBorders>
                    <w:tl2br w:val="nil"/>
                    <w:tr2bl w:val="nil"/>
                  </w:tcBorders>
                  <w:shd w:val="clear" w:color="auto" w:fill="auto"/>
                  <w:vAlign w:val="center"/>
                </w:tcPr>
                <w:p>
                  <w:pPr>
                    <w:pStyle w:val="242"/>
                    <w:rPr>
                      <w:color w:val="auto"/>
                    </w:rPr>
                  </w:pPr>
                  <w:r>
                    <w:rPr>
                      <w:rFonts w:hint="eastAsia"/>
                      <w:color w:val="auto"/>
                    </w:rPr>
                    <w:t>项目为宠物医院建设项目，不属于左列项目。</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第七条二氧化硫、氮氧化物、颗粒物、挥发性有机物严格执行大气污染物特别排放限值。</w:t>
                  </w:r>
                </w:p>
              </w:tc>
              <w:tc>
                <w:tcPr>
                  <w:tcW w:w="2014" w:type="dxa"/>
                  <w:tcBorders>
                    <w:tl2br w:val="nil"/>
                    <w:tr2bl w:val="nil"/>
                  </w:tcBorders>
                  <w:vAlign w:val="center"/>
                </w:tcPr>
                <w:p>
                  <w:pPr>
                    <w:pStyle w:val="242"/>
                    <w:jc w:val="center"/>
                    <w:rPr>
                      <w:color w:val="auto"/>
                    </w:rPr>
                  </w:pPr>
                  <w:r>
                    <w:rPr>
                      <w:color w:val="auto"/>
                    </w:rPr>
                    <w:t>项目不涉及。</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第八条锅炉使用单位宜选择低氮燃烧效果好的炉型及燃烧设备。区内已建锅炉推进氮氧化物超低排放改造。</w:t>
                  </w:r>
                </w:p>
              </w:tc>
              <w:tc>
                <w:tcPr>
                  <w:tcW w:w="2014" w:type="dxa"/>
                  <w:tcBorders>
                    <w:tl2br w:val="nil"/>
                    <w:tr2bl w:val="nil"/>
                  </w:tcBorders>
                  <w:vAlign w:val="center"/>
                </w:tcPr>
                <w:p>
                  <w:pPr>
                    <w:pStyle w:val="242"/>
                    <w:jc w:val="center"/>
                    <w:rPr>
                      <w:color w:val="auto"/>
                    </w:rPr>
                  </w:pPr>
                  <w:r>
                    <w:rPr>
                      <w:color w:val="auto"/>
                    </w:rPr>
                    <w:t>项目不涉及。</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第九条大力推广新能源车，公交车、公共用车、市政环卫车、公务车推广使用新能源汽车。严格执行重型柴油车国家第六阶段机动车排放标准，鼓励在用柴油车通过安装颗粒物捕集等净化装置减少大气污染物排放，对货运车辆（含运渣车）实施按时段、按路线精细化管控。持续优化公交线路，提高公交出行比例。加快推进智能交通系统建设，提高道路通行效率。新建码头应当建设岸基供电设施，现有码头应当逐步实施岸基供电设施改造。机动船舶靠港后应当优先使用岸电。</w:t>
                  </w:r>
                </w:p>
              </w:tc>
              <w:tc>
                <w:tcPr>
                  <w:tcW w:w="2014" w:type="dxa"/>
                  <w:tcBorders>
                    <w:tl2br w:val="nil"/>
                    <w:tr2bl w:val="nil"/>
                  </w:tcBorders>
                  <w:shd w:val="clear" w:color="auto" w:fill="auto"/>
                  <w:vAlign w:val="center"/>
                </w:tcPr>
                <w:p>
                  <w:pPr>
                    <w:pStyle w:val="242"/>
                    <w:jc w:val="center"/>
                    <w:rPr>
                      <w:color w:val="auto"/>
                    </w:rPr>
                  </w:pPr>
                  <w:r>
                    <w:rPr>
                      <w:color w:val="auto"/>
                    </w:rPr>
                    <w:t>项目不涉及。</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第十条建筑面积5万平方米以上的工地全部安装扬尘在线监测系统并联网。严格渣土运输车辆规范化管理，严格落实“定车辆、定线路、定渣场”要求和密闭运输要求。建筑面积1000平方米以上或者混凝土用量500立方米以上的房屋建筑和市政基础设施工程，禁止现场搅拌混凝土。</w:t>
                  </w:r>
                </w:p>
              </w:tc>
              <w:tc>
                <w:tcPr>
                  <w:tcW w:w="2014" w:type="dxa"/>
                  <w:tcBorders>
                    <w:tl2br w:val="nil"/>
                    <w:tr2bl w:val="nil"/>
                  </w:tcBorders>
                  <w:vAlign w:val="center"/>
                </w:tcPr>
                <w:p>
                  <w:pPr>
                    <w:pStyle w:val="242"/>
                    <w:jc w:val="center"/>
                    <w:rPr>
                      <w:color w:val="auto"/>
                    </w:rPr>
                  </w:pPr>
                  <w:r>
                    <w:rPr>
                      <w:color w:val="auto"/>
                    </w:rPr>
                    <w:t>项目不涉及。</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第十一条继续加强盘溪河、栋梁河水资源、水环境、水生态统筹治理。推进海绵城市建设，实施混错接、漏接、老旧破损管网更新修复，加快实施待开发区域排水管网建设，2025年城市生活污水集中处理率达到98%以上。</w:t>
                  </w:r>
                </w:p>
              </w:tc>
              <w:tc>
                <w:tcPr>
                  <w:tcW w:w="2014" w:type="dxa"/>
                  <w:tcBorders>
                    <w:tl2br w:val="nil"/>
                    <w:tr2bl w:val="nil"/>
                  </w:tcBorders>
                  <w:vAlign w:val="center"/>
                </w:tcPr>
                <w:p>
                  <w:pPr>
                    <w:pStyle w:val="242"/>
                    <w:jc w:val="center"/>
                    <w:rPr>
                      <w:color w:val="auto"/>
                    </w:rPr>
                  </w:pPr>
                  <w:r>
                    <w:rPr>
                      <w:rFonts w:hint="eastAsia"/>
                      <w:color w:val="auto"/>
                    </w:rPr>
                    <w:t>项目不涉及。</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第十二条船舶的餐厨垃圾应当贮存在专门的容器中，收集上岸集中处置。餐厨垃圾的处置情况应当如实记录。禁止向水体倾倒垃圾，排放残油、废油。推进船舶污水收集上岸集中处置。含油污水、生活污水应当经过处理，达到排放标准后排放；禁止直接向水体排放未经处理的含油污水、生活污水。</w:t>
                  </w:r>
                </w:p>
              </w:tc>
              <w:tc>
                <w:tcPr>
                  <w:tcW w:w="2014" w:type="dxa"/>
                  <w:tcBorders>
                    <w:tl2br w:val="nil"/>
                    <w:tr2bl w:val="nil"/>
                  </w:tcBorders>
                  <w:shd w:val="clear" w:color="auto" w:fill="auto"/>
                  <w:vAlign w:val="center"/>
                </w:tcPr>
                <w:p>
                  <w:pPr>
                    <w:pStyle w:val="242"/>
                    <w:jc w:val="center"/>
                    <w:rPr>
                      <w:color w:val="auto"/>
                    </w:rPr>
                  </w:pPr>
                  <w:r>
                    <w:rPr>
                      <w:rFonts w:hint="eastAsia"/>
                      <w:color w:val="auto"/>
                    </w:rPr>
                    <w:t>项目不涉及。</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51" w:hRule="atLeast"/>
                <w:jc w:val="center"/>
              </w:trPr>
              <w:tc>
                <w:tcPr>
                  <w:tcW w:w="952" w:type="dxa"/>
                  <w:vMerge w:val="continue"/>
                  <w:tcBorders>
                    <w:tl2br w:val="nil"/>
                    <w:tr2bl w:val="nil"/>
                  </w:tcBorders>
                  <w:vAlign w:val="center"/>
                </w:tcPr>
                <w:p>
                  <w:pPr>
                    <w:pStyle w:val="242"/>
                    <w:rPr>
                      <w:color w:val="auto"/>
                    </w:rPr>
                  </w:pPr>
                </w:p>
              </w:tc>
              <w:tc>
                <w:tcPr>
                  <w:tcW w:w="726" w:type="dxa"/>
                  <w:vMerge w:val="restart"/>
                  <w:tcBorders>
                    <w:tl2br w:val="nil"/>
                    <w:tr2bl w:val="nil"/>
                  </w:tcBorders>
                  <w:vAlign w:val="center"/>
                </w:tcPr>
                <w:p>
                  <w:pPr>
                    <w:pStyle w:val="242"/>
                    <w:jc w:val="center"/>
                    <w:rPr>
                      <w:color w:val="auto"/>
                    </w:rPr>
                  </w:pPr>
                  <w:r>
                    <w:rPr>
                      <w:color w:val="auto"/>
                    </w:rPr>
                    <w:t>环境风险防控</w:t>
                  </w:r>
                </w:p>
              </w:tc>
              <w:tc>
                <w:tcPr>
                  <w:tcW w:w="4550" w:type="dxa"/>
                  <w:gridSpan w:val="2"/>
                  <w:tcBorders>
                    <w:tl2br w:val="nil"/>
                    <w:tr2bl w:val="nil"/>
                  </w:tcBorders>
                  <w:vAlign w:val="center"/>
                </w:tcPr>
                <w:p>
                  <w:pPr>
                    <w:pStyle w:val="242"/>
                    <w:rPr>
                      <w:color w:val="auto"/>
                    </w:rPr>
                  </w:pPr>
                  <w:r>
                    <w:rPr>
                      <w:color w:val="auto"/>
                    </w:rPr>
                    <w:t>第十三条执行重点管控单元市级总体管控要求第十六条。</w:t>
                  </w:r>
                </w:p>
              </w:tc>
              <w:tc>
                <w:tcPr>
                  <w:tcW w:w="2014" w:type="dxa"/>
                  <w:tcBorders>
                    <w:tl2br w:val="nil"/>
                    <w:tr2bl w:val="nil"/>
                  </w:tcBorders>
                  <w:vAlign w:val="center"/>
                </w:tcPr>
                <w:p>
                  <w:pPr>
                    <w:pStyle w:val="242"/>
                    <w:rPr>
                      <w:color w:val="auto"/>
                    </w:rPr>
                  </w:pPr>
                  <w:r>
                    <w:rPr>
                      <w:color w:val="auto"/>
                    </w:rPr>
                    <w:t>项目满足重点管控单元市级总体管控要求第十六条要求。</w:t>
                  </w:r>
                </w:p>
              </w:tc>
              <w:tc>
                <w:tcPr>
                  <w:tcW w:w="692" w:type="dxa"/>
                  <w:tcBorders>
                    <w:tl2br w:val="nil"/>
                    <w:tr2bl w:val="nil"/>
                  </w:tcBorders>
                  <w:vAlign w:val="center"/>
                </w:tcPr>
                <w:p>
                  <w:pPr>
                    <w:pStyle w:val="242"/>
                    <w:rPr>
                      <w:rFonts w:eastAsia="方正仿宋_GBK"/>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51"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第十四条加强对危险化学品生产、经营、贮存、运输、使用、处置的全过程监管，强化危险化学品运输及储存安全管理。常态化加强对沿江油库、工业园区、污水处理厂等重点风险源的环境风险排查，持续强化饮用水水源地的日常巡查和环境监管。逐步完善港城工业园区环境风险防范体系建设。与两江新区建立水源地突发环境事件应急联动机制。</w:t>
                  </w:r>
                </w:p>
              </w:tc>
              <w:tc>
                <w:tcPr>
                  <w:tcW w:w="2014" w:type="dxa"/>
                  <w:tcBorders>
                    <w:tl2br w:val="nil"/>
                    <w:tr2bl w:val="nil"/>
                  </w:tcBorders>
                  <w:vAlign w:val="center"/>
                </w:tcPr>
                <w:p>
                  <w:pPr>
                    <w:pStyle w:val="242"/>
                    <w:jc w:val="center"/>
                    <w:rPr>
                      <w:color w:val="auto"/>
                    </w:rPr>
                  </w:pPr>
                  <w:r>
                    <w:rPr>
                      <w:color w:val="auto"/>
                    </w:rPr>
                    <w:t>项目不涉及。</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第十五条船舶进行超过300吨的散装持久性油类的装卸（船舶燃油供应作业除外）作业，港口、码头、装卸站应当采取包括布设围油栏在内的防污染措施，因自然条件等原因，不适合布设围油栏的，应当采取有效替代措施。港口、码头、装卸站的经营人以及有关作业单位应当制定防治船舶及其作业活动污染内河水域环境的应急预案，每年至少组织一次应急演练。</w:t>
                  </w:r>
                </w:p>
              </w:tc>
              <w:tc>
                <w:tcPr>
                  <w:tcW w:w="2014" w:type="dxa"/>
                  <w:tcBorders>
                    <w:tl2br w:val="nil"/>
                    <w:tr2bl w:val="nil"/>
                  </w:tcBorders>
                  <w:shd w:val="clear" w:color="auto" w:fill="auto"/>
                  <w:vAlign w:val="center"/>
                </w:tcPr>
                <w:p>
                  <w:pPr>
                    <w:pStyle w:val="242"/>
                    <w:jc w:val="center"/>
                    <w:rPr>
                      <w:color w:val="auto"/>
                    </w:rPr>
                  </w:pPr>
                  <w:r>
                    <w:rPr>
                      <w:color w:val="auto"/>
                    </w:rPr>
                    <w:t>项目不涉及。</w:t>
                  </w:r>
                </w:p>
              </w:tc>
              <w:tc>
                <w:tcPr>
                  <w:tcW w:w="692" w:type="dxa"/>
                  <w:tcBorders>
                    <w:tl2br w:val="nil"/>
                    <w:tr2bl w:val="nil"/>
                  </w:tcBorders>
                  <w:vAlign w:val="center"/>
                </w:tcPr>
                <w:p>
                  <w:pPr>
                    <w:pStyle w:val="242"/>
                    <w:rPr>
                      <w:rFonts w:eastAsia="方正仿宋_GBK"/>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第十六条依法应当开展土壤污染状况调查或风险评估而未开展或尚未完成的地块，以及未达到土壤污染风险评估报告确定的风险管控、修复目标的建设用地地块，不得开工建设与风险管控、修复无关的项目。土壤污染重点监管单位应严格控制有毒有害物质排放，建立土壤污染隐患排查制度，保证持续有效防止有毒有害物质渗漏、流失、扬散，并制定自行监测方案，每年开展土壤监测</w:t>
                  </w:r>
                  <w:r>
                    <w:rPr>
                      <w:rFonts w:hint="eastAsia"/>
                      <w:color w:val="auto"/>
                    </w:rPr>
                    <w:t>。</w:t>
                  </w:r>
                </w:p>
              </w:tc>
              <w:tc>
                <w:tcPr>
                  <w:tcW w:w="2014" w:type="dxa"/>
                  <w:tcBorders>
                    <w:tl2br w:val="nil"/>
                    <w:tr2bl w:val="nil"/>
                  </w:tcBorders>
                  <w:shd w:val="clear" w:color="auto" w:fill="auto"/>
                  <w:vAlign w:val="center"/>
                </w:tcPr>
                <w:p>
                  <w:pPr>
                    <w:pStyle w:val="242"/>
                    <w:jc w:val="center"/>
                    <w:rPr>
                      <w:color w:val="auto"/>
                    </w:rPr>
                  </w:pPr>
                  <w:r>
                    <w:rPr>
                      <w:color w:val="auto"/>
                    </w:rPr>
                    <w:t>项目不涉及。</w:t>
                  </w:r>
                </w:p>
              </w:tc>
              <w:tc>
                <w:tcPr>
                  <w:tcW w:w="692" w:type="dxa"/>
                  <w:tcBorders>
                    <w:tl2br w:val="nil"/>
                    <w:tr2bl w:val="nil"/>
                  </w:tcBorders>
                  <w:vAlign w:val="center"/>
                </w:tcPr>
                <w:p>
                  <w:pPr>
                    <w:pStyle w:val="242"/>
                    <w:rPr>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restart"/>
                  <w:tcBorders>
                    <w:tl2br w:val="nil"/>
                    <w:tr2bl w:val="nil"/>
                  </w:tcBorders>
                  <w:vAlign w:val="center"/>
                </w:tcPr>
                <w:p>
                  <w:pPr>
                    <w:pStyle w:val="242"/>
                    <w:jc w:val="center"/>
                    <w:rPr>
                      <w:color w:val="auto"/>
                    </w:rPr>
                  </w:pPr>
                  <w:r>
                    <w:rPr>
                      <w:color w:val="auto"/>
                    </w:rPr>
                    <w:t>资源开发利用效率</w:t>
                  </w:r>
                </w:p>
              </w:tc>
              <w:tc>
                <w:tcPr>
                  <w:tcW w:w="4550" w:type="dxa"/>
                  <w:gridSpan w:val="2"/>
                  <w:tcBorders>
                    <w:tl2br w:val="nil"/>
                    <w:tr2bl w:val="nil"/>
                  </w:tcBorders>
                  <w:vAlign w:val="center"/>
                </w:tcPr>
                <w:p>
                  <w:pPr>
                    <w:pStyle w:val="242"/>
                    <w:rPr>
                      <w:color w:val="auto"/>
                    </w:rPr>
                  </w:pPr>
                  <w:r>
                    <w:rPr>
                      <w:color w:val="auto"/>
                    </w:rPr>
                    <w:t>第二十八条 执行重点管控单元市级总体管控要求第十八条、第十九条、第二十条、第二十二条。</w:t>
                  </w:r>
                </w:p>
              </w:tc>
              <w:tc>
                <w:tcPr>
                  <w:tcW w:w="2014" w:type="dxa"/>
                  <w:tcBorders>
                    <w:tl2br w:val="nil"/>
                    <w:tr2bl w:val="nil"/>
                  </w:tcBorders>
                  <w:vAlign w:val="center"/>
                </w:tcPr>
                <w:p>
                  <w:pPr>
                    <w:pStyle w:val="242"/>
                    <w:rPr>
                      <w:color w:val="auto"/>
                    </w:rPr>
                  </w:pPr>
                  <w:r>
                    <w:rPr>
                      <w:color w:val="auto"/>
                    </w:rPr>
                    <w:t>项目满足重点管控单元市级总体管控要求第十八条、第十九条、第二十条、第二十二条要求。</w:t>
                  </w:r>
                </w:p>
              </w:tc>
              <w:tc>
                <w:tcPr>
                  <w:tcW w:w="692" w:type="dxa"/>
                  <w:tcBorders>
                    <w:tl2br w:val="nil"/>
                    <w:tr2bl w:val="nil"/>
                  </w:tcBorders>
                  <w:vAlign w:val="center"/>
                </w:tcPr>
                <w:p>
                  <w:pPr>
                    <w:pStyle w:val="242"/>
                    <w:rPr>
                      <w:rFonts w:eastAsia="方正仿宋_GBK"/>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第十八条禁止使用煤炭及其制品、石油焦、油页岩、原油、重油、渣油、煤焦油、非专用锅炉或未配置高效除尘设施的专用锅炉燃用的生物质成型燃料、国家和重庆市规定的其他高污染燃料。</w:t>
                  </w:r>
                </w:p>
              </w:tc>
              <w:tc>
                <w:tcPr>
                  <w:tcW w:w="2014" w:type="dxa"/>
                  <w:tcBorders>
                    <w:tl2br w:val="nil"/>
                    <w:tr2bl w:val="nil"/>
                  </w:tcBorders>
                  <w:vAlign w:val="center"/>
                </w:tcPr>
                <w:p>
                  <w:pPr>
                    <w:pStyle w:val="242"/>
                    <w:rPr>
                      <w:color w:val="auto"/>
                    </w:rPr>
                  </w:pPr>
                  <w:r>
                    <w:rPr>
                      <w:color w:val="auto"/>
                    </w:rPr>
                    <w:t>项目</w:t>
                  </w:r>
                  <w:r>
                    <w:rPr>
                      <w:rFonts w:hint="eastAsia"/>
                      <w:color w:val="auto"/>
                    </w:rPr>
                    <w:t>为宠物医院建设项目，不涉及高污染燃料使用。</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vMerge w:val="continue"/>
                  <w:tcBorders>
                    <w:tl2br w:val="nil"/>
                    <w:tr2bl w:val="nil"/>
                  </w:tcBorders>
                  <w:vAlign w:val="center"/>
                </w:tcPr>
                <w:p>
                  <w:pPr>
                    <w:pStyle w:val="242"/>
                    <w:rPr>
                      <w:color w:val="auto"/>
                    </w:rPr>
                  </w:pPr>
                </w:p>
              </w:tc>
              <w:tc>
                <w:tcPr>
                  <w:tcW w:w="4550" w:type="dxa"/>
                  <w:gridSpan w:val="2"/>
                  <w:tcBorders>
                    <w:tl2br w:val="nil"/>
                    <w:tr2bl w:val="nil"/>
                  </w:tcBorders>
                  <w:vAlign w:val="center"/>
                </w:tcPr>
                <w:p>
                  <w:pPr>
                    <w:pStyle w:val="242"/>
                    <w:rPr>
                      <w:color w:val="auto"/>
                    </w:rPr>
                  </w:pPr>
                  <w:r>
                    <w:rPr>
                      <w:color w:val="auto"/>
                    </w:rPr>
                    <w:t>第十九条引导新建建筑建成超低能耗建筑、近零能耗建筑。鼓励在有条件的新建住宅区试点建设智能微网，充分利用项目区域内闲置空地、屋顶等发展分布式光伏发电项目。</w:t>
                  </w:r>
                </w:p>
              </w:tc>
              <w:tc>
                <w:tcPr>
                  <w:tcW w:w="2014" w:type="dxa"/>
                  <w:tcBorders>
                    <w:tl2br w:val="nil"/>
                    <w:tr2bl w:val="nil"/>
                  </w:tcBorders>
                  <w:vAlign w:val="center"/>
                </w:tcPr>
                <w:p>
                  <w:pPr>
                    <w:pStyle w:val="242"/>
                    <w:rPr>
                      <w:color w:val="auto"/>
                    </w:rPr>
                  </w:pPr>
                  <w:r>
                    <w:rPr>
                      <w:color w:val="auto"/>
                    </w:rPr>
                    <w:t>项目用水量较少，不属于高耗水行业。</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56" w:hRule="atLeast"/>
                <w:jc w:val="center"/>
              </w:trPr>
              <w:tc>
                <w:tcPr>
                  <w:tcW w:w="952" w:type="dxa"/>
                  <w:vMerge w:val="restart"/>
                  <w:tcBorders>
                    <w:tl2br w:val="nil"/>
                    <w:tr2bl w:val="nil"/>
                  </w:tcBorders>
                  <w:vAlign w:val="center"/>
                </w:tcPr>
                <w:p>
                  <w:pPr>
                    <w:pStyle w:val="242"/>
                    <w:rPr>
                      <w:color w:val="auto"/>
                    </w:rPr>
                  </w:pPr>
                  <w:r>
                    <w:rPr>
                      <w:rFonts w:hint="eastAsia"/>
                      <w:color w:val="auto"/>
                    </w:rPr>
                    <w:t>江北</w:t>
                  </w:r>
                  <w:r>
                    <w:rPr>
                      <w:color w:val="auto"/>
                    </w:rPr>
                    <w:t>区工业城镇重点管控单元-城区片区</w:t>
                  </w:r>
                </w:p>
              </w:tc>
              <w:tc>
                <w:tcPr>
                  <w:tcW w:w="726" w:type="dxa"/>
                  <w:tcBorders>
                    <w:tl2br w:val="nil"/>
                    <w:tr2bl w:val="nil"/>
                  </w:tcBorders>
                  <w:vAlign w:val="center"/>
                </w:tcPr>
                <w:p>
                  <w:pPr>
                    <w:pStyle w:val="242"/>
                    <w:rPr>
                      <w:color w:val="auto"/>
                    </w:rPr>
                  </w:pPr>
                  <w:r>
                    <w:rPr>
                      <w:color w:val="auto"/>
                    </w:rPr>
                    <w:t>空间布局约束</w:t>
                  </w:r>
                </w:p>
              </w:tc>
              <w:tc>
                <w:tcPr>
                  <w:tcW w:w="4550" w:type="dxa"/>
                  <w:gridSpan w:val="2"/>
                  <w:tcBorders>
                    <w:tl2br w:val="nil"/>
                    <w:tr2bl w:val="nil"/>
                  </w:tcBorders>
                  <w:vAlign w:val="center"/>
                </w:tcPr>
                <w:p>
                  <w:pPr>
                    <w:pStyle w:val="242"/>
                    <w:jc w:val="center"/>
                    <w:rPr>
                      <w:color w:val="auto"/>
                    </w:rPr>
                  </w:pPr>
                  <w:r>
                    <w:rPr>
                      <w:rFonts w:hint="eastAsia"/>
                      <w:color w:val="auto"/>
                    </w:rPr>
                    <w:t>/</w:t>
                  </w:r>
                </w:p>
              </w:tc>
              <w:tc>
                <w:tcPr>
                  <w:tcW w:w="2014" w:type="dxa"/>
                  <w:tcBorders>
                    <w:tl2br w:val="nil"/>
                    <w:tr2bl w:val="nil"/>
                  </w:tcBorders>
                  <w:vAlign w:val="center"/>
                </w:tcPr>
                <w:p>
                  <w:pPr>
                    <w:pStyle w:val="242"/>
                    <w:jc w:val="center"/>
                    <w:rPr>
                      <w:color w:val="auto"/>
                    </w:rPr>
                  </w:pPr>
                  <w:r>
                    <w:rPr>
                      <w:rFonts w:hint="eastAsia"/>
                      <w:color w:val="auto"/>
                    </w:rPr>
                    <w:t>/</w:t>
                  </w:r>
                </w:p>
              </w:tc>
              <w:tc>
                <w:tcPr>
                  <w:tcW w:w="692" w:type="dxa"/>
                  <w:tcBorders>
                    <w:tl2br w:val="nil"/>
                    <w:tr2bl w:val="nil"/>
                  </w:tcBorders>
                  <w:vAlign w:val="center"/>
                </w:tcPr>
                <w:p>
                  <w:pPr>
                    <w:pStyle w:val="242"/>
                    <w:jc w:val="center"/>
                    <w:rPr>
                      <w:color w:val="auto"/>
                    </w:rPr>
                  </w:pPr>
                  <w:r>
                    <w:rPr>
                      <w:rFonts w:hint="eastAsia"/>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tcBorders>
                    <w:tl2br w:val="nil"/>
                    <w:tr2bl w:val="nil"/>
                  </w:tcBorders>
                  <w:vAlign w:val="center"/>
                </w:tcPr>
                <w:p>
                  <w:pPr>
                    <w:pStyle w:val="242"/>
                    <w:rPr>
                      <w:color w:val="auto"/>
                    </w:rPr>
                  </w:pPr>
                  <w:r>
                    <w:rPr>
                      <w:color w:val="auto"/>
                    </w:rPr>
                    <w:t>污染物排放管控</w:t>
                  </w:r>
                </w:p>
              </w:tc>
              <w:tc>
                <w:tcPr>
                  <w:tcW w:w="4550" w:type="dxa"/>
                  <w:gridSpan w:val="2"/>
                  <w:tcBorders>
                    <w:tl2br w:val="nil"/>
                    <w:tr2bl w:val="nil"/>
                  </w:tcBorders>
                  <w:vAlign w:val="center"/>
                </w:tcPr>
                <w:p>
                  <w:pPr>
                    <w:widowControl/>
                    <w:spacing w:line="240" w:lineRule="auto"/>
                    <w:ind w:firstLine="0" w:firstLineChars="0"/>
                    <w:jc w:val="left"/>
                    <w:rPr>
                      <w:color w:val="auto"/>
                    </w:rPr>
                  </w:pPr>
                  <w:r>
                    <w:rPr>
                      <w:rFonts w:hint="eastAsia"/>
                      <w:color w:val="auto"/>
                    </w:rPr>
                    <w:t>1.汽车维修企业对容易产生VOCs的涂装作业要在密闭的空间进行，并按照规定安装、使用污染防治设施；含VOCs物料转移应采用密闭容器等；在进行油漆的调配时，应采取有效收集措施并在密闭的调漆间中操作；前处理、中涂、喷涂、流平、烘干等工序及喷枪清洗等作业区域，应在密闭空间中操作，所产生的废气遵循</w:t>
                  </w:r>
                  <w:r>
                    <w:rPr>
                      <w:color w:val="auto"/>
                    </w:rPr>
                    <w:t>“</w:t>
                  </w:r>
                  <w:r>
                    <w:rPr>
                      <w:rFonts w:hint="eastAsia"/>
                      <w:color w:val="auto"/>
                    </w:rPr>
                    <w:t>应收尽收”的原则，科学设置废气收集管道集中收集，并导入VOCs处理系统。</w:t>
                  </w:r>
                </w:p>
                <w:p>
                  <w:pPr>
                    <w:widowControl/>
                    <w:spacing w:line="240" w:lineRule="auto"/>
                    <w:ind w:firstLine="0" w:firstLineChars="0"/>
                    <w:jc w:val="left"/>
                    <w:rPr>
                      <w:color w:val="auto"/>
                    </w:rPr>
                  </w:pPr>
                  <w:r>
                    <w:rPr>
                      <w:rFonts w:hint="eastAsia"/>
                      <w:color w:val="auto"/>
                    </w:rPr>
                    <w:t>2.餐饮企业应当安装油烟、废气等净化设施并保持正常使用，或采取其他污染防治措施，使大气污染物达标排放；产生特殊气味并对周边敏感目标造成影响时，应采取有效除味措施。</w:t>
                  </w:r>
                </w:p>
                <w:p>
                  <w:pPr>
                    <w:widowControl/>
                    <w:spacing w:line="240" w:lineRule="auto"/>
                    <w:ind w:firstLine="0" w:firstLineChars="0"/>
                    <w:jc w:val="left"/>
                    <w:rPr>
                      <w:color w:val="auto"/>
                    </w:rPr>
                  </w:pPr>
                  <w:r>
                    <w:rPr>
                      <w:rFonts w:hint="eastAsia"/>
                      <w:color w:val="auto"/>
                    </w:rPr>
                    <w:t>3.继续加强盘溪河水资源、水环境、水生态统筹治理。</w:t>
                  </w:r>
                </w:p>
                <w:p>
                  <w:pPr>
                    <w:widowControl/>
                    <w:spacing w:line="240" w:lineRule="auto"/>
                    <w:ind w:firstLine="0" w:firstLineChars="0"/>
                    <w:jc w:val="left"/>
                    <w:rPr>
                      <w:color w:val="auto"/>
                    </w:rPr>
                  </w:pPr>
                  <w:r>
                    <w:rPr>
                      <w:rFonts w:hint="eastAsia"/>
                      <w:color w:val="auto"/>
                    </w:rPr>
                    <w:t>4.实施混错接、漏接、老旧破损污水管网更新修复，提高污水集中处理率。</w:t>
                  </w:r>
                </w:p>
              </w:tc>
              <w:tc>
                <w:tcPr>
                  <w:tcW w:w="2014" w:type="dxa"/>
                  <w:tcBorders>
                    <w:tl2br w:val="nil"/>
                    <w:tr2bl w:val="nil"/>
                  </w:tcBorders>
                  <w:vAlign w:val="center"/>
                </w:tcPr>
                <w:p>
                  <w:pPr>
                    <w:pStyle w:val="242"/>
                    <w:rPr>
                      <w:color w:val="auto"/>
                    </w:rPr>
                  </w:pPr>
                  <w:r>
                    <w:rPr>
                      <w:rFonts w:hint="eastAsia"/>
                      <w:color w:val="auto"/>
                    </w:rPr>
                    <w:t>项目为宠物医院建设项目，不涉及汽车维修及VOCs物料使用，不属于餐饮企业；污废水依托现有管网，不涉及管网更新修复，不会对盘溪河造成影响。</w:t>
                  </w:r>
                </w:p>
              </w:tc>
              <w:tc>
                <w:tcPr>
                  <w:tcW w:w="692" w:type="dxa"/>
                  <w:tcBorders>
                    <w:tl2br w:val="nil"/>
                    <w:tr2bl w:val="nil"/>
                  </w:tcBorders>
                  <w:vAlign w:val="center"/>
                </w:tcPr>
                <w:p>
                  <w:pPr>
                    <w:pStyle w:val="242"/>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tcBorders>
                    <w:tl2br w:val="nil"/>
                    <w:tr2bl w:val="nil"/>
                  </w:tcBorders>
                  <w:vAlign w:val="center"/>
                </w:tcPr>
                <w:p>
                  <w:pPr>
                    <w:pStyle w:val="242"/>
                    <w:rPr>
                      <w:color w:val="auto"/>
                    </w:rPr>
                  </w:pPr>
                  <w:r>
                    <w:rPr>
                      <w:color w:val="auto"/>
                    </w:rPr>
                    <w:t>环境风险防控</w:t>
                  </w:r>
                </w:p>
              </w:tc>
              <w:tc>
                <w:tcPr>
                  <w:tcW w:w="4550" w:type="dxa"/>
                  <w:gridSpan w:val="2"/>
                  <w:tcBorders>
                    <w:tl2br w:val="nil"/>
                    <w:tr2bl w:val="nil"/>
                  </w:tcBorders>
                  <w:vAlign w:val="center"/>
                </w:tcPr>
                <w:p>
                  <w:pPr>
                    <w:widowControl/>
                    <w:spacing w:line="240" w:lineRule="auto"/>
                    <w:ind w:firstLine="0" w:firstLineChars="0"/>
                    <w:jc w:val="center"/>
                    <w:rPr>
                      <w:color w:val="auto"/>
                    </w:rPr>
                  </w:pPr>
                  <w:r>
                    <w:rPr>
                      <w:rFonts w:hint="eastAsia"/>
                      <w:color w:val="auto"/>
                    </w:rPr>
                    <w:t>/</w:t>
                  </w:r>
                </w:p>
              </w:tc>
              <w:tc>
                <w:tcPr>
                  <w:tcW w:w="2014" w:type="dxa"/>
                  <w:tcBorders>
                    <w:tl2br w:val="nil"/>
                    <w:tr2bl w:val="nil"/>
                  </w:tcBorders>
                  <w:vAlign w:val="center"/>
                </w:tcPr>
                <w:p>
                  <w:pPr>
                    <w:pStyle w:val="242"/>
                    <w:jc w:val="center"/>
                    <w:rPr>
                      <w:color w:val="auto"/>
                    </w:rPr>
                  </w:pPr>
                  <w:r>
                    <w:rPr>
                      <w:rFonts w:hint="eastAsia"/>
                      <w:color w:val="auto"/>
                    </w:rPr>
                    <w:t>/</w:t>
                  </w:r>
                </w:p>
              </w:tc>
              <w:tc>
                <w:tcPr>
                  <w:tcW w:w="692" w:type="dxa"/>
                  <w:tcBorders>
                    <w:tl2br w:val="nil"/>
                    <w:tr2bl w:val="nil"/>
                  </w:tcBorders>
                  <w:vAlign w:val="center"/>
                </w:tcPr>
                <w:p>
                  <w:pPr>
                    <w:pStyle w:val="242"/>
                    <w:jc w:val="center"/>
                    <w:rPr>
                      <w:color w:val="auto"/>
                    </w:rPr>
                  </w:pPr>
                  <w:r>
                    <w:rPr>
                      <w:rFonts w:hint="eastAsia"/>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952" w:type="dxa"/>
                  <w:vMerge w:val="continue"/>
                  <w:tcBorders>
                    <w:tl2br w:val="nil"/>
                    <w:tr2bl w:val="nil"/>
                  </w:tcBorders>
                  <w:vAlign w:val="center"/>
                </w:tcPr>
                <w:p>
                  <w:pPr>
                    <w:pStyle w:val="242"/>
                    <w:rPr>
                      <w:color w:val="auto"/>
                    </w:rPr>
                  </w:pPr>
                </w:p>
              </w:tc>
              <w:tc>
                <w:tcPr>
                  <w:tcW w:w="726" w:type="dxa"/>
                  <w:tcBorders>
                    <w:tl2br w:val="nil"/>
                    <w:tr2bl w:val="nil"/>
                  </w:tcBorders>
                  <w:vAlign w:val="center"/>
                </w:tcPr>
                <w:p>
                  <w:pPr>
                    <w:pStyle w:val="242"/>
                    <w:rPr>
                      <w:color w:val="auto"/>
                    </w:rPr>
                  </w:pPr>
                  <w:r>
                    <w:rPr>
                      <w:color w:val="auto"/>
                    </w:rPr>
                    <w:t>资源开发效率防控</w:t>
                  </w:r>
                </w:p>
              </w:tc>
              <w:tc>
                <w:tcPr>
                  <w:tcW w:w="4550" w:type="dxa"/>
                  <w:gridSpan w:val="2"/>
                  <w:tcBorders>
                    <w:tl2br w:val="nil"/>
                    <w:tr2bl w:val="nil"/>
                  </w:tcBorders>
                  <w:vAlign w:val="center"/>
                </w:tcPr>
                <w:p>
                  <w:pPr>
                    <w:widowControl/>
                    <w:spacing w:line="240" w:lineRule="auto"/>
                    <w:ind w:firstLine="0" w:firstLineChars="0"/>
                    <w:jc w:val="left"/>
                    <w:rPr>
                      <w:color w:val="auto"/>
                    </w:rPr>
                  </w:pPr>
                  <w:r>
                    <w:rPr>
                      <w:rFonts w:hint="eastAsia"/>
                      <w:color w:val="auto"/>
                    </w:rPr>
                    <w:t>1.结合老旧城区改造等工作，持续推进既有居住建筑节能改造。积极推动电能替代，建筑采暖、炊事、生活热水等方面用能“宜电则电”。</w:t>
                  </w:r>
                </w:p>
              </w:tc>
              <w:tc>
                <w:tcPr>
                  <w:tcW w:w="2014" w:type="dxa"/>
                  <w:tcBorders>
                    <w:tl2br w:val="nil"/>
                    <w:tr2bl w:val="nil"/>
                  </w:tcBorders>
                  <w:vAlign w:val="center"/>
                </w:tcPr>
                <w:p>
                  <w:pPr>
                    <w:pStyle w:val="242"/>
                    <w:jc w:val="center"/>
                    <w:rPr>
                      <w:color w:val="auto"/>
                    </w:rPr>
                  </w:pPr>
                  <w:r>
                    <w:rPr>
                      <w:color w:val="auto"/>
                    </w:rPr>
                    <w:t>不涉及。</w:t>
                  </w:r>
                </w:p>
              </w:tc>
              <w:tc>
                <w:tcPr>
                  <w:tcW w:w="692" w:type="dxa"/>
                  <w:tcBorders>
                    <w:tl2br w:val="nil"/>
                    <w:tr2bl w:val="nil"/>
                  </w:tcBorders>
                  <w:vAlign w:val="center"/>
                </w:tcPr>
                <w:p>
                  <w:pPr>
                    <w:pStyle w:val="242"/>
                    <w:rPr>
                      <w:color w:val="auto"/>
                    </w:rPr>
                  </w:pPr>
                  <w:r>
                    <w:rPr>
                      <w:color w:val="auto"/>
                    </w:rPr>
                    <w:t>符合</w:t>
                  </w:r>
                </w:p>
              </w:tc>
            </w:tr>
          </w:tbl>
          <w:p>
            <w:pPr>
              <w:autoSpaceDE w:val="0"/>
              <w:autoSpaceDN w:val="0"/>
              <w:adjustRightInd/>
              <w:snapToGrid/>
              <w:spacing w:before="120" w:beforeLines="50"/>
              <w:ind w:firstLine="420"/>
              <w:rPr>
                <w:color w:val="auto"/>
                <w:kern w:val="0"/>
                <w:szCs w:val="21"/>
              </w:rPr>
            </w:pPr>
            <w:r>
              <w:rPr>
                <w:color w:val="auto"/>
              </w:rPr>
              <w:t>根据上表分析，项目的建设符合“三线一单”总体管控要求。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Align w:val="center"/>
          </w:tcPr>
          <w:p>
            <w:pPr>
              <w:ind w:firstLine="0" w:firstLineChars="0"/>
              <w:jc w:val="center"/>
              <w:rPr>
                <w:color w:val="auto"/>
              </w:rPr>
            </w:pPr>
            <w:r>
              <w:rPr>
                <w:color w:val="auto"/>
              </w:rPr>
              <w:t>其他符合性分析</w:t>
            </w:r>
          </w:p>
        </w:tc>
        <w:tc>
          <w:tcPr>
            <w:tcW w:w="9160" w:type="dxa"/>
            <w:gridSpan w:val="4"/>
            <w:vAlign w:val="center"/>
          </w:tcPr>
          <w:p>
            <w:pPr>
              <w:autoSpaceDE w:val="0"/>
              <w:autoSpaceDN w:val="0"/>
              <w:adjustRightInd/>
              <w:snapToGrid/>
              <w:spacing w:before="120" w:beforeLines="50"/>
              <w:ind w:firstLine="422"/>
              <w:rPr>
                <w:b/>
                <w:color w:val="auto"/>
                <w:kern w:val="0"/>
                <w:szCs w:val="21"/>
              </w:rPr>
            </w:pPr>
            <w:r>
              <w:rPr>
                <w:b/>
                <w:color w:val="auto"/>
                <w:kern w:val="0"/>
                <w:szCs w:val="21"/>
              </w:rPr>
              <w:t>2、与《产业结构调整指导目录（2024年本）》符合性分析</w:t>
            </w:r>
          </w:p>
          <w:p>
            <w:pPr>
              <w:ind w:firstLine="420"/>
              <w:rPr>
                <w:color w:val="auto"/>
              </w:rPr>
            </w:pPr>
            <w:r>
              <w:rPr>
                <w:color w:val="auto"/>
              </w:rPr>
              <w:t>本项目为宠物医院，属于O822宠物服务。根据</w:t>
            </w:r>
            <w:r>
              <w:rPr>
                <w:color w:val="auto"/>
                <w:szCs w:val="21"/>
              </w:rPr>
              <w:t>《产业结构调整指导目录》（2024年本）</w:t>
            </w:r>
            <w:r>
              <w:rPr>
                <w:color w:val="auto"/>
              </w:rPr>
              <w:t>，项目不属于其中</w:t>
            </w:r>
            <w:r>
              <w:rPr>
                <w:color w:val="auto"/>
                <w:szCs w:val="21"/>
              </w:rPr>
              <w:t>限制类、淘汰类</w:t>
            </w:r>
            <w:r>
              <w:rPr>
                <w:color w:val="auto"/>
              </w:rPr>
              <w:t>项目、属于允许类，因此符合国家现行产业政策。</w:t>
            </w:r>
          </w:p>
          <w:p>
            <w:pPr>
              <w:autoSpaceDE w:val="0"/>
              <w:autoSpaceDN w:val="0"/>
              <w:ind w:firstLine="422"/>
              <w:rPr>
                <w:b/>
                <w:color w:val="auto"/>
                <w:kern w:val="0"/>
                <w:szCs w:val="21"/>
              </w:rPr>
            </w:pPr>
            <w:r>
              <w:rPr>
                <w:b/>
                <w:color w:val="auto"/>
                <w:kern w:val="0"/>
                <w:szCs w:val="21"/>
              </w:rPr>
              <w:t>3、与《动物诊疗机构管理办法》（农业农村部令2022年第5号）符合性分析</w:t>
            </w:r>
          </w:p>
          <w:p>
            <w:pPr>
              <w:ind w:firstLine="420"/>
              <w:rPr>
                <w:color w:val="auto"/>
              </w:rPr>
            </w:pPr>
            <w:r>
              <w:rPr>
                <w:color w:val="auto"/>
              </w:rPr>
              <w:t>本项目与《动物诊疗机构管理办法》符合性详见下表。</w:t>
            </w:r>
          </w:p>
          <w:p>
            <w:pPr>
              <w:pStyle w:val="234"/>
              <w:spacing w:before="120"/>
              <w:ind w:firstLine="422"/>
              <w:rPr>
                <w:color w:val="auto"/>
              </w:rPr>
            </w:pPr>
            <w:r>
              <w:rPr>
                <w:color w:val="auto"/>
              </w:rPr>
              <w:t>表1-2   与《动物诊疗机构管理办法》符合性分析</w:t>
            </w:r>
          </w:p>
          <w:tbl>
            <w:tblPr>
              <w:tblStyle w:val="40"/>
              <w:tblW w:w="8935" w:type="dxa"/>
              <w:tblInd w:w="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771"/>
              <w:gridCol w:w="3172"/>
              <w:gridCol w:w="99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4771" w:type="dxa"/>
                  <w:tcBorders>
                    <w:tl2br w:val="nil"/>
                    <w:tr2bl w:val="nil"/>
                  </w:tcBorders>
                  <w:vAlign w:val="center"/>
                </w:tcPr>
                <w:p>
                  <w:pPr>
                    <w:pStyle w:val="242"/>
                    <w:jc w:val="both"/>
                    <w:rPr>
                      <w:color w:val="auto"/>
                    </w:rPr>
                  </w:pPr>
                  <w:r>
                    <w:rPr>
                      <w:color w:val="auto"/>
                    </w:rPr>
                    <w:t>《动物诊疗机构管理办法》申请设立动物</w:t>
                  </w:r>
                  <w:r>
                    <w:rPr>
                      <w:rFonts w:hint="eastAsia"/>
                      <w:color w:val="auto"/>
                      <w:lang w:val="en-US" w:eastAsia="zh-CN"/>
                    </w:rPr>
                    <w:t>医院</w:t>
                  </w:r>
                  <w:r>
                    <w:rPr>
                      <w:color w:val="auto"/>
                    </w:rPr>
                    <w:t>应具备的条件</w:t>
                  </w:r>
                </w:p>
              </w:tc>
              <w:tc>
                <w:tcPr>
                  <w:tcW w:w="3172" w:type="dxa"/>
                  <w:tcBorders>
                    <w:tl2br w:val="nil"/>
                    <w:tr2bl w:val="nil"/>
                  </w:tcBorders>
                  <w:vAlign w:val="center"/>
                </w:tcPr>
                <w:p>
                  <w:pPr>
                    <w:pStyle w:val="242"/>
                    <w:jc w:val="center"/>
                    <w:rPr>
                      <w:color w:val="auto"/>
                    </w:rPr>
                  </w:pPr>
                  <w:r>
                    <w:rPr>
                      <w:color w:val="auto"/>
                    </w:rPr>
                    <w:t>符合性</w:t>
                  </w:r>
                </w:p>
              </w:tc>
              <w:tc>
                <w:tcPr>
                  <w:tcW w:w="992" w:type="dxa"/>
                  <w:tcBorders>
                    <w:tl2br w:val="nil"/>
                    <w:tr2bl w:val="nil"/>
                  </w:tcBorders>
                  <w:vAlign w:val="center"/>
                </w:tcPr>
                <w:p>
                  <w:pPr>
                    <w:pStyle w:val="242"/>
                    <w:jc w:val="center"/>
                    <w:rPr>
                      <w:color w:val="auto"/>
                    </w:rPr>
                  </w:pPr>
                  <w:r>
                    <w:rPr>
                      <w:snapToGrid w:val="0"/>
                      <w:color w:val="auto"/>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8935" w:type="dxa"/>
                  <w:gridSpan w:val="3"/>
                  <w:tcBorders>
                    <w:tl2br w:val="nil"/>
                    <w:tr2bl w:val="nil"/>
                  </w:tcBorders>
                  <w:vAlign w:val="center"/>
                </w:tcPr>
                <w:p>
                  <w:pPr>
                    <w:pStyle w:val="242"/>
                    <w:jc w:val="center"/>
                    <w:rPr>
                      <w:snapToGrid w:val="0"/>
                      <w:color w:val="auto"/>
                    </w:rPr>
                  </w:pPr>
                  <w:r>
                    <w:rPr>
                      <w:color w:val="auto"/>
                    </w:rPr>
                    <w:t>第</w:t>
                  </w:r>
                  <w:r>
                    <w:rPr>
                      <w:rFonts w:hint="eastAsia"/>
                      <w:color w:val="auto"/>
                      <w:lang w:val="en-US" w:eastAsia="zh-CN"/>
                    </w:rPr>
                    <w:t>六</w:t>
                  </w:r>
                  <w:r>
                    <w:rPr>
                      <w:color w:val="auto"/>
                    </w:rPr>
                    <w:t>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4771" w:type="dxa"/>
                  <w:tcBorders>
                    <w:tl2br w:val="nil"/>
                    <w:tr2bl w:val="nil"/>
                  </w:tcBorders>
                  <w:vAlign w:val="center"/>
                </w:tcPr>
                <w:p>
                  <w:pPr>
                    <w:pStyle w:val="242"/>
                    <w:rPr>
                      <w:color w:val="auto"/>
                    </w:rPr>
                  </w:pPr>
                  <w:r>
                    <w:rPr>
                      <w:color w:val="auto"/>
                    </w:rPr>
                    <w:t>（一）有固定的动物诊疗场所，且动物诊疗场所使用面积符合省、自治区、直辖市人民政府兽医主管部门的规定；</w:t>
                  </w:r>
                </w:p>
              </w:tc>
              <w:tc>
                <w:tcPr>
                  <w:tcW w:w="3172" w:type="dxa"/>
                  <w:tcBorders>
                    <w:tl2br w:val="nil"/>
                    <w:tr2bl w:val="nil"/>
                  </w:tcBorders>
                  <w:vAlign w:val="center"/>
                </w:tcPr>
                <w:p>
                  <w:pPr>
                    <w:pStyle w:val="242"/>
                    <w:rPr>
                      <w:color w:val="auto"/>
                    </w:rPr>
                  </w:pPr>
                  <w:r>
                    <w:rPr>
                      <w:color w:val="auto"/>
                    </w:rPr>
                    <w:t>项目具有固定诊疗场所，设施及配套较为完善；</w:t>
                  </w:r>
                </w:p>
              </w:tc>
              <w:tc>
                <w:tcPr>
                  <w:tcW w:w="992" w:type="dxa"/>
                  <w:tcBorders>
                    <w:tl2br w:val="nil"/>
                    <w:tr2bl w:val="nil"/>
                  </w:tcBorders>
                  <w:vAlign w:val="center"/>
                </w:tcPr>
                <w:p>
                  <w:pPr>
                    <w:pStyle w:val="242"/>
                    <w:jc w:val="center"/>
                    <w:rPr>
                      <w:color w:val="auto"/>
                    </w:rPr>
                  </w:pPr>
                  <w:r>
                    <w:rPr>
                      <w:snapToGrid w:val="0"/>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4771" w:type="dxa"/>
                  <w:tcBorders>
                    <w:tl2br w:val="nil"/>
                    <w:tr2bl w:val="nil"/>
                  </w:tcBorders>
                  <w:vAlign w:val="center"/>
                </w:tcPr>
                <w:p>
                  <w:pPr>
                    <w:pStyle w:val="242"/>
                    <w:rPr>
                      <w:color w:val="auto"/>
                    </w:rPr>
                  </w:pPr>
                  <w:r>
                    <w:rPr>
                      <w:color w:val="auto"/>
                    </w:rPr>
                    <w:t>（二）动物诊疗场所选址距离动物饲养场、动物屠宰加工场所、经营动物的集贸市场不少于二百米；</w:t>
                  </w:r>
                </w:p>
              </w:tc>
              <w:tc>
                <w:tcPr>
                  <w:tcW w:w="3172" w:type="dxa"/>
                  <w:tcBorders>
                    <w:tl2br w:val="nil"/>
                    <w:tr2bl w:val="nil"/>
                  </w:tcBorders>
                  <w:vAlign w:val="center"/>
                </w:tcPr>
                <w:p>
                  <w:pPr>
                    <w:pStyle w:val="242"/>
                    <w:rPr>
                      <w:color w:val="auto"/>
                    </w:rPr>
                  </w:pPr>
                  <w:r>
                    <w:rPr>
                      <w:color w:val="auto"/>
                    </w:rPr>
                    <w:t>项目周边200m范围内无大型畜禽养殖场、屠宰加工厂、动物交易场所等；</w:t>
                  </w:r>
                </w:p>
              </w:tc>
              <w:tc>
                <w:tcPr>
                  <w:tcW w:w="992" w:type="dxa"/>
                  <w:tcBorders>
                    <w:tl2br w:val="nil"/>
                    <w:tr2bl w:val="nil"/>
                  </w:tcBorders>
                  <w:vAlign w:val="center"/>
                </w:tcPr>
                <w:p>
                  <w:pPr>
                    <w:pStyle w:val="242"/>
                    <w:jc w:val="center"/>
                    <w:rPr>
                      <w:color w:val="auto"/>
                    </w:rPr>
                  </w:pPr>
                  <w:r>
                    <w:rPr>
                      <w:snapToGrid w:val="0"/>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4771" w:type="dxa"/>
                  <w:tcBorders>
                    <w:tl2br w:val="nil"/>
                    <w:tr2bl w:val="nil"/>
                  </w:tcBorders>
                  <w:vAlign w:val="center"/>
                </w:tcPr>
                <w:p>
                  <w:pPr>
                    <w:pStyle w:val="242"/>
                    <w:rPr>
                      <w:color w:val="auto"/>
                    </w:rPr>
                  </w:pPr>
                  <w:r>
                    <w:rPr>
                      <w:color w:val="auto"/>
                    </w:rPr>
                    <w:t>（三）动物诊疗场所设有独立的出入口，出入口不得设在居民住宅楼内或者院内，不得与同一建筑物的其他用户共用通道；</w:t>
                  </w:r>
                </w:p>
              </w:tc>
              <w:tc>
                <w:tcPr>
                  <w:tcW w:w="3172" w:type="dxa"/>
                  <w:tcBorders>
                    <w:tl2br w:val="nil"/>
                    <w:tr2bl w:val="nil"/>
                  </w:tcBorders>
                  <w:vAlign w:val="center"/>
                </w:tcPr>
                <w:p>
                  <w:pPr>
                    <w:pStyle w:val="242"/>
                    <w:rPr>
                      <w:color w:val="auto"/>
                    </w:rPr>
                  </w:pPr>
                  <w:r>
                    <w:rPr>
                      <w:color w:val="auto"/>
                    </w:rPr>
                    <w:t>项目设置了独立的出入口，不与其他用户共用通道；</w:t>
                  </w:r>
                </w:p>
              </w:tc>
              <w:tc>
                <w:tcPr>
                  <w:tcW w:w="992" w:type="dxa"/>
                  <w:tcBorders>
                    <w:tl2br w:val="nil"/>
                    <w:tr2bl w:val="nil"/>
                  </w:tcBorders>
                  <w:vAlign w:val="center"/>
                </w:tcPr>
                <w:p>
                  <w:pPr>
                    <w:pStyle w:val="242"/>
                    <w:jc w:val="center"/>
                    <w:rPr>
                      <w:color w:val="auto"/>
                    </w:rPr>
                  </w:pPr>
                  <w:r>
                    <w:rPr>
                      <w:snapToGrid w:val="0"/>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4771" w:type="dxa"/>
                  <w:tcBorders>
                    <w:tl2br w:val="nil"/>
                    <w:tr2bl w:val="nil"/>
                  </w:tcBorders>
                  <w:vAlign w:val="center"/>
                </w:tcPr>
                <w:p>
                  <w:pPr>
                    <w:pStyle w:val="242"/>
                    <w:rPr>
                      <w:color w:val="auto"/>
                    </w:rPr>
                  </w:pPr>
                  <w:r>
                    <w:rPr>
                      <w:color w:val="auto"/>
                    </w:rPr>
                    <w:t>（四）具有布局合理的诊疗室、隔离室、药房等功能区；</w:t>
                  </w:r>
                </w:p>
              </w:tc>
              <w:tc>
                <w:tcPr>
                  <w:tcW w:w="3172" w:type="dxa"/>
                  <w:tcBorders>
                    <w:tl2br w:val="nil"/>
                    <w:tr2bl w:val="nil"/>
                  </w:tcBorders>
                  <w:vAlign w:val="center"/>
                </w:tcPr>
                <w:p>
                  <w:pPr>
                    <w:pStyle w:val="242"/>
                    <w:rPr>
                      <w:color w:val="auto"/>
                    </w:rPr>
                  </w:pPr>
                  <w:r>
                    <w:rPr>
                      <w:color w:val="auto"/>
                    </w:rPr>
                    <w:t>医院设置有诊疗室、隔离</w:t>
                  </w:r>
                  <w:r>
                    <w:rPr>
                      <w:rFonts w:hint="eastAsia"/>
                      <w:color w:val="auto"/>
                      <w:lang w:val="en-US" w:eastAsia="zh-CN"/>
                    </w:rPr>
                    <w:t>室</w:t>
                  </w:r>
                  <w:r>
                    <w:rPr>
                      <w:color w:val="auto"/>
                    </w:rPr>
                    <w:t>、药房等功能区；</w:t>
                  </w:r>
                </w:p>
              </w:tc>
              <w:tc>
                <w:tcPr>
                  <w:tcW w:w="992" w:type="dxa"/>
                  <w:tcBorders>
                    <w:tl2br w:val="nil"/>
                    <w:tr2bl w:val="nil"/>
                  </w:tcBorders>
                  <w:vAlign w:val="center"/>
                </w:tcPr>
                <w:p>
                  <w:pPr>
                    <w:pStyle w:val="242"/>
                    <w:jc w:val="center"/>
                    <w:rPr>
                      <w:color w:val="auto"/>
                    </w:rPr>
                  </w:pPr>
                  <w:r>
                    <w:rPr>
                      <w:snapToGrid w:val="0"/>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4771" w:type="dxa"/>
                  <w:tcBorders>
                    <w:tl2br w:val="nil"/>
                    <w:tr2bl w:val="nil"/>
                  </w:tcBorders>
                  <w:vAlign w:val="center"/>
                </w:tcPr>
                <w:p>
                  <w:pPr>
                    <w:pStyle w:val="242"/>
                    <w:rPr>
                      <w:color w:val="auto"/>
                    </w:rPr>
                  </w:pPr>
                  <w:r>
                    <w:rPr>
                      <w:color w:val="auto"/>
                    </w:rPr>
                    <w:t>（五）具有诊断、消毒、冷藏、常规化验、污水处理等器械设备；</w:t>
                  </w:r>
                </w:p>
              </w:tc>
              <w:tc>
                <w:tcPr>
                  <w:tcW w:w="3172" w:type="dxa"/>
                  <w:tcBorders>
                    <w:tl2br w:val="nil"/>
                    <w:tr2bl w:val="nil"/>
                  </w:tcBorders>
                  <w:vAlign w:val="center"/>
                </w:tcPr>
                <w:p>
                  <w:pPr>
                    <w:pStyle w:val="242"/>
                    <w:rPr>
                      <w:color w:val="auto"/>
                    </w:rPr>
                  </w:pPr>
                  <w:r>
                    <w:rPr>
                      <w:color w:val="auto"/>
                    </w:rPr>
                    <w:t>项目具有诊断、消毒、冷藏、常规化验、污水处理设施等器械设备；</w:t>
                  </w:r>
                </w:p>
              </w:tc>
              <w:tc>
                <w:tcPr>
                  <w:tcW w:w="992" w:type="dxa"/>
                  <w:tcBorders>
                    <w:tl2br w:val="nil"/>
                    <w:tr2bl w:val="nil"/>
                  </w:tcBorders>
                  <w:vAlign w:val="center"/>
                </w:tcPr>
                <w:p>
                  <w:pPr>
                    <w:pStyle w:val="242"/>
                    <w:jc w:val="center"/>
                    <w:rPr>
                      <w:color w:val="auto"/>
                    </w:rPr>
                  </w:pPr>
                  <w:r>
                    <w:rPr>
                      <w:snapToGrid w:val="0"/>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4771" w:type="dxa"/>
                  <w:tcBorders>
                    <w:tl2br w:val="nil"/>
                    <w:tr2bl w:val="nil"/>
                  </w:tcBorders>
                  <w:vAlign w:val="center"/>
                </w:tcPr>
                <w:p>
                  <w:pPr>
                    <w:pStyle w:val="242"/>
                    <w:rPr>
                      <w:color w:val="auto"/>
                    </w:rPr>
                  </w:pPr>
                  <w:r>
                    <w:rPr>
                      <w:color w:val="auto"/>
                    </w:rPr>
                    <w:t>（六）具有诊疗废弃物暂存处理设施，并委托专业处理机构处理；</w:t>
                  </w:r>
                </w:p>
              </w:tc>
              <w:tc>
                <w:tcPr>
                  <w:tcW w:w="3172" w:type="dxa"/>
                  <w:tcBorders>
                    <w:tl2br w:val="nil"/>
                    <w:tr2bl w:val="nil"/>
                  </w:tcBorders>
                  <w:vAlign w:val="center"/>
                </w:tcPr>
                <w:p>
                  <w:pPr>
                    <w:pStyle w:val="242"/>
                    <w:rPr>
                      <w:color w:val="auto"/>
                    </w:rPr>
                  </w:pPr>
                  <w:r>
                    <w:rPr>
                      <w:rFonts w:hint="eastAsia"/>
                      <w:color w:val="auto"/>
                    </w:rPr>
                    <w:t>本次评价要求建设单位设置</w:t>
                  </w:r>
                  <w:r>
                    <w:rPr>
                      <w:color w:val="auto"/>
                    </w:rPr>
                    <w:t>危险废物贮存点</w:t>
                  </w:r>
                  <w:r>
                    <w:rPr>
                      <w:rFonts w:hint="eastAsia"/>
                      <w:color w:val="auto"/>
                    </w:rPr>
                    <w:t>分区</w:t>
                  </w:r>
                  <w:r>
                    <w:rPr>
                      <w:color w:val="auto"/>
                    </w:rPr>
                    <w:t>暂存</w:t>
                  </w:r>
                  <w:r>
                    <w:rPr>
                      <w:rFonts w:hint="eastAsia"/>
                      <w:color w:val="auto"/>
                    </w:rPr>
                    <w:t>危废 、</w:t>
                  </w:r>
                  <w:r>
                    <w:rPr>
                      <w:color w:val="auto"/>
                    </w:rPr>
                    <w:t>医疗废物</w:t>
                  </w:r>
                  <w:r>
                    <w:rPr>
                      <w:rFonts w:hint="eastAsia"/>
                      <w:color w:val="auto"/>
                    </w:rPr>
                    <w:t>等各类废弃物</w:t>
                  </w:r>
                  <w:r>
                    <w:rPr>
                      <w:color w:val="auto"/>
                    </w:rPr>
                    <w:t>，并委托有资质单位进行处理</w:t>
                  </w:r>
                  <w:r>
                    <w:rPr>
                      <w:rFonts w:hint="eastAsia"/>
                      <w:color w:val="auto"/>
                    </w:rPr>
                    <w:t>；</w:t>
                  </w:r>
                </w:p>
              </w:tc>
              <w:tc>
                <w:tcPr>
                  <w:tcW w:w="992" w:type="dxa"/>
                  <w:tcBorders>
                    <w:tl2br w:val="nil"/>
                    <w:tr2bl w:val="nil"/>
                  </w:tcBorders>
                  <w:vAlign w:val="center"/>
                </w:tcPr>
                <w:p>
                  <w:pPr>
                    <w:pStyle w:val="242"/>
                    <w:jc w:val="center"/>
                    <w:rPr>
                      <w:color w:val="auto"/>
                    </w:rPr>
                  </w:pPr>
                  <w:r>
                    <w:rPr>
                      <w:snapToGrid w:val="0"/>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4771" w:type="dxa"/>
                  <w:tcBorders>
                    <w:tl2br w:val="nil"/>
                    <w:tr2bl w:val="nil"/>
                  </w:tcBorders>
                  <w:vAlign w:val="center"/>
                </w:tcPr>
                <w:p>
                  <w:pPr>
                    <w:pStyle w:val="242"/>
                    <w:rPr>
                      <w:color w:val="auto"/>
                    </w:rPr>
                  </w:pPr>
                  <w:r>
                    <w:rPr>
                      <w:color w:val="auto"/>
                    </w:rPr>
                    <w:t>（七）具有染疫或者疑似染疫动物的隔离控制措施及设施设备；</w:t>
                  </w:r>
                </w:p>
              </w:tc>
              <w:tc>
                <w:tcPr>
                  <w:tcW w:w="3172" w:type="dxa"/>
                  <w:tcBorders>
                    <w:tl2br w:val="nil"/>
                    <w:tr2bl w:val="nil"/>
                  </w:tcBorders>
                  <w:vAlign w:val="center"/>
                </w:tcPr>
                <w:p>
                  <w:pPr>
                    <w:pStyle w:val="242"/>
                    <w:rPr>
                      <w:color w:val="auto"/>
                    </w:rPr>
                  </w:pPr>
                  <w:r>
                    <w:rPr>
                      <w:color w:val="auto"/>
                    </w:rPr>
                    <w:t>项目设有隔离区；</w:t>
                  </w:r>
                </w:p>
              </w:tc>
              <w:tc>
                <w:tcPr>
                  <w:tcW w:w="992" w:type="dxa"/>
                  <w:tcBorders>
                    <w:tl2br w:val="nil"/>
                    <w:tr2bl w:val="nil"/>
                  </w:tcBorders>
                  <w:vAlign w:val="center"/>
                </w:tcPr>
                <w:p>
                  <w:pPr>
                    <w:pStyle w:val="242"/>
                    <w:jc w:val="center"/>
                    <w:rPr>
                      <w:color w:val="auto"/>
                    </w:rPr>
                  </w:pPr>
                  <w:r>
                    <w:rPr>
                      <w:snapToGrid w:val="0"/>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4771" w:type="dxa"/>
                  <w:tcBorders>
                    <w:tl2br w:val="nil"/>
                    <w:tr2bl w:val="nil"/>
                  </w:tcBorders>
                  <w:vAlign w:val="center"/>
                </w:tcPr>
                <w:p>
                  <w:pPr>
                    <w:pStyle w:val="242"/>
                    <w:rPr>
                      <w:color w:val="auto"/>
                    </w:rPr>
                  </w:pPr>
                  <w:r>
                    <w:rPr>
                      <w:color w:val="auto"/>
                    </w:rPr>
                    <w:t>（八）具有与动物诊疗活动相适应的执业兽医；</w:t>
                  </w:r>
                </w:p>
              </w:tc>
              <w:tc>
                <w:tcPr>
                  <w:tcW w:w="3172" w:type="dxa"/>
                  <w:tcBorders>
                    <w:tl2br w:val="nil"/>
                    <w:tr2bl w:val="nil"/>
                  </w:tcBorders>
                  <w:vAlign w:val="center"/>
                </w:tcPr>
                <w:p>
                  <w:pPr>
                    <w:pStyle w:val="242"/>
                    <w:rPr>
                      <w:color w:val="auto"/>
                    </w:rPr>
                  </w:pPr>
                  <w:r>
                    <w:rPr>
                      <w:color w:val="auto"/>
                    </w:rPr>
                    <w:t>项目拥有已取得执业兽医师资格证书的人员；</w:t>
                  </w:r>
                </w:p>
              </w:tc>
              <w:tc>
                <w:tcPr>
                  <w:tcW w:w="992" w:type="dxa"/>
                  <w:tcBorders>
                    <w:tl2br w:val="nil"/>
                    <w:tr2bl w:val="nil"/>
                  </w:tcBorders>
                  <w:vAlign w:val="center"/>
                </w:tcPr>
                <w:p>
                  <w:pPr>
                    <w:pStyle w:val="242"/>
                    <w:jc w:val="center"/>
                    <w:rPr>
                      <w:snapToGrid w:val="0"/>
                      <w:color w:val="auto"/>
                    </w:rPr>
                  </w:pPr>
                  <w:r>
                    <w:rPr>
                      <w:snapToGrid w:val="0"/>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4771" w:type="dxa"/>
                  <w:tcBorders>
                    <w:tl2br w:val="nil"/>
                    <w:tr2bl w:val="nil"/>
                  </w:tcBorders>
                  <w:vAlign w:val="center"/>
                </w:tcPr>
                <w:p>
                  <w:pPr>
                    <w:pStyle w:val="242"/>
                    <w:rPr>
                      <w:color w:val="auto"/>
                    </w:rPr>
                  </w:pPr>
                  <w:r>
                    <w:rPr>
                      <w:color w:val="auto"/>
                    </w:rPr>
                    <w:t>（九）具有完善的诊疗服务、疫情报告、卫生安全防护、消毒、隔离、诊疗废弃物暂存、兽医器械、兽医处方、药物和无害化处理等管理制度。</w:t>
                  </w:r>
                </w:p>
              </w:tc>
              <w:tc>
                <w:tcPr>
                  <w:tcW w:w="3172" w:type="dxa"/>
                  <w:tcBorders>
                    <w:tl2br w:val="nil"/>
                    <w:tr2bl w:val="nil"/>
                  </w:tcBorders>
                  <w:vAlign w:val="center"/>
                </w:tcPr>
                <w:p>
                  <w:pPr>
                    <w:pStyle w:val="242"/>
                    <w:rPr>
                      <w:color w:val="auto"/>
                    </w:rPr>
                  </w:pPr>
                  <w:r>
                    <w:rPr>
                      <w:color w:val="auto"/>
                    </w:rPr>
                    <w:t>项目拥有完善的诊疗服务、疫情报告、卫生安全防护、消毒、隔离、诊疗废弃物暂存、兽医器械、兽药处方、药物和无害化处理等管理制度。</w:t>
                  </w:r>
                </w:p>
              </w:tc>
              <w:tc>
                <w:tcPr>
                  <w:tcW w:w="992" w:type="dxa"/>
                  <w:tcBorders>
                    <w:tl2br w:val="nil"/>
                    <w:tr2bl w:val="nil"/>
                  </w:tcBorders>
                  <w:vAlign w:val="center"/>
                </w:tcPr>
                <w:p>
                  <w:pPr>
                    <w:pStyle w:val="242"/>
                    <w:jc w:val="center"/>
                    <w:rPr>
                      <w:snapToGrid w:val="0"/>
                      <w:color w:val="auto"/>
                    </w:rPr>
                  </w:pPr>
                  <w:r>
                    <w:rPr>
                      <w:snapToGrid w:val="0"/>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8935" w:type="dxa"/>
                  <w:gridSpan w:val="3"/>
                  <w:tcBorders>
                    <w:tl2br w:val="nil"/>
                    <w:tr2bl w:val="nil"/>
                  </w:tcBorders>
                  <w:vAlign w:val="center"/>
                </w:tcPr>
                <w:p>
                  <w:pPr>
                    <w:pStyle w:val="242"/>
                    <w:jc w:val="center"/>
                    <w:rPr>
                      <w:rFonts w:hint="eastAsia" w:eastAsia="宋体"/>
                      <w:snapToGrid w:val="0"/>
                      <w:color w:val="auto"/>
                      <w:lang w:val="en-US" w:eastAsia="zh-CN"/>
                    </w:rPr>
                  </w:pPr>
                  <w:r>
                    <w:rPr>
                      <w:rFonts w:hint="eastAsia"/>
                      <w:snapToGrid w:val="0"/>
                      <w:color w:val="auto"/>
                      <w:lang w:val="en-US" w:eastAsia="zh-CN"/>
                    </w:rPr>
                    <w:t>第八条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4771" w:type="dxa"/>
                  <w:tcBorders>
                    <w:tl2br w:val="nil"/>
                    <w:tr2bl w:val="nil"/>
                  </w:tcBorders>
                  <w:vAlign w:val="center"/>
                </w:tcPr>
                <w:p>
                  <w:pPr>
                    <w:pStyle w:val="242"/>
                    <w:rPr>
                      <w:rFonts w:hint="default" w:eastAsia="宋体"/>
                      <w:color w:val="auto"/>
                      <w:lang w:val="en-US" w:eastAsia="zh-CN"/>
                    </w:rPr>
                  </w:pPr>
                  <w:r>
                    <w:rPr>
                      <w:rFonts w:hint="eastAsia"/>
                      <w:color w:val="auto"/>
                      <w:lang w:eastAsia="zh-CN"/>
                    </w:rPr>
                    <w:t>（</w:t>
                  </w:r>
                  <w:r>
                    <w:rPr>
                      <w:rFonts w:hint="eastAsia"/>
                      <w:color w:val="auto"/>
                      <w:lang w:val="en-US" w:eastAsia="zh-CN"/>
                    </w:rPr>
                    <w:t>一</w:t>
                  </w:r>
                  <w:r>
                    <w:rPr>
                      <w:rFonts w:hint="eastAsia"/>
                      <w:color w:val="auto"/>
                      <w:lang w:eastAsia="zh-CN"/>
                    </w:rPr>
                    <w:t>）</w:t>
                  </w:r>
                  <w:r>
                    <w:rPr>
                      <w:rFonts w:hint="eastAsia"/>
                      <w:color w:val="auto"/>
                      <w:lang w:val="en-US" w:eastAsia="zh-CN"/>
                    </w:rPr>
                    <w:t>具备三名以上执业兽医师</w:t>
                  </w:r>
                </w:p>
              </w:tc>
              <w:tc>
                <w:tcPr>
                  <w:tcW w:w="3172" w:type="dxa"/>
                  <w:tcBorders>
                    <w:tl2br w:val="nil"/>
                    <w:tr2bl w:val="nil"/>
                  </w:tcBorders>
                  <w:vAlign w:val="center"/>
                </w:tcPr>
                <w:p>
                  <w:pPr>
                    <w:pStyle w:val="242"/>
                    <w:rPr>
                      <w:rFonts w:hint="default" w:eastAsia="宋体"/>
                      <w:color w:val="auto"/>
                      <w:lang w:val="en-US" w:eastAsia="zh-CN"/>
                    </w:rPr>
                  </w:pPr>
                  <w:r>
                    <w:rPr>
                      <w:rFonts w:hint="eastAsia"/>
                      <w:color w:val="auto"/>
                      <w:lang w:val="en-US" w:eastAsia="zh-CN"/>
                    </w:rPr>
                    <w:t>项目拥有三名以上执业兽医师；</w:t>
                  </w:r>
                </w:p>
              </w:tc>
              <w:tc>
                <w:tcPr>
                  <w:tcW w:w="992" w:type="dxa"/>
                  <w:tcBorders>
                    <w:tl2br w:val="nil"/>
                    <w:tr2bl w:val="nil"/>
                  </w:tcBorders>
                  <w:vAlign w:val="center"/>
                </w:tcPr>
                <w:p>
                  <w:pPr>
                    <w:pStyle w:val="242"/>
                    <w:ind w:firstLine="0" w:firstLineChars="0"/>
                    <w:jc w:val="center"/>
                    <w:rPr>
                      <w:snapToGrid w:val="0"/>
                      <w:color w:val="auto"/>
                    </w:rPr>
                  </w:pPr>
                  <w:r>
                    <w:rPr>
                      <w:snapToGrid w:val="0"/>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4771" w:type="dxa"/>
                  <w:tcBorders>
                    <w:tl2br w:val="nil"/>
                    <w:tr2bl w:val="nil"/>
                  </w:tcBorders>
                  <w:vAlign w:val="center"/>
                </w:tcPr>
                <w:p>
                  <w:pPr>
                    <w:pStyle w:val="242"/>
                    <w:rPr>
                      <w:rFonts w:hint="default"/>
                      <w:color w:val="auto"/>
                      <w:lang w:val="en-US" w:eastAsia="zh-CN"/>
                    </w:rPr>
                  </w:pPr>
                  <w:r>
                    <w:rPr>
                      <w:rFonts w:hint="eastAsia"/>
                      <w:color w:val="auto"/>
                      <w:lang w:eastAsia="zh-CN"/>
                    </w:rPr>
                    <w:t>（</w:t>
                  </w:r>
                  <w:r>
                    <w:rPr>
                      <w:rFonts w:hint="eastAsia"/>
                      <w:color w:val="auto"/>
                      <w:lang w:val="en-US" w:eastAsia="zh-CN"/>
                    </w:rPr>
                    <w:t>二</w:t>
                  </w:r>
                  <w:r>
                    <w:rPr>
                      <w:rFonts w:hint="eastAsia"/>
                      <w:color w:val="auto"/>
                      <w:lang w:eastAsia="zh-CN"/>
                    </w:rPr>
                    <w:t>）</w:t>
                  </w:r>
                  <w:r>
                    <w:rPr>
                      <w:rFonts w:hint="eastAsia"/>
                      <w:color w:val="auto"/>
                      <w:lang w:val="en-US" w:eastAsia="zh-CN"/>
                    </w:rPr>
                    <w:t>具有X光机或者B超等器械设备</w:t>
                  </w:r>
                </w:p>
              </w:tc>
              <w:tc>
                <w:tcPr>
                  <w:tcW w:w="3172" w:type="dxa"/>
                  <w:tcBorders>
                    <w:tl2br w:val="nil"/>
                    <w:tr2bl w:val="nil"/>
                  </w:tcBorders>
                  <w:vAlign w:val="center"/>
                </w:tcPr>
                <w:p>
                  <w:pPr>
                    <w:pStyle w:val="242"/>
                    <w:rPr>
                      <w:rFonts w:hint="default" w:eastAsia="宋体"/>
                      <w:color w:val="auto"/>
                      <w:lang w:val="en-US" w:eastAsia="zh-CN"/>
                    </w:rPr>
                  </w:pPr>
                  <w:r>
                    <w:rPr>
                      <w:rFonts w:hint="eastAsia"/>
                      <w:color w:val="auto"/>
                      <w:lang w:val="en-US" w:eastAsia="zh-CN"/>
                    </w:rPr>
                    <w:t>项目具有1台X光机（DR机）；</w:t>
                  </w:r>
                </w:p>
              </w:tc>
              <w:tc>
                <w:tcPr>
                  <w:tcW w:w="992" w:type="dxa"/>
                  <w:tcBorders>
                    <w:tl2br w:val="nil"/>
                    <w:tr2bl w:val="nil"/>
                  </w:tcBorders>
                  <w:vAlign w:val="center"/>
                </w:tcPr>
                <w:p>
                  <w:pPr>
                    <w:pStyle w:val="242"/>
                    <w:ind w:firstLine="0" w:firstLineChars="0"/>
                    <w:jc w:val="center"/>
                    <w:rPr>
                      <w:snapToGrid w:val="0"/>
                      <w:color w:val="auto"/>
                    </w:rPr>
                  </w:pPr>
                  <w:r>
                    <w:rPr>
                      <w:snapToGrid w:val="0"/>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4771" w:type="dxa"/>
                  <w:tcBorders>
                    <w:tl2br w:val="nil"/>
                    <w:tr2bl w:val="nil"/>
                  </w:tcBorders>
                  <w:vAlign w:val="center"/>
                </w:tcPr>
                <w:p>
                  <w:pPr>
                    <w:pStyle w:val="242"/>
                    <w:rPr>
                      <w:rFonts w:hint="default"/>
                      <w:color w:val="auto"/>
                      <w:lang w:val="en-US" w:eastAsia="zh-CN"/>
                    </w:rPr>
                  </w:pPr>
                  <w:r>
                    <w:rPr>
                      <w:rFonts w:hint="eastAsia"/>
                      <w:color w:val="auto"/>
                      <w:lang w:eastAsia="zh-CN"/>
                    </w:rPr>
                    <w:t>（</w:t>
                  </w:r>
                  <w:r>
                    <w:rPr>
                      <w:rFonts w:hint="eastAsia"/>
                      <w:color w:val="auto"/>
                      <w:lang w:val="en-US" w:eastAsia="zh-CN"/>
                    </w:rPr>
                    <w:t>三</w:t>
                  </w:r>
                  <w:r>
                    <w:rPr>
                      <w:rFonts w:hint="eastAsia"/>
                      <w:color w:val="auto"/>
                      <w:lang w:eastAsia="zh-CN"/>
                    </w:rPr>
                    <w:t>）</w:t>
                  </w:r>
                  <w:r>
                    <w:rPr>
                      <w:rFonts w:hint="eastAsia"/>
                      <w:color w:val="auto"/>
                      <w:lang w:val="en-US" w:eastAsia="zh-CN"/>
                    </w:rPr>
                    <w:t>具有布局合理的手术室和手术设备</w:t>
                  </w:r>
                </w:p>
              </w:tc>
              <w:tc>
                <w:tcPr>
                  <w:tcW w:w="3172" w:type="dxa"/>
                  <w:tcBorders>
                    <w:tl2br w:val="nil"/>
                    <w:tr2bl w:val="nil"/>
                  </w:tcBorders>
                  <w:vAlign w:val="center"/>
                </w:tcPr>
                <w:p>
                  <w:pPr>
                    <w:pStyle w:val="242"/>
                    <w:rPr>
                      <w:rFonts w:hint="eastAsia" w:eastAsia="宋体"/>
                      <w:color w:val="auto"/>
                      <w:lang w:val="en-US" w:eastAsia="zh-CN"/>
                    </w:rPr>
                  </w:pPr>
                  <w:r>
                    <w:rPr>
                      <w:rFonts w:hint="eastAsia"/>
                      <w:color w:val="auto"/>
                      <w:lang w:val="en-US" w:eastAsia="zh-CN"/>
                    </w:rPr>
                    <w:t>项目手术和手术设备</w:t>
                  </w:r>
                  <w:r>
                    <w:rPr>
                      <w:color w:val="auto"/>
                    </w:rPr>
                    <w:t>划分明确，布局清晰</w:t>
                  </w:r>
                  <w:r>
                    <w:rPr>
                      <w:rFonts w:hint="eastAsia"/>
                      <w:color w:val="auto"/>
                      <w:lang w:eastAsia="zh-CN"/>
                    </w:rPr>
                    <w:t>。</w:t>
                  </w:r>
                </w:p>
              </w:tc>
              <w:tc>
                <w:tcPr>
                  <w:tcW w:w="992" w:type="dxa"/>
                  <w:tcBorders>
                    <w:tl2br w:val="nil"/>
                    <w:tr2bl w:val="nil"/>
                  </w:tcBorders>
                  <w:vAlign w:val="center"/>
                </w:tcPr>
                <w:p>
                  <w:pPr>
                    <w:pStyle w:val="242"/>
                    <w:ind w:firstLine="0" w:firstLineChars="0"/>
                    <w:jc w:val="center"/>
                    <w:rPr>
                      <w:snapToGrid w:val="0"/>
                      <w:color w:val="auto"/>
                    </w:rPr>
                  </w:pPr>
                  <w:r>
                    <w:rPr>
                      <w:snapToGrid w:val="0"/>
                      <w:color w:val="auto"/>
                    </w:rPr>
                    <w:t>符合</w:t>
                  </w:r>
                </w:p>
              </w:tc>
            </w:tr>
          </w:tbl>
          <w:p>
            <w:pPr>
              <w:adjustRightInd/>
              <w:snapToGrid/>
              <w:spacing w:before="120" w:beforeLines="50"/>
              <w:ind w:firstLine="422"/>
              <w:rPr>
                <w:b/>
                <w:color w:val="auto"/>
              </w:rPr>
            </w:pPr>
            <w:r>
              <w:rPr>
                <w:b/>
                <w:color w:val="auto"/>
              </w:rPr>
              <w:t>4、与《中华人民共和国动物防疫法》（2021版）符合性分析</w:t>
            </w:r>
          </w:p>
          <w:p>
            <w:pPr>
              <w:ind w:firstLine="420"/>
              <w:rPr>
                <w:color w:val="auto"/>
              </w:rPr>
            </w:pPr>
            <w:r>
              <w:rPr>
                <w:color w:val="auto"/>
              </w:rPr>
              <w:t>本项目与《中华人民共和国动物防疫法》（2021版）的符合性分析详见下表。</w:t>
            </w:r>
          </w:p>
          <w:p>
            <w:pPr>
              <w:pStyle w:val="234"/>
              <w:spacing w:before="120"/>
              <w:ind w:firstLine="422"/>
              <w:rPr>
                <w:color w:val="auto"/>
              </w:rPr>
            </w:pPr>
            <w:r>
              <w:rPr>
                <w:color w:val="auto"/>
              </w:rPr>
              <w:t>表1-3  项目与《中华人民共和国动物防疫法》符合性分析</w:t>
            </w:r>
          </w:p>
          <w:tbl>
            <w:tblPr>
              <w:tblStyle w:val="41"/>
              <w:tblW w:w="8939" w:type="dxa"/>
              <w:tblInd w:w="13"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5311"/>
              <w:gridCol w:w="2936"/>
              <w:gridCol w:w="69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11" w:type="dxa"/>
                  <w:tcBorders>
                    <w:tl2br w:val="nil"/>
                    <w:tr2bl w:val="nil"/>
                  </w:tcBorders>
                  <w:vAlign w:val="center"/>
                </w:tcPr>
                <w:p>
                  <w:pPr>
                    <w:pStyle w:val="242"/>
                    <w:jc w:val="center"/>
                    <w:rPr>
                      <w:color w:val="auto"/>
                    </w:rPr>
                  </w:pPr>
                  <w:r>
                    <w:rPr>
                      <w:color w:val="auto"/>
                    </w:rPr>
                    <w:t>《中华人民共和国动物防疫法》（2021版）</w:t>
                  </w:r>
                </w:p>
              </w:tc>
              <w:tc>
                <w:tcPr>
                  <w:tcW w:w="2936" w:type="dxa"/>
                  <w:tcBorders>
                    <w:tl2br w:val="nil"/>
                    <w:tr2bl w:val="nil"/>
                  </w:tcBorders>
                  <w:vAlign w:val="center"/>
                </w:tcPr>
                <w:p>
                  <w:pPr>
                    <w:pStyle w:val="242"/>
                    <w:jc w:val="center"/>
                    <w:rPr>
                      <w:color w:val="auto"/>
                    </w:rPr>
                  </w:pPr>
                  <w:r>
                    <w:rPr>
                      <w:color w:val="auto"/>
                    </w:rPr>
                    <w:t>项目情况</w:t>
                  </w:r>
                </w:p>
              </w:tc>
              <w:tc>
                <w:tcPr>
                  <w:tcW w:w="692" w:type="dxa"/>
                  <w:tcBorders>
                    <w:tl2br w:val="nil"/>
                    <w:tr2bl w:val="nil"/>
                  </w:tcBorders>
                  <w:vAlign w:val="center"/>
                </w:tcPr>
                <w:p>
                  <w:pPr>
                    <w:pStyle w:val="242"/>
                    <w:jc w:val="center"/>
                    <w:rPr>
                      <w:color w:val="auto"/>
                    </w:rPr>
                  </w:pPr>
                  <w:r>
                    <w:rPr>
                      <w:color w:val="auto"/>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c>
                <w:tcPr>
                  <w:tcW w:w="5311" w:type="dxa"/>
                  <w:tcBorders>
                    <w:tl2br w:val="nil"/>
                    <w:tr2bl w:val="nil"/>
                  </w:tcBorders>
                  <w:vAlign w:val="center"/>
                </w:tcPr>
                <w:p>
                  <w:pPr>
                    <w:pStyle w:val="242"/>
                    <w:rPr>
                      <w:color w:val="auto"/>
                    </w:rPr>
                  </w:pPr>
                  <w:r>
                    <w:rPr>
                      <w:color w:val="auto"/>
                    </w:rPr>
                    <w:t>从事动物诊疗活动的机构，应当向县级以上地方人民政府农业农村主管部门申请动物诊疗许可证。受理申请的农业农村主管部门应当依照本法和《中华人民共和国行政许可法》的规定进行审查。经审查合格的，发给动物诊疗许可证；不合格的，应当通知申请人并说明理由。</w:t>
                  </w:r>
                </w:p>
              </w:tc>
              <w:tc>
                <w:tcPr>
                  <w:tcW w:w="2936" w:type="dxa"/>
                  <w:tcBorders>
                    <w:tl2br w:val="nil"/>
                    <w:tr2bl w:val="nil"/>
                  </w:tcBorders>
                  <w:vAlign w:val="center"/>
                </w:tcPr>
                <w:p>
                  <w:pPr>
                    <w:pStyle w:val="242"/>
                    <w:rPr>
                      <w:color w:val="auto"/>
                    </w:rPr>
                  </w:pPr>
                  <w:r>
                    <w:rPr>
                      <w:color w:val="auto"/>
                    </w:rPr>
                    <w:t>本项目已取得动物诊疗许可证（渝</w:t>
                  </w:r>
                  <w:r>
                    <w:rPr>
                      <w:rFonts w:hint="eastAsia"/>
                      <w:color w:val="auto"/>
                    </w:rPr>
                    <w:t>江北</w:t>
                  </w:r>
                  <w:r>
                    <w:rPr>
                      <w:color w:val="auto"/>
                    </w:rPr>
                    <w:t>动诊证〔202</w:t>
                  </w:r>
                  <w:r>
                    <w:rPr>
                      <w:rFonts w:hint="eastAsia"/>
                      <w:color w:val="auto"/>
                    </w:rPr>
                    <w:t>1</w:t>
                  </w:r>
                  <w:r>
                    <w:rPr>
                      <w:color w:val="auto"/>
                    </w:rPr>
                    <w:t>〕第</w:t>
                  </w:r>
                  <w:r>
                    <w:rPr>
                      <w:rFonts w:hint="eastAsia"/>
                      <w:color w:val="auto"/>
                    </w:rPr>
                    <w:t>A004</w:t>
                  </w:r>
                  <w:r>
                    <w:rPr>
                      <w:color w:val="auto"/>
                    </w:rPr>
                    <w:t>号）。</w:t>
                  </w:r>
                </w:p>
              </w:tc>
              <w:tc>
                <w:tcPr>
                  <w:tcW w:w="692" w:type="dxa"/>
                  <w:tcBorders>
                    <w:tl2br w:val="nil"/>
                    <w:tr2bl w:val="nil"/>
                  </w:tcBorders>
                  <w:vAlign w:val="center"/>
                </w:tcPr>
                <w:p>
                  <w:pPr>
                    <w:pStyle w:val="242"/>
                    <w:jc w:val="center"/>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c>
                <w:tcPr>
                  <w:tcW w:w="5311" w:type="dxa"/>
                  <w:tcBorders>
                    <w:tl2br w:val="nil"/>
                    <w:tr2bl w:val="nil"/>
                  </w:tcBorders>
                  <w:vAlign w:val="center"/>
                </w:tcPr>
                <w:p>
                  <w:pPr>
                    <w:pStyle w:val="242"/>
                    <w:rPr>
                      <w:color w:val="auto"/>
                    </w:rPr>
                  </w:pPr>
                  <w:r>
                    <w:rPr>
                      <w:color w:val="auto"/>
                    </w:rPr>
                    <w:t>动物诊疗机构应当按照国务院农业农村主管部门的规定，做好诊疗活动中的卫生安全防护、消毒、隔离和诊疗废弃物处置等工作。</w:t>
                  </w:r>
                </w:p>
              </w:tc>
              <w:tc>
                <w:tcPr>
                  <w:tcW w:w="2936" w:type="dxa"/>
                  <w:tcBorders>
                    <w:tl2br w:val="nil"/>
                    <w:tr2bl w:val="nil"/>
                  </w:tcBorders>
                  <w:vAlign w:val="center"/>
                </w:tcPr>
                <w:p>
                  <w:pPr>
                    <w:pStyle w:val="242"/>
                    <w:rPr>
                      <w:color w:val="auto"/>
                    </w:rPr>
                  </w:pPr>
                  <w:r>
                    <w:rPr>
                      <w:color w:val="auto"/>
                    </w:rPr>
                    <w:t>本项目按相关规定及环评要求做好诊疗活动中的卫生安全防护、消毒、隔离、诊疗废弃物处置等工作。</w:t>
                  </w:r>
                </w:p>
              </w:tc>
              <w:tc>
                <w:tcPr>
                  <w:tcW w:w="692" w:type="dxa"/>
                  <w:tcBorders>
                    <w:tl2br w:val="nil"/>
                    <w:tr2bl w:val="nil"/>
                  </w:tcBorders>
                  <w:vAlign w:val="center"/>
                </w:tcPr>
                <w:p>
                  <w:pPr>
                    <w:pStyle w:val="242"/>
                    <w:jc w:val="center"/>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trPr>
              <w:tc>
                <w:tcPr>
                  <w:tcW w:w="5311" w:type="dxa"/>
                  <w:tcBorders>
                    <w:tl2br w:val="nil"/>
                    <w:tr2bl w:val="nil"/>
                  </w:tcBorders>
                  <w:vAlign w:val="center"/>
                </w:tcPr>
                <w:p>
                  <w:pPr>
                    <w:pStyle w:val="242"/>
                    <w:rPr>
                      <w:color w:val="auto"/>
                    </w:rPr>
                  </w:pPr>
                  <w:r>
                    <w:rPr>
                      <w:color w:val="auto"/>
                    </w:rPr>
                    <w:t>从事动物诊疗活动，应当遵守有关动物诊疗的操作技术规范，使用符合规定的兽药和兽药器械。</w:t>
                  </w:r>
                </w:p>
              </w:tc>
              <w:tc>
                <w:tcPr>
                  <w:tcW w:w="2936" w:type="dxa"/>
                  <w:tcBorders>
                    <w:tl2br w:val="nil"/>
                    <w:tr2bl w:val="nil"/>
                  </w:tcBorders>
                  <w:vAlign w:val="center"/>
                </w:tcPr>
                <w:p>
                  <w:pPr>
                    <w:pStyle w:val="242"/>
                    <w:rPr>
                      <w:color w:val="auto"/>
                    </w:rPr>
                  </w:pPr>
                  <w:r>
                    <w:rPr>
                      <w:color w:val="auto"/>
                    </w:rPr>
                    <w:t>项目使用符合规定的器械和药品。</w:t>
                  </w:r>
                </w:p>
              </w:tc>
              <w:tc>
                <w:tcPr>
                  <w:tcW w:w="692" w:type="dxa"/>
                  <w:tcBorders>
                    <w:tl2br w:val="nil"/>
                    <w:tr2bl w:val="nil"/>
                  </w:tcBorders>
                  <w:vAlign w:val="center"/>
                </w:tcPr>
                <w:p>
                  <w:pPr>
                    <w:pStyle w:val="242"/>
                    <w:jc w:val="center"/>
                    <w:rPr>
                      <w:color w:val="auto"/>
                    </w:rPr>
                  </w:pPr>
                  <w:r>
                    <w:rPr>
                      <w:color w:val="auto"/>
                    </w:rPr>
                    <w:t>符合</w:t>
                  </w:r>
                </w:p>
              </w:tc>
            </w:tr>
          </w:tbl>
          <w:p>
            <w:pPr>
              <w:spacing w:before="120" w:beforeLines="50"/>
              <w:ind w:firstLine="422"/>
              <w:rPr>
                <w:b/>
                <w:color w:val="auto"/>
              </w:rPr>
            </w:pPr>
            <w:r>
              <w:rPr>
                <w:b/>
                <w:color w:val="auto"/>
              </w:rPr>
              <w:t>5、与《重庆市生态环境局重庆市农业农村委员会关于规范动物诊疗机构医疗废物集中无害化处置的通知》（渝环〔2019〕185号）的符合性分析</w:t>
            </w:r>
          </w:p>
          <w:p>
            <w:pPr>
              <w:ind w:firstLine="420"/>
              <w:rPr>
                <w:color w:val="auto"/>
              </w:rPr>
            </w:pPr>
            <w:r>
              <w:rPr>
                <w:color w:val="auto"/>
              </w:rPr>
              <w:t>本项目与《重庆市生态环境局重庆市农业农村委员会关于规范动物诊疗机构医疗废物集中无害化处置的通知》符合性分析详见下表。</w:t>
            </w:r>
          </w:p>
          <w:p>
            <w:pPr>
              <w:pStyle w:val="234"/>
              <w:spacing w:before="120"/>
              <w:ind w:firstLine="422"/>
              <w:rPr>
                <w:color w:val="auto"/>
              </w:rPr>
            </w:pPr>
            <w:r>
              <w:rPr>
                <w:color w:val="auto"/>
              </w:rPr>
              <w:t>表1-4  项目与（渝环〔2019〕185号）符合性分析</w:t>
            </w:r>
          </w:p>
          <w:tbl>
            <w:tblPr>
              <w:tblStyle w:val="41"/>
              <w:tblW w:w="8912" w:type="dxa"/>
              <w:tblInd w:w="13"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5442"/>
              <w:gridCol w:w="2784"/>
              <w:gridCol w:w="68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c>
                <w:tcPr>
                  <w:tcW w:w="5442" w:type="dxa"/>
                  <w:tcBorders>
                    <w:tl2br w:val="nil"/>
                    <w:tr2bl w:val="nil"/>
                  </w:tcBorders>
                  <w:vAlign w:val="center"/>
                </w:tcPr>
                <w:p>
                  <w:pPr>
                    <w:pStyle w:val="242"/>
                    <w:jc w:val="center"/>
                    <w:rPr>
                      <w:color w:val="auto"/>
                    </w:rPr>
                  </w:pPr>
                  <w:r>
                    <w:rPr>
                      <w:color w:val="auto"/>
                    </w:rPr>
                    <w:t>通知内容</w:t>
                  </w:r>
                </w:p>
              </w:tc>
              <w:tc>
                <w:tcPr>
                  <w:tcW w:w="2784" w:type="dxa"/>
                  <w:tcBorders>
                    <w:tl2br w:val="nil"/>
                    <w:tr2bl w:val="nil"/>
                  </w:tcBorders>
                  <w:vAlign w:val="center"/>
                </w:tcPr>
                <w:p>
                  <w:pPr>
                    <w:pStyle w:val="242"/>
                    <w:jc w:val="center"/>
                    <w:rPr>
                      <w:color w:val="auto"/>
                    </w:rPr>
                  </w:pPr>
                  <w:r>
                    <w:rPr>
                      <w:color w:val="auto"/>
                    </w:rPr>
                    <w:t>项目情况</w:t>
                  </w:r>
                </w:p>
              </w:tc>
              <w:tc>
                <w:tcPr>
                  <w:tcW w:w="686" w:type="dxa"/>
                  <w:tcBorders>
                    <w:tl2br w:val="nil"/>
                    <w:tr2bl w:val="nil"/>
                  </w:tcBorders>
                </w:tcPr>
                <w:p>
                  <w:pPr>
                    <w:pStyle w:val="242"/>
                    <w:jc w:val="center"/>
                    <w:rPr>
                      <w:color w:val="auto"/>
                    </w:rPr>
                  </w:pPr>
                  <w:r>
                    <w:rPr>
                      <w:color w:val="auto"/>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c>
                <w:tcPr>
                  <w:tcW w:w="5442" w:type="dxa"/>
                  <w:tcBorders>
                    <w:tl2br w:val="nil"/>
                    <w:tr2bl w:val="nil"/>
                  </w:tcBorders>
                </w:tcPr>
                <w:p>
                  <w:pPr>
                    <w:pStyle w:val="242"/>
                    <w:rPr>
                      <w:color w:val="auto"/>
                    </w:rPr>
                  </w:pPr>
                  <w:r>
                    <w:rPr>
                      <w:color w:val="auto"/>
                    </w:rPr>
                    <w:t>一、根据《国家危险废物名录》和《动物诊疗机构管理办法》，动物诊疗机构为动物诊治产生的废物（不含病死动物和动物病理组织）属于HW01 医疗废物（废物代码：900-001-01），应当参照《医疗废物管理条例》的有关规定交具有相应资质的医疗废物处置单位进行集中处置，不得非法转移、倾倒及处置。</w:t>
                  </w:r>
                </w:p>
              </w:tc>
              <w:tc>
                <w:tcPr>
                  <w:tcW w:w="2784" w:type="dxa"/>
                  <w:tcBorders>
                    <w:tl2br w:val="nil"/>
                    <w:tr2bl w:val="nil"/>
                  </w:tcBorders>
                  <w:vAlign w:val="center"/>
                </w:tcPr>
                <w:p>
                  <w:pPr>
                    <w:pStyle w:val="242"/>
                    <w:rPr>
                      <w:color w:val="auto"/>
                    </w:rPr>
                  </w:pPr>
                  <w:r>
                    <w:rPr>
                      <w:color w:val="auto"/>
                    </w:rPr>
                    <w:t>项目产生的医疗废物分类收集后，定期交资质单位进行处置。</w:t>
                  </w:r>
                </w:p>
              </w:tc>
              <w:tc>
                <w:tcPr>
                  <w:tcW w:w="686" w:type="dxa"/>
                  <w:tcBorders>
                    <w:tl2br w:val="nil"/>
                    <w:tr2bl w:val="nil"/>
                  </w:tcBorders>
                  <w:vAlign w:val="center"/>
                </w:tcPr>
                <w:p>
                  <w:pPr>
                    <w:pStyle w:val="242"/>
                    <w:jc w:val="center"/>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c>
                <w:tcPr>
                  <w:tcW w:w="5442" w:type="dxa"/>
                  <w:tcBorders>
                    <w:tl2br w:val="nil"/>
                    <w:tr2bl w:val="nil"/>
                  </w:tcBorders>
                </w:tcPr>
                <w:p>
                  <w:pPr>
                    <w:pStyle w:val="242"/>
                    <w:rPr>
                      <w:color w:val="auto"/>
                    </w:rPr>
                  </w:pPr>
                  <w:r>
                    <w:rPr>
                      <w:color w:val="auto"/>
                    </w:rPr>
                    <w:t>二、各动物诊疗机构应提高对医疗废物管理工作重要性的认识，建立管理责任制，加强对医疗废物的管理，切实履行环境保护主体责任。使用后的针头、一次性输液器、输液管等医疗废物应专门收集，不得混入生活垃圾。各动物诊疗机构应规范医疗废物收集、贮存及移交等工作，建立医疗废物的贮存设施、设备，不得露天存放医疗废物；医疗废物应交由医疗废物处置单位进行集中处置，并做好有关交接、登记和统计等工作，转移医疗废物应执行危险废物转移联单制度，保证医疗废物的可追溯性。</w:t>
                  </w:r>
                </w:p>
              </w:tc>
              <w:tc>
                <w:tcPr>
                  <w:tcW w:w="2784" w:type="dxa"/>
                  <w:tcBorders>
                    <w:tl2br w:val="nil"/>
                    <w:tr2bl w:val="nil"/>
                  </w:tcBorders>
                  <w:shd w:val="clear" w:color="auto" w:fill="auto"/>
                  <w:vAlign w:val="center"/>
                </w:tcPr>
                <w:p>
                  <w:pPr>
                    <w:pStyle w:val="242"/>
                    <w:rPr>
                      <w:color w:val="auto"/>
                    </w:rPr>
                  </w:pPr>
                  <w:r>
                    <w:rPr>
                      <w:rFonts w:hint="eastAsia"/>
                      <w:color w:val="auto"/>
                    </w:rPr>
                    <w:t>要求建设单位设置危废贮存点，对产生的医疗废物进行分类分区暂存，并</w:t>
                  </w:r>
                  <w:r>
                    <w:rPr>
                      <w:color w:val="auto"/>
                    </w:rPr>
                    <w:t>与医疗废物资质单位签订协议，医疗废物定期交</w:t>
                  </w:r>
                  <w:r>
                    <w:rPr>
                      <w:rFonts w:hint="eastAsia"/>
                      <w:color w:val="auto"/>
                    </w:rPr>
                    <w:t>有</w:t>
                  </w:r>
                  <w:r>
                    <w:rPr>
                      <w:color w:val="auto"/>
                    </w:rPr>
                    <w:t>资质单位处置，并按照危险废物转移管理办法执行。</w:t>
                  </w:r>
                </w:p>
              </w:tc>
              <w:tc>
                <w:tcPr>
                  <w:tcW w:w="686" w:type="dxa"/>
                  <w:tcBorders>
                    <w:tl2br w:val="nil"/>
                    <w:tr2bl w:val="nil"/>
                  </w:tcBorders>
                  <w:vAlign w:val="center"/>
                </w:tcPr>
                <w:p>
                  <w:pPr>
                    <w:pStyle w:val="242"/>
                    <w:jc w:val="center"/>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c>
                <w:tcPr>
                  <w:tcW w:w="5442" w:type="dxa"/>
                  <w:tcBorders>
                    <w:tl2br w:val="nil"/>
                    <w:tr2bl w:val="nil"/>
                  </w:tcBorders>
                </w:tcPr>
                <w:p>
                  <w:pPr>
                    <w:pStyle w:val="242"/>
                    <w:rPr>
                      <w:color w:val="auto"/>
                    </w:rPr>
                  </w:pPr>
                  <w:r>
                    <w:rPr>
                      <w:color w:val="auto"/>
                    </w:rPr>
                    <w:t>三、各医疗废物处置单位应严格按照医疗废物处置的有关技术规范开展对动物诊疗机构医疗废物收集、运输、贮存及处置的工作，其中动物诊疗机构医疗废物和医疗卫生机构医疗废物应分类收运、贮存及处置；处置单位要加强对动物诊疗机构医疗废物处置过程的管控，制定并严格执行操作规程，做好处置人员的培训和职业卫生防护；建立危险废物经营情况记录簿，如实记录动物诊疗机构医疗废物的转移、贮存及处置情况，并定期向生态环境部门报告。</w:t>
                  </w:r>
                </w:p>
              </w:tc>
              <w:tc>
                <w:tcPr>
                  <w:tcW w:w="2784" w:type="dxa"/>
                  <w:tcBorders>
                    <w:tl2br w:val="nil"/>
                    <w:tr2bl w:val="nil"/>
                  </w:tcBorders>
                  <w:vAlign w:val="center"/>
                </w:tcPr>
                <w:p>
                  <w:pPr>
                    <w:pStyle w:val="242"/>
                    <w:rPr>
                      <w:color w:val="auto"/>
                    </w:rPr>
                  </w:pPr>
                  <w:r>
                    <w:rPr>
                      <w:color w:val="auto"/>
                    </w:rPr>
                    <w:t>企业建立了管理责任制，使用后的针头、一次性输液器、输液管等医疗废物分类收集于</w:t>
                  </w:r>
                  <w:r>
                    <w:rPr>
                      <w:color w:val="auto"/>
                      <w:szCs w:val="21"/>
                    </w:rPr>
                    <w:t>医疗废物专用包装</w:t>
                  </w:r>
                  <w:r>
                    <w:rPr>
                      <w:color w:val="auto"/>
                    </w:rPr>
                    <w:t>，并分类置于危险废物暂存点；产生的医疗废物交有资质单位处置，并按照危险废物转移管理办法执行。</w:t>
                  </w:r>
                </w:p>
              </w:tc>
              <w:tc>
                <w:tcPr>
                  <w:tcW w:w="686" w:type="dxa"/>
                  <w:tcBorders>
                    <w:tl2br w:val="nil"/>
                    <w:tr2bl w:val="nil"/>
                  </w:tcBorders>
                  <w:vAlign w:val="center"/>
                </w:tcPr>
                <w:p>
                  <w:pPr>
                    <w:pStyle w:val="242"/>
                    <w:jc w:val="center"/>
                    <w:rPr>
                      <w:color w:val="auto"/>
                    </w:rPr>
                  </w:pPr>
                  <w:r>
                    <w:rPr>
                      <w:color w:val="auto"/>
                    </w:rPr>
                    <w:t>符合</w:t>
                  </w:r>
                </w:p>
              </w:tc>
            </w:tr>
          </w:tbl>
          <w:p>
            <w:pPr>
              <w:adjustRightInd/>
              <w:snapToGrid/>
              <w:spacing w:before="120" w:beforeLines="50"/>
              <w:ind w:firstLine="422"/>
              <w:rPr>
                <w:b/>
                <w:color w:val="auto"/>
              </w:rPr>
            </w:pPr>
            <w:r>
              <w:rPr>
                <w:b/>
                <w:color w:val="auto"/>
              </w:rPr>
              <w:t>6、与《重庆市动物防疫条例》（2023年9月27日修订）符合性分析</w:t>
            </w:r>
          </w:p>
          <w:p>
            <w:pPr>
              <w:ind w:firstLine="420"/>
              <w:rPr>
                <w:color w:val="auto"/>
              </w:rPr>
            </w:pPr>
            <w:r>
              <w:rPr>
                <w:color w:val="auto"/>
              </w:rPr>
              <w:t>本项目与《重庆市动物防疫条例》符合性分析详见下表。</w:t>
            </w:r>
          </w:p>
          <w:p>
            <w:pPr>
              <w:pStyle w:val="234"/>
              <w:spacing w:before="120"/>
              <w:ind w:firstLine="422"/>
              <w:rPr>
                <w:color w:val="auto"/>
              </w:rPr>
            </w:pPr>
            <w:r>
              <w:rPr>
                <w:color w:val="auto"/>
              </w:rPr>
              <w:t>表1-5  与《重庆市动物防疫条例》符合性分析</w:t>
            </w:r>
          </w:p>
          <w:tbl>
            <w:tblPr>
              <w:tblStyle w:val="41"/>
              <w:tblW w:w="8939" w:type="dxa"/>
              <w:tblInd w:w="13"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5250"/>
              <w:gridCol w:w="2808"/>
              <w:gridCol w:w="88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c>
                <w:tcPr>
                  <w:tcW w:w="5250" w:type="dxa"/>
                  <w:tcBorders>
                    <w:tl2br w:val="nil"/>
                    <w:tr2bl w:val="nil"/>
                  </w:tcBorders>
                  <w:vAlign w:val="center"/>
                </w:tcPr>
                <w:p>
                  <w:pPr>
                    <w:pStyle w:val="242"/>
                    <w:jc w:val="center"/>
                    <w:rPr>
                      <w:color w:val="auto"/>
                    </w:rPr>
                  </w:pPr>
                  <w:r>
                    <w:rPr>
                      <w:color w:val="auto"/>
                    </w:rPr>
                    <w:t>《重庆市动物防疫条例》相关规定要求</w:t>
                  </w:r>
                </w:p>
              </w:tc>
              <w:tc>
                <w:tcPr>
                  <w:tcW w:w="2808" w:type="dxa"/>
                  <w:tcBorders>
                    <w:tl2br w:val="nil"/>
                    <w:tr2bl w:val="nil"/>
                  </w:tcBorders>
                  <w:vAlign w:val="center"/>
                </w:tcPr>
                <w:p>
                  <w:pPr>
                    <w:pStyle w:val="242"/>
                    <w:jc w:val="center"/>
                    <w:rPr>
                      <w:color w:val="auto"/>
                    </w:rPr>
                  </w:pPr>
                  <w:r>
                    <w:rPr>
                      <w:color w:val="auto"/>
                    </w:rPr>
                    <w:t>项目情况</w:t>
                  </w:r>
                </w:p>
              </w:tc>
              <w:tc>
                <w:tcPr>
                  <w:tcW w:w="881" w:type="dxa"/>
                  <w:tcBorders>
                    <w:tl2br w:val="nil"/>
                    <w:tr2bl w:val="nil"/>
                  </w:tcBorders>
                  <w:vAlign w:val="center"/>
                </w:tcPr>
                <w:p>
                  <w:pPr>
                    <w:pStyle w:val="242"/>
                    <w:rPr>
                      <w:color w:val="auto"/>
                    </w:rPr>
                  </w:pPr>
                  <w:r>
                    <w:rPr>
                      <w:color w:val="auto"/>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c>
                <w:tcPr>
                  <w:tcW w:w="5250" w:type="dxa"/>
                  <w:tcBorders>
                    <w:tl2br w:val="nil"/>
                    <w:tr2bl w:val="nil"/>
                  </w:tcBorders>
                  <w:vAlign w:val="center"/>
                </w:tcPr>
                <w:p>
                  <w:pPr>
                    <w:pStyle w:val="242"/>
                    <w:rPr>
                      <w:color w:val="auto"/>
                    </w:rPr>
                  </w:pPr>
                  <w:r>
                    <w:rPr>
                      <w:color w:val="auto"/>
                    </w:rPr>
                    <w:t>第六条  从事动物饲养、屠宰、经营、隔离、运输、诊疗以及动物产品生产、经营、加工、贮藏等活动的单位和个人，应当依法做好免疫、消毒、检测、隔离、净化、消灭、无害化处理等动物防疫工作，承担动物防疫相关责任。</w:t>
                  </w:r>
                </w:p>
              </w:tc>
              <w:tc>
                <w:tcPr>
                  <w:tcW w:w="2808" w:type="dxa"/>
                  <w:tcBorders>
                    <w:tl2br w:val="nil"/>
                    <w:tr2bl w:val="nil"/>
                  </w:tcBorders>
                  <w:vAlign w:val="center"/>
                </w:tcPr>
                <w:p>
                  <w:pPr>
                    <w:pStyle w:val="242"/>
                    <w:rPr>
                      <w:color w:val="auto"/>
                    </w:rPr>
                  </w:pPr>
                  <w:r>
                    <w:rPr>
                      <w:color w:val="auto"/>
                    </w:rPr>
                    <w:t>项目为动物医院，设置了隔离区，并做好免疫、消毒等动物防疫工作，项目动物尸体交由具有相关资质单位进行无害化处置。</w:t>
                  </w:r>
                </w:p>
              </w:tc>
              <w:tc>
                <w:tcPr>
                  <w:tcW w:w="881" w:type="dxa"/>
                  <w:tcBorders>
                    <w:tl2br w:val="nil"/>
                    <w:tr2bl w:val="nil"/>
                  </w:tcBorders>
                  <w:vAlign w:val="center"/>
                </w:tcPr>
                <w:p>
                  <w:pPr>
                    <w:pStyle w:val="242"/>
                    <w:jc w:val="center"/>
                    <w:rPr>
                      <w:color w:val="auto"/>
                    </w:rPr>
                  </w:pPr>
                  <w:r>
                    <w:rPr>
                      <w:color w:val="auto"/>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c>
                <w:tcPr>
                  <w:tcW w:w="5250" w:type="dxa"/>
                  <w:tcBorders>
                    <w:tl2br w:val="nil"/>
                    <w:tr2bl w:val="nil"/>
                  </w:tcBorders>
                  <w:vAlign w:val="center"/>
                </w:tcPr>
                <w:p>
                  <w:pPr>
                    <w:pStyle w:val="242"/>
                    <w:rPr>
                      <w:color w:val="auto"/>
                    </w:rPr>
                  </w:pPr>
                  <w:r>
                    <w:rPr>
                      <w:color w:val="auto"/>
                    </w:rPr>
                    <w:t>第二十二条  从事动物饲养、屠宰、经营、隔离以及动物产品生产、经营、加工、贮藏等活动的单位和个人，应当按照国家有关规定做好病死动物和病害动物产品的无害化处理，或者委托动物和动物产品集中无害化处理场所处理。从事动物、动物产品运输的单位和个人，应当配合做好病死动物和病害动物产品的无害化处理，不得擅自弃置和处理有关动物和动物产品。任何单位和个人不得买卖、加工、随意弃置病死动物和病害动物产品。</w:t>
                  </w:r>
                </w:p>
              </w:tc>
              <w:tc>
                <w:tcPr>
                  <w:tcW w:w="2808" w:type="dxa"/>
                  <w:tcBorders>
                    <w:tl2br w:val="nil"/>
                    <w:tr2bl w:val="nil"/>
                  </w:tcBorders>
                  <w:vAlign w:val="center"/>
                </w:tcPr>
                <w:p>
                  <w:pPr>
                    <w:pStyle w:val="242"/>
                    <w:rPr>
                      <w:color w:val="auto"/>
                    </w:rPr>
                  </w:pPr>
                  <w:r>
                    <w:rPr>
                      <w:color w:val="auto"/>
                    </w:rPr>
                    <w:t>项目为动物医院，设置了隔离区，病死动物及病害动物尸体交由具有相关资质单位进行无害化处置。</w:t>
                  </w:r>
                </w:p>
              </w:tc>
              <w:tc>
                <w:tcPr>
                  <w:tcW w:w="881" w:type="dxa"/>
                  <w:tcBorders>
                    <w:tl2br w:val="nil"/>
                    <w:tr2bl w:val="nil"/>
                  </w:tcBorders>
                  <w:vAlign w:val="center"/>
                </w:tcPr>
                <w:p>
                  <w:pPr>
                    <w:pStyle w:val="242"/>
                    <w:jc w:val="center"/>
                    <w:rPr>
                      <w:color w:val="auto"/>
                    </w:rPr>
                  </w:pPr>
                  <w:r>
                    <w:rPr>
                      <w:color w:val="auto"/>
                    </w:rPr>
                    <w:t>符合</w:t>
                  </w:r>
                </w:p>
              </w:tc>
            </w:tr>
          </w:tbl>
          <w:p>
            <w:pPr>
              <w:adjustRightInd/>
              <w:snapToGrid/>
              <w:spacing w:before="120" w:beforeLines="50"/>
              <w:ind w:firstLine="422"/>
              <w:rPr>
                <w:b/>
                <w:color w:val="auto"/>
              </w:rPr>
            </w:pPr>
            <w:r>
              <w:rPr>
                <w:b/>
                <w:color w:val="auto"/>
              </w:rPr>
              <w:t>7、与《重庆市发展和改革委员会关于印发重庆市产业投资准入工作手册的通知》（渝发改投资〔2022〕1436号）符合性分析</w:t>
            </w:r>
          </w:p>
          <w:p>
            <w:pPr>
              <w:ind w:firstLine="420"/>
              <w:rPr>
                <w:color w:val="auto"/>
              </w:rPr>
            </w:pPr>
            <w:r>
              <w:rPr>
                <w:color w:val="auto"/>
              </w:rPr>
              <w:t>根据《重庆市发展和改革委员会关于印发重庆市产业投资准入工作手册的通知》（渝发改投资〔2022〕1436号），本项目属于O822 宠物服务，项目位于重庆市</w:t>
            </w:r>
            <w:r>
              <w:rPr>
                <w:rFonts w:hint="eastAsia"/>
                <w:color w:val="auto"/>
              </w:rPr>
              <w:t>江北区观音桥街道</w:t>
            </w:r>
            <w:r>
              <w:rPr>
                <w:color w:val="auto"/>
              </w:rPr>
              <w:t>，经对照分析，项目符合《重庆市产业投资准入工作手册》中的相关规定及要求。</w:t>
            </w:r>
          </w:p>
          <w:p>
            <w:pPr>
              <w:ind w:firstLine="422"/>
              <w:rPr>
                <w:b/>
                <w:color w:val="auto"/>
              </w:rPr>
            </w:pPr>
            <w:r>
              <w:rPr>
                <w:b/>
                <w:color w:val="auto"/>
              </w:rPr>
              <w:t>8、与《四川省、重庆市长江经济带发展负面清单实施细则（试行，2022 年版）》的符合性分析</w:t>
            </w:r>
          </w:p>
          <w:p>
            <w:pPr>
              <w:ind w:firstLine="420"/>
              <w:rPr>
                <w:color w:val="auto"/>
              </w:rPr>
            </w:pPr>
            <w:r>
              <w:rPr>
                <w:color w:val="auto"/>
              </w:rPr>
              <w:t>根据《四川省、重庆市长江经济带发展负面清单实施细则（试行，2022 年版）》（川长江办〔2022〕17号），为认真落实党中央、国务院关于推动长江经济带发展重大战略部署，抓好长江保护法贯彻落实，加强成渝地区双城经济圈生态环境联防联控，要求项目参照本细则执行。经对照分析，项目与《四川省、重庆市长江经济带发展负面清单实施细则（试行，2022 年版）》（川长江办</w:t>
            </w:r>
            <w:bookmarkStart w:id="4" w:name="OLE_LINK6"/>
            <w:r>
              <w:rPr>
                <w:color w:val="auto"/>
              </w:rPr>
              <w:t>〔2022〕</w:t>
            </w:r>
            <w:bookmarkEnd w:id="4"/>
            <w:r>
              <w:rPr>
                <w:color w:val="auto"/>
              </w:rPr>
              <w:t>17号）相符合。</w:t>
            </w:r>
          </w:p>
          <w:p>
            <w:pPr>
              <w:ind w:firstLine="422"/>
              <w:rPr>
                <w:b/>
                <w:color w:val="auto"/>
              </w:rPr>
            </w:pPr>
            <w:r>
              <w:rPr>
                <w:b/>
                <w:color w:val="auto"/>
              </w:rPr>
              <w:t>9、选址合理性分析</w:t>
            </w:r>
          </w:p>
          <w:p>
            <w:pPr>
              <w:ind w:firstLine="420"/>
              <w:rPr>
                <w:color w:val="auto"/>
              </w:rPr>
            </w:pPr>
            <w:r>
              <w:rPr>
                <w:rFonts w:hint="eastAsia"/>
                <w:color w:val="auto"/>
              </w:rPr>
              <w:t>重庆市侏罗纪迅猛龙动物医院有限公司</w:t>
            </w:r>
            <w:r>
              <w:rPr>
                <w:color w:val="auto"/>
              </w:rPr>
              <w:t>位于</w:t>
            </w:r>
            <w:r>
              <w:rPr>
                <w:rFonts w:hint="eastAsia"/>
                <w:color w:val="auto"/>
              </w:rPr>
              <w:t>重庆市江北区观音桥街道渝澳大道72号附14号</w:t>
            </w:r>
            <w:r>
              <w:rPr>
                <w:color w:val="auto"/>
              </w:rPr>
              <w:t xml:space="preserve"> ，租赁已建的商铺进行建设。项目所处楼栋为商住混合楼，相邻为商业用房，3F以上均为居民楼。本项目</w:t>
            </w:r>
            <w:r>
              <w:rPr>
                <w:rFonts w:hint="eastAsia"/>
                <w:color w:val="auto"/>
              </w:rPr>
              <w:t>位于1F</w:t>
            </w:r>
            <w:r>
              <w:rPr>
                <w:color w:val="auto"/>
              </w:rPr>
              <w:t>，设置了独立的出入口，不与其他用户共用通道，布局合理。周边无畜禽养殖场、屠宰加工厂、动物交易场所，满足《动物诊疗机构管理办法》（农业农村部令2022年第5号）中的相关管理办法。</w:t>
            </w:r>
          </w:p>
          <w:p>
            <w:pPr>
              <w:ind w:firstLine="420"/>
              <w:rPr>
                <w:color w:val="auto"/>
              </w:rPr>
            </w:pPr>
            <w:r>
              <w:rPr>
                <w:color w:val="auto"/>
              </w:rPr>
              <w:t>根据环境质量现状评价，项目所在区域江北区属于大气环境质量不达标区，江北区发布了《江北区“十四五”生态环境保护规划和二〇三五年远景目标》，规划实施后，能有效改善区域环境质量。项目受纳水体为长江，长江水质满足《地表水环境质量标准》（GB3838-2002）</w:t>
            </w:r>
            <w:r>
              <w:rPr>
                <w:rFonts w:hint="eastAsia"/>
                <w:color w:val="auto"/>
              </w:rPr>
              <w:t>Ⅲ</w:t>
            </w:r>
            <w:r>
              <w:rPr>
                <w:color w:val="auto"/>
              </w:rPr>
              <w:t xml:space="preserve"> 类水域标准要求。项目周边环境保护目标声环境质量满足《声环境质量标准》（GB3096-2008）相应标准要求。因此，项目选址区域环境质量总体较好，有利于项目的建设。</w:t>
            </w:r>
          </w:p>
          <w:p>
            <w:pPr>
              <w:ind w:firstLine="420"/>
              <w:rPr>
                <w:color w:val="auto"/>
              </w:rPr>
            </w:pPr>
            <w:r>
              <w:rPr>
                <w:color w:val="auto"/>
              </w:rPr>
              <w:t>本项目周边环境保护目标以居民小区、学校、医院为主，医院采用</w:t>
            </w:r>
            <w:r>
              <w:rPr>
                <w:rFonts w:hint="eastAsia"/>
                <w:color w:val="auto"/>
              </w:rPr>
              <w:t>新风系统送风的</w:t>
            </w:r>
            <w:r>
              <w:rPr>
                <w:color w:val="auto"/>
              </w:rPr>
              <w:t>形式进行通风，并定期消毒来减小</w:t>
            </w:r>
            <w:r>
              <w:rPr>
                <w:rFonts w:hint="eastAsia"/>
                <w:color w:val="auto"/>
              </w:rPr>
              <w:t>异味</w:t>
            </w:r>
            <w:r>
              <w:rPr>
                <w:color w:val="auto"/>
              </w:rPr>
              <w:t>的影响；项目医疗废水经医疗废水预处理设施消毒预处理后与其他污水一起排至</w:t>
            </w:r>
            <w:r>
              <w:rPr>
                <w:rFonts w:hint="eastAsia"/>
                <w:color w:val="auto"/>
              </w:rPr>
              <w:t>招商锦星汇</w:t>
            </w:r>
            <w:r>
              <w:rPr>
                <w:color w:val="auto"/>
              </w:rPr>
              <w:t>已建生化池，区域敷设有完善的污水管网接至唐家沱污水处理厂，因此项目废水处理有保障；为减小噪声影响，建设单位日常加强管理，避免动物处于饥饿状态而发出叫声；项目产生的固体废物均能够妥善处置，不直接排放环境。因此，本项目废气、废水、噪声、固废对周边环境影响较小，且服务于周边居民，便于居民携宠物就医。</w:t>
            </w:r>
          </w:p>
          <w:p>
            <w:pPr>
              <w:autoSpaceDE w:val="0"/>
              <w:autoSpaceDN w:val="0"/>
              <w:adjustRightInd/>
              <w:snapToGrid/>
              <w:ind w:firstLine="420"/>
              <w:rPr>
                <w:b/>
                <w:color w:val="auto"/>
                <w:kern w:val="0"/>
                <w:szCs w:val="21"/>
              </w:rPr>
            </w:pPr>
            <w:r>
              <w:rPr>
                <w:color w:val="auto"/>
              </w:rPr>
              <w:t>综上所述，项目选址合理。</w:t>
            </w:r>
          </w:p>
        </w:tc>
      </w:tr>
    </w:tbl>
    <w:p>
      <w:pPr>
        <w:pStyle w:val="35"/>
        <w:ind w:firstLine="600"/>
        <w:jc w:val="center"/>
        <w:outlineLvl w:val="0"/>
        <w:rPr>
          <w:rFonts w:ascii="Times New Roman" w:hAnsi="Times New Roman"/>
          <w:snapToGrid w:val="0"/>
          <w:color w:val="auto"/>
          <w:sz w:val="30"/>
          <w:szCs w:val="30"/>
        </w:rPr>
        <w:sectPr>
          <w:footerReference r:id="rId5" w:type="default"/>
          <w:pgSz w:w="11906" w:h="16838"/>
          <w:pgMar w:top="1440" w:right="1020" w:bottom="1440" w:left="1020" w:header="851" w:footer="851" w:gutter="0"/>
          <w:pgNumType w:start="1"/>
          <w:cols w:space="720" w:num="1"/>
          <w:docGrid w:linePitch="312" w:charSpace="0"/>
        </w:sectPr>
      </w:pPr>
    </w:p>
    <w:p>
      <w:pPr>
        <w:pStyle w:val="5"/>
        <w:rPr>
          <w:rFonts w:eastAsia="宋体"/>
          <w:snapToGrid w:val="0"/>
          <w:color w:val="auto"/>
        </w:rPr>
      </w:pPr>
      <w:r>
        <w:rPr>
          <w:rFonts w:eastAsia="宋体"/>
          <w:snapToGrid w:val="0"/>
          <w:color w:val="auto"/>
        </w:rPr>
        <w:t>二、建设项目工程分析</w:t>
      </w:r>
    </w:p>
    <w:tbl>
      <w:tblPr>
        <w:tblStyle w:val="41"/>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0" w:type="dxa"/>
            <w:vAlign w:val="center"/>
          </w:tcPr>
          <w:p>
            <w:pPr>
              <w:pStyle w:val="35"/>
              <w:adjustRightInd/>
              <w:snapToGrid/>
              <w:spacing w:before="0" w:beforeAutospacing="0" w:after="0" w:afterAutospacing="0"/>
              <w:ind w:firstLine="0" w:firstLineChars="0"/>
              <w:jc w:val="center"/>
              <w:rPr>
                <w:rFonts w:ascii="Times New Roman" w:hAnsi="Times New Roman"/>
                <w:color w:val="auto"/>
                <w:sz w:val="21"/>
                <w:szCs w:val="21"/>
              </w:rPr>
            </w:pPr>
            <w:r>
              <w:rPr>
                <w:rFonts w:ascii="Times New Roman" w:hAnsi="Times New Roman"/>
                <w:color w:val="auto"/>
                <w:sz w:val="21"/>
                <w:szCs w:val="21"/>
              </w:rPr>
              <w:t>建设内容</w:t>
            </w:r>
          </w:p>
        </w:tc>
        <w:tc>
          <w:tcPr>
            <w:tcW w:w="9242" w:type="dxa"/>
            <w:vAlign w:val="center"/>
          </w:tcPr>
          <w:p>
            <w:pPr>
              <w:adjustRightInd/>
              <w:snapToGrid/>
              <w:spacing w:before="120" w:beforeLines="50"/>
              <w:ind w:firstLine="422"/>
              <w:rPr>
                <w:b/>
                <w:bCs/>
                <w:color w:val="auto"/>
                <w:szCs w:val="21"/>
              </w:rPr>
            </w:pPr>
            <w:r>
              <w:rPr>
                <w:b/>
                <w:bCs/>
                <w:color w:val="auto"/>
                <w:szCs w:val="21"/>
              </w:rPr>
              <w:t>1、项目由来</w:t>
            </w:r>
          </w:p>
          <w:p>
            <w:pPr>
              <w:adjustRightInd/>
              <w:snapToGrid/>
              <w:ind w:firstLine="420"/>
              <w:rPr>
                <w:color w:val="auto"/>
              </w:rPr>
            </w:pPr>
            <w:r>
              <w:rPr>
                <w:rFonts w:hint="eastAsia"/>
                <w:color w:val="auto"/>
              </w:rPr>
              <w:t>重庆市侏罗纪迅猛龙动物医院有限公司</w:t>
            </w:r>
            <w:r>
              <w:rPr>
                <w:color w:val="auto"/>
              </w:rPr>
              <w:t>于</w:t>
            </w:r>
            <w:r>
              <w:rPr>
                <w:rFonts w:hint="eastAsia"/>
                <w:color w:val="auto"/>
              </w:rPr>
              <w:t>2021</w:t>
            </w:r>
            <w:r>
              <w:rPr>
                <w:color w:val="auto"/>
              </w:rPr>
              <w:t>年</w:t>
            </w:r>
            <w:r>
              <w:rPr>
                <w:rFonts w:hint="eastAsia"/>
                <w:color w:val="auto"/>
              </w:rPr>
              <w:t>4</w:t>
            </w:r>
            <w:r>
              <w:rPr>
                <w:color w:val="auto"/>
              </w:rPr>
              <w:t>月</w:t>
            </w:r>
            <w:r>
              <w:rPr>
                <w:rFonts w:hint="eastAsia"/>
                <w:color w:val="auto"/>
              </w:rPr>
              <w:t>租赁重庆市江北区观音桥街道渝澳大道72号附14号经营场所</w:t>
            </w:r>
            <w:r>
              <w:rPr>
                <w:color w:val="auto"/>
              </w:rPr>
              <w:t>建设宠物医院</w:t>
            </w:r>
            <w:r>
              <w:rPr>
                <w:rFonts w:hint="eastAsia"/>
                <w:color w:val="auto"/>
              </w:rPr>
              <w:t>，占地约240m</w:t>
            </w:r>
            <w:r>
              <w:rPr>
                <w:rFonts w:hint="eastAsia"/>
                <w:color w:val="auto"/>
                <w:vertAlign w:val="superscript"/>
              </w:rPr>
              <w:t>2</w:t>
            </w:r>
            <w:r>
              <w:rPr>
                <w:rFonts w:hint="eastAsia"/>
                <w:color w:val="auto"/>
              </w:rPr>
              <w:t>，2021</w:t>
            </w:r>
            <w:r>
              <w:rPr>
                <w:color w:val="auto"/>
              </w:rPr>
              <w:t>年</w:t>
            </w:r>
            <w:r>
              <w:rPr>
                <w:rFonts w:hint="eastAsia"/>
                <w:color w:val="auto"/>
              </w:rPr>
              <w:t>9</w:t>
            </w:r>
            <w:r>
              <w:rPr>
                <w:color w:val="auto"/>
              </w:rPr>
              <w:t>月开始营业，已设置有</w:t>
            </w:r>
            <w:r>
              <w:rPr>
                <w:rFonts w:hint="eastAsia"/>
                <w:color w:val="auto"/>
              </w:rPr>
              <w:t>诊断室</w:t>
            </w:r>
            <w:r>
              <w:rPr>
                <w:color w:val="auto"/>
              </w:rPr>
              <w:t>、美容</w:t>
            </w:r>
            <w:r>
              <w:rPr>
                <w:rFonts w:hint="eastAsia"/>
                <w:color w:val="auto"/>
              </w:rPr>
              <w:t>洗护</w:t>
            </w:r>
            <w:r>
              <w:rPr>
                <w:color w:val="auto"/>
              </w:rPr>
              <w:t>室、</w:t>
            </w:r>
            <w:r>
              <w:rPr>
                <w:rFonts w:hint="eastAsia"/>
                <w:color w:val="auto"/>
              </w:rPr>
              <w:t>手术准备室、手术室、</w:t>
            </w:r>
            <w:r>
              <w:rPr>
                <w:color w:val="auto"/>
              </w:rPr>
              <w:t>化验室</w:t>
            </w:r>
            <w:r>
              <w:rPr>
                <w:rFonts w:hint="eastAsia"/>
                <w:color w:val="auto"/>
              </w:rPr>
              <w:t>/药房</w:t>
            </w:r>
            <w:r>
              <w:rPr>
                <w:color w:val="auto"/>
              </w:rPr>
              <w:t>、</w:t>
            </w:r>
            <w:r>
              <w:rPr>
                <w:rFonts w:hint="eastAsia"/>
                <w:color w:val="auto"/>
              </w:rPr>
              <w:t>超声室、X光室、猫住院部、犬住院部、隔离室、留观室</w:t>
            </w:r>
            <w:r>
              <w:rPr>
                <w:color w:val="auto"/>
              </w:rPr>
              <w:t>、医疗废水预处理设施等。</w:t>
            </w:r>
          </w:p>
          <w:p>
            <w:pPr>
              <w:adjustRightInd/>
              <w:snapToGrid/>
              <w:ind w:firstLine="420"/>
              <w:rPr>
                <w:color w:val="auto"/>
              </w:rPr>
            </w:pPr>
            <w:r>
              <w:rPr>
                <w:color w:val="auto"/>
              </w:rPr>
              <w:t>门诊每天最大接诊量约</w:t>
            </w:r>
            <w:r>
              <w:rPr>
                <w:rFonts w:hint="eastAsia"/>
                <w:color w:val="auto"/>
              </w:rPr>
              <w:t>20</w:t>
            </w:r>
            <w:r>
              <w:rPr>
                <w:color w:val="auto"/>
              </w:rPr>
              <w:t>只（年最大接诊量约</w:t>
            </w:r>
            <w:r>
              <w:rPr>
                <w:rFonts w:hint="eastAsia"/>
                <w:color w:val="auto"/>
              </w:rPr>
              <w:t>7300</w:t>
            </w:r>
            <w:r>
              <w:rPr>
                <w:color w:val="auto"/>
              </w:rPr>
              <w:t>只），手术每天最大量约</w:t>
            </w:r>
            <w:r>
              <w:rPr>
                <w:rFonts w:hint="eastAsia"/>
                <w:color w:val="auto"/>
              </w:rPr>
              <w:t>3</w:t>
            </w:r>
            <w:r>
              <w:rPr>
                <w:color w:val="auto"/>
              </w:rPr>
              <w:t>台（年最大手术量约</w:t>
            </w:r>
            <w:r>
              <w:rPr>
                <w:rFonts w:hint="eastAsia"/>
                <w:color w:val="auto"/>
              </w:rPr>
              <w:t>1095</w:t>
            </w:r>
            <w:r>
              <w:rPr>
                <w:color w:val="auto"/>
              </w:rPr>
              <w:t>台），美容服务每天最大服务量约</w:t>
            </w:r>
            <w:r>
              <w:rPr>
                <w:rFonts w:hint="eastAsia"/>
                <w:color w:val="auto"/>
              </w:rPr>
              <w:t>5</w:t>
            </w:r>
            <w:r>
              <w:rPr>
                <w:color w:val="auto"/>
              </w:rPr>
              <w:t>只（年最大服务量约</w:t>
            </w:r>
            <w:r>
              <w:rPr>
                <w:rFonts w:hint="eastAsia"/>
                <w:color w:val="auto"/>
              </w:rPr>
              <w:t>1825</w:t>
            </w:r>
            <w:r>
              <w:rPr>
                <w:color w:val="auto"/>
              </w:rPr>
              <w:t>只），住院最大容纳宠</w:t>
            </w:r>
            <w:r>
              <w:rPr>
                <w:rFonts w:hint="eastAsia"/>
                <w:color w:val="auto"/>
              </w:rPr>
              <w:t>4</w:t>
            </w:r>
            <w:r>
              <w:rPr>
                <w:color w:val="auto"/>
              </w:rPr>
              <w:t>只/d</w:t>
            </w:r>
            <w:r>
              <w:rPr>
                <w:bCs/>
                <w:color w:val="auto"/>
                <w:szCs w:val="21"/>
              </w:rPr>
              <w:t>（年最大服务能力</w:t>
            </w:r>
            <w:r>
              <w:rPr>
                <w:rFonts w:hint="eastAsia"/>
                <w:bCs/>
                <w:color w:val="auto"/>
                <w:szCs w:val="21"/>
              </w:rPr>
              <w:t>1460</w:t>
            </w:r>
            <w:r>
              <w:rPr>
                <w:bCs/>
                <w:color w:val="auto"/>
                <w:szCs w:val="21"/>
              </w:rPr>
              <w:t>只）</w:t>
            </w:r>
            <w:r>
              <w:rPr>
                <w:color w:val="auto"/>
              </w:rPr>
              <w:t>。</w:t>
            </w:r>
          </w:p>
          <w:p>
            <w:pPr>
              <w:adjustRightInd/>
              <w:snapToGrid/>
              <w:ind w:firstLine="420"/>
              <w:rPr>
                <w:color w:val="auto"/>
              </w:rPr>
            </w:pPr>
            <w:r>
              <w:rPr>
                <w:color w:val="auto"/>
              </w:rPr>
              <w:t>目前宠物医院手术主要开展美容手术（只做新生动物10d内断尾和趾间腺囊肿切除）、感觉器官手术、呼吸系统手术、泌尿生殖系统手术，不包括动物颅腔、胸腔和腹腔手术，不具备开展三腔手术的能力及设施。</w:t>
            </w:r>
          </w:p>
          <w:p>
            <w:pPr>
              <w:adjustRightInd/>
              <w:snapToGrid/>
              <w:ind w:firstLine="420"/>
              <w:rPr>
                <w:color w:val="auto"/>
              </w:rPr>
            </w:pPr>
            <w:r>
              <w:rPr>
                <w:color w:val="auto"/>
              </w:rPr>
              <w:t>现因医院的发展和市场需要，</w:t>
            </w:r>
            <w:r>
              <w:rPr>
                <w:rFonts w:hint="eastAsia"/>
                <w:color w:val="auto"/>
              </w:rPr>
              <w:t>重庆市侏罗纪迅猛龙动物医院有限公司</w:t>
            </w:r>
            <w:r>
              <w:rPr>
                <w:color w:val="auto"/>
              </w:rPr>
              <w:t>拟投资10万元对现有手术室新增部分手术设备，新增动物三腔手术服务。</w:t>
            </w:r>
          </w:p>
          <w:p>
            <w:pPr>
              <w:adjustRightInd/>
              <w:snapToGrid/>
              <w:ind w:firstLine="420"/>
              <w:rPr>
                <w:color w:val="auto"/>
              </w:rPr>
            </w:pPr>
            <w:r>
              <w:rPr>
                <w:color w:val="auto"/>
              </w:rPr>
              <w:t>根据《中华人民共和国环境保护法》、《中华人民共和国环境影响评价法》、《建设项目环境保护管理条例》规定，本项目应开展环境影响评价；根据《国民经济行业分类》，项目为动物医院建设项目，其国民经济行业类别为“O822宠物服务”；对照《建设项目环境影响评价分类管理名录》（2021年版），建设项目行业类别为“五十、社会事业与服务业123动物医院</w:t>
            </w:r>
            <w:r>
              <w:rPr>
                <w:rStyle w:val="45"/>
                <w:rFonts w:hint="eastAsia"/>
                <w:color w:val="auto"/>
                <w:kern w:val="0"/>
                <w:szCs w:val="20"/>
              </w:rPr>
              <w:t>-设有动物颅腔、胸腔或腹腔手术设施的</w:t>
            </w:r>
            <w:r>
              <w:rPr>
                <w:color w:val="auto"/>
              </w:rPr>
              <w:t>”。本项目应编制环境影响报告表。受</w:t>
            </w:r>
            <w:r>
              <w:rPr>
                <w:rFonts w:hint="eastAsia"/>
                <w:color w:val="auto"/>
              </w:rPr>
              <w:t>重庆市侏罗纪迅猛龙动物医院有限公司</w:t>
            </w:r>
            <w:r>
              <w:rPr>
                <w:color w:val="auto"/>
              </w:rPr>
              <w:t>委托，我公司承担该项目的环境影响评价工作，接受委托后，我公司组织专业技术人员进行现场勘查并收集相关资料，编制完成了项目的环境影响报告表。</w:t>
            </w:r>
          </w:p>
          <w:p>
            <w:pPr>
              <w:adjustRightInd/>
              <w:snapToGrid/>
              <w:ind w:firstLine="422"/>
              <w:rPr>
                <w:b/>
                <w:bCs/>
                <w:color w:val="auto"/>
                <w:szCs w:val="21"/>
              </w:rPr>
            </w:pPr>
            <w:r>
              <w:rPr>
                <w:b/>
                <w:bCs/>
                <w:color w:val="auto"/>
                <w:szCs w:val="21"/>
              </w:rPr>
              <w:t>2、评价构思</w:t>
            </w:r>
          </w:p>
          <w:p>
            <w:pPr>
              <w:adjustRightInd/>
              <w:snapToGrid/>
              <w:ind w:firstLine="420"/>
              <w:rPr>
                <w:color w:val="auto"/>
                <w:szCs w:val="21"/>
              </w:rPr>
            </w:pPr>
            <w:r>
              <w:rPr>
                <w:color w:val="auto"/>
                <w:szCs w:val="21"/>
              </w:rPr>
              <w:t>（1）本项目属于扩建项目。本次扩建是在宠物医院现有手术基础上增设动物三腔手术。扩建</w:t>
            </w:r>
            <w:r>
              <w:rPr>
                <w:color w:val="auto"/>
                <w:kern w:val="0"/>
                <w:szCs w:val="21"/>
                <w:lang w:bidi="ar"/>
              </w:rPr>
              <w:t>前后劳动定员不变，项目接诊量、手术量、美容规模均不变，住院量为最大可容纳住院量。</w:t>
            </w:r>
            <w:r>
              <w:rPr>
                <w:color w:val="auto"/>
                <w:szCs w:val="21"/>
              </w:rPr>
              <w:t>本次评价对现有医院进行简单回顾后，一并纳入此次评价范围，对扩建后项目进行整体评价。</w:t>
            </w:r>
          </w:p>
          <w:p>
            <w:pPr>
              <w:adjustRightInd/>
              <w:snapToGrid/>
              <w:ind w:firstLine="420"/>
              <w:rPr>
                <w:color w:val="auto"/>
                <w:szCs w:val="21"/>
              </w:rPr>
            </w:pPr>
            <w:r>
              <w:rPr>
                <w:color w:val="auto"/>
                <w:szCs w:val="21"/>
              </w:rPr>
              <w:t>（2）本次扩建仅在手术室新增部分医疗设备，医疗设备购置入场后即可完成安装调试，无施工期，故本次环评不对施工期环境影响进行评价。</w:t>
            </w:r>
          </w:p>
          <w:p>
            <w:pPr>
              <w:adjustRightInd/>
              <w:snapToGrid/>
              <w:ind w:firstLine="420"/>
              <w:rPr>
                <w:color w:val="auto"/>
              </w:rPr>
            </w:pPr>
            <w:r>
              <w:rPr>
                <w:color w:val="auto"/>
                <w:szCs w:val="21"/>
              </w:rPr>
              <w:t>（3）医院配备1台DR，业主另行办理相关环保手续，本次环评不包括相关辐射评价内容。</w:t>
            </w:r>
          </w:p>
          <w:p>
            <w:pPr>
              <w:adjustRightInd/>
              <w:snapToGrid/>
              <w:ind w:firstLine="422"/>
              <w:rPr>
                <w:b/>
                <w:bCs/>
                <w:color w:val="auto"/>
                <w:szCs w:val="21"/>
              </w:rPr>
            </w:pPr>
            <w:r>
              <w:rPr>
                <w:b/>
                <w:bCs/>
                <w:color w:val="auto"/>
                <w:szCs w:val="21"/>
              </w:rPr>
              <w:t>3、项目概况</w:t>
            </w:r>
          </w:p>
          <w:p>
            <w:pPr>
              <w:adjustRightInd/>
              <w:snapToGrid/>
              <w:ind w:firstLine="420"/>
              <w:rPr>
                <w:color w:val="auto"/>
                <w:szCs w:val="21"/>
              </w:rPr>
            </w:pPr>
            <w:r>
              <w:rPr>
                <w:color w:val="auto"/>
                <w:szCs w:val="21"/>
              </w:rPr>
              <w:t>（1）项目名称：</w:t>
            </w:r>
            <w:r>
              <w:rPr>
                <w:rFonts w:hint="eastAsia"/>
                <w:color w:val="auto"/>
              </w:rPr>
              <w:t>侏罗纪动物医院迅猛龙分院项目</w:t>
            </w:r>
            <w:r>
              <w:rPr>
                <w:color w:val="auto"/>
                <w:szCs w:val="21"/>
              </w:rPr>
              <w:t>；</w:t>
            </w:r>
          </w:p>
          <w:p>
            <w:pPr>
              <w:adjustRightInd/>
              <w:snapToGrid/>
              <w:ind w:firstLine="420"/>
              <w:rPr>
                <w:color w:val="auto"/>
                <w:szCs w:val="21"/>
              </w:rPr>
            </w:pPr>
            <w:r>
              <w:rPr>
                <w:color w:val="auto"/>
                <w:szCs w:val="21"/>
              </w:rPr>
              <w:t>（2）建设单位：</w:t>
            </w:r>
            <w:r>
              <w:rPr>
                <w:rFonts w:hint="eastAsia"/>
                <w:color w:val="auto"/>
              </w:rPr>
              <w:t>重庆市侏罗纪迅猛龙动物医院有限公司</w:t>
            </w:r>
            <w:r>
              <w:rPr>
                <w:color w:val="auto"/>
                <w:szCs w:val="21"/>
              </w:rPr>
              <w:t>；</w:t>
            </w:r>
          </w:p>
          <w:p>
            <w:pPr>
              <w:adjustRightInd/>
              <w:snapToGrid/>
              <w:ind w:firstLine="420"/>
              <w:rPr>
                <w:color w:val="auto"/>
                <w:szCs w:val="21"/>
              </w:rPr>
            </w:pPr>
            <w:r>
              <w:rPr>
                <w:color w:val="auto"/>
                <w:szCs w:val="21"/>
              </w:rPr>
              <w:t>（3）建设性质：扩建；</w:t>
            </w:r>
          </w:p>
          <w:p>
            <w:pPr>
              <w:adjustRightInd/>
              <w:snapToGrid/>
              <w:ind w:firstLine="420"/>
              <w:rPr>
                <w:color w:val="auto"/>
                <w:szCs w:val="21"/>
              </w:rPr>
            </w:pPr>
            <w:r>
              <w:rPr>
                <w:color w:val="auto"/>
                <w:szCs w:val="21"/>
              </w:rPr>
              <w:t>（4）建设地点：</w:t>
            </w:r>
            <w:r>
              <w:rPr>
                <w:rFonts w:hint="eastAsia"/>
                <w:color w:val="auto"/>
              </w:rPr>
              <w:t>重庆市江北区观音桥街道渝澳大道72号附14号</w:t>
            </w:r>
            <w:r>
              <w:rPr>
                <w:color w:val="auto"/>
              </w:rPr>
              <w:t xml:space="preserve"> </w:t>
            </w:r>
            <w:r>
              <w:rPr>
                <w:color w:val="auto"/>
                <w:szCs w:val="21"/>
              </w:rPr>
              <w:t>；</w:t>
            </w:r>
          </w:p>
          <w:p>
            <w:pPr>
              <w:adjustRightInd/>
              <w:snapToGrid/>
              <w:ind w:firstLine="420"/>
              <w:rPr>
                <w:color w:val="auto"/>
                <w:szCs w:val="21"/>
              </w:rPr>
            </w:pPr>
            <w:r>
              <w:rPr>
                <w:color w:val="auto"/>
                <w:szCs w:val="21"/>
              </w:rPr>
              <w:t>（5）建设面积：</w:t>
            </w:r>
            <w:r>
              <w:rPr>
                <w:rFonts w:hint="eastAsia"/>
                <w:color w:val="auto"/>
              </w:rPr>
              <w:t>240</w:t>
            </w:r>
            <w:r>
              <w:rPr>
                <w:color w:val="auto"/>
              </w:rPr>
              <w:t>m</w:t>
            </w:r>
            <w:r>
              <w:rPr>
                <w:color w:val="auto"/>
                <w:vertAlign w:val="superscript"/>
              </w:rPr>
              <w:t>2</w:t>
            </w:r>
            <w:r>
              <w:rPr>
                <w:color w:val="auto"/>
                <w:szCs w:val="21"/>
              </w:rPr>
              <w:t>；</w:t>
            </w:r>
          </w:p>
          <w:p>
            <w:pPr>
              <w:adjustRightInd/>
              <w:snapToGrid/>
              <w:ind w:firstLine="420"/>
              <w:rPr>
                <w:color w:val="auto"/>
                <w:szCs w:val="21"/>
              </w:rPr>
            </w:pPr>
            <w:r>
              <w:rPr>
                <w:color w:val="auto"/>
                <w:szCs w:val="21"/>
              </w:rPr>
              <w:t>（6）劳动定员及工作制度：劳动定员</w:t>
            </w:r>
            <w:r>
              <w:rPr>
                <w:rFonts w:hint="eastAsia"/>
                <w:color w:val="auto"/>
                <w:szCs w:val="21"/>
              </w:rPr>
              <w:t>9</w:t>
            </w:r>
            <w:r>
              <w:rPr>
                <w:color w:val="auto"/>
                <w:szCs w:val="21"/>
              </w:rPr>
              <w:t>人，年工作365天，</w:t>
            </w:r>
            <w:r>
              <w:rPr>
                <w:rFonts w:hint="eastAsia"/>
                <w:color w:val="auto"/>
                <w:szCs w:val="21"/>
              </w:rPr>
              <w:t>三</w:t>
            </w:r>
            <w:r>
              <w:rPr>
                <w:color w:val="auto"/>
                <w:szCs w:val="21"/>
              </w:rPr>
              <w:t>班制，每班10小时，</w:t>
            </w:r>
            <w:r>
              <w:rPr>
                <w:rFonts w:hint="eastAsia"/>
                <w:color w:val="auto"/>
                <w:szCs w:val="21"/>
              </w:rPr>
              <w:t>24小时营业</w:t>
            </w:r>
            <w:r>
              <w:rPr>
                <w:color w:val="auto"/>
                <w:szCs w:val="21"/>
              </w:rPr>
              <w:t>；</w:t>
            </w:r>
          </w:p>
          <w:p>
            <w:pPr>
              <w:adjustRightInd/>
              <w:snapToGrid/>
              <w:ind w:firstLine="420"/>
              <w:rPr>
                <w:color w:val="auto"/>
                <w:szCs w:val="21"/>
              </w:rPr>
            </w:pPr>
            <w:r>
              <w:rPr>
                <w:color w:val="auto"/>
                <w:szCs w:val="21"/>
              </w:rPr>
              <w:t>（6）项目投资：总投资10</w:t>
            </w:r>
            <w:r>
              <w:rPr>
                <w:rFonts w:hint="eastAsia"/>
                <w:color w:val="auto"/>
                <w:szCs w:val="21"/>
              </w:rPr>
              <w:t>万元</w:t>
            </w:r>
            <w:r>
              <w:rPr>
                <w:color w:val="auto"/>
                <w:szCs w:val="21"/>
              </w:rPr>
              <w:t>，其中环保投资合计2万元，占总投资的20%；</w:t>
            </w:r>
          </w:p>
          <w:p>
            <w:pPr>
              <w:adjustRightInd/>
              <w:snapToGrid/>
              <w:ind w:firstLine="420"/>
              <w:rPr>
                <w:color w:val="auto"/>
                <w:szCs w:val="21"/>
              </w:rPr>
            </w:pPr>
            <w:r>
              <w:rPr>
                <w:color w:val="auto"/>
                <w:szCs w:val="21"/>
              </w:rPr>
              <w:t>（7）诊疗对象：犬类、猫类等；</w:t>
            </w:r>
          </w:p>
          <w:p>
            <w:pPr>
              <w:adjustRightInd/>
              <w:snapToGrid/>
              <w:ind w:firstLine="420"/>
              <w:rPr>
                <w:color w:val="auto"/>
                <w:szCs w:val="21"/>
              </w:rPr>
            </w:pPr>
            <w:r>
              <w:rPr>
                <w:color w:val="auto"/>
                <w:szCs w:val="21"/>
              </w:rPr>
              <w:t>（8）营业范围：动物疾病预防、诊疗、手术兼宠物美容项目。经本宠物医院诊断为人猫或人犬易交叉感染的病症，宠物医院将在隔离区采取隔离措施并立即将患病动物转移至专业的传染病防治医院，严格按照《重庆市动物防疫条例》（重庆市人民代表大会常务委员会公告〔六届〕第16号）、《重庆市无规定动物疫病区管理办法》（重庆市人民政府令第143号）的相关规定进行管理；</w:t>
            </w:r>
          </w:p>
          <w:p>
            <w:pPr>
              <w:adjustRightInd/>
              <w:snapToGrid/>
              <w:ind w:firstLine="420"/>
              <w:rPr>
                <w:color w:val="auto"/>
                <w:szCs w:val="21"/>
              </w:rPr>
            </w:pPr>
            <w:r>
              <w:rPr>
                <w:color w:val="auto"/>
                <w:szCs w:val="21"/>
              </w:rPr>
              <w:t>（9）建设规模</w:t>
            </w:r>
          </w:p>
          <w:p>
            <w:pPr>
              <w:adjustRightInd/>
              <w:snapToGrid/>
              <w:ind w:firstLine="420"/>
              <w:rPr>
                <w:bCs/>
                <w:color w:val="auto"/>
                <w:szCs w:val="21"/>
              </w:rPr>
            </w:pPr>
            <w:r>
              <w:rPr>
                <w:bCs/>
                <w:color w:val="auto"/>
                <w:szCs w:val="21"/>
              </w:rPr>
              <w:t>项目建成后，宠物医院最大服务能力为</w:t>
            </w:r>
            <w:r>
              <w:rPr>
                <w:rFonts w:hint="eastAsia"/>
                <w:bCs/>
                <w:color w:val="auto"/>
                <w:szCs w:val="21"/>
              </w:rPr>
              <w:t>32</w:t>
            </w:r>
            <w:r>
              <w:rPr>
                <w:bCs/>
                <w:color w:val="auto"/>
                <w:szCs w:val="21"/>
              </w:rPr>
              <w:t>只/日，其中门诊每天最大接诊量约</w:t>
            </w:r>
            <w:r>
              <w:rPr>
                <w:rFonts w:hint="eastAsia"/>
                <w:bCs/>
                <w:color w:val="auto"/>
                <w:szCs w:val="21"/>
              </w:rPr>
              <w:t>20</w:t>
            </w:r>
            <w:r>
              <w:rPr>
                <w:bCs/>
                <w:color w:val="auto"/>
                <w:szCs w:val="21"/>
              </w:rPr>
              <w:t>只（年最大接诊量约</w:t>
            </w:r>
            <w:r>
              <w:rPr>
                <w:rFonts w:hint="eastAsia"/>
                <w:bCs/>
                <w:color w:val="auto"/>
                <w:szCs w:val="21"/>
              </w:rPr>
              <w:t>7300</w:t>
            </w:r>
            <w:r>
              <w:rPr>
                <w:bCs/>
                <w:color w:val="auto"/>
                <w:szCs w:val="21"/>
              </w:rPr>
              <w:t>只），手术每天最大量约</w:t>
            </w:r>
            <w:r>
              <w:rPr>
                <w:rFonts w:hint="eastAsia"/>
                <w:bCs/>
                <w:color w:val="auto"/>
                <w:szCs w:val="21"/>
              </w:rPr>
              <w:t>3</w:t>
            </w:r>
            <w:r>
              <w:rPr>
                <w:bCs/>
                <w:color w:val="auto"/>
                <w:szCs w:val="21"/>
              </w:rPr>
              <w:t>台（年最大手术量约</w:t>
            </w:r>
            <w:r>
              <w:rPr>
                <w:rFonts w:hint="eastAsia"/>
                <w:bCs/>
                <w:color w:val="auto"/>
                <w:szCs w:val="21"/>
              </w:rPr>
              <w:t>1095</w:t>
            </w:r>
            <w:r>
              <w:rPr>
                <w:bCs/>
                <w:color w:val="auto"/>
                <w:szCs w:val="21"/>
              </w:rPr>
              <w:t>台），美容服务每天最大服务量约</w:t>
            </w:r>
            <w:r>
              <w:rPr>
                <w:rFonts w:hint="eastAsia"/>
                <w:bCs/>
                <w:color w:val="auto"/>
                <w:szCs w:val="21"/>
              </w:rPr>
              <w:t>5</w:t>
            </w:r>
            <w:r>
              <w:rPr>
                <w:bCs/>
                <w:color w:val="auto"/>
                <w:szCs w:val="21"/>
              </w:rPr>
              <w:t>只（年最大服务量约</w:t>
            </w:r>
            <w:r>
              <w:rPr>
                <w:rFonts w:hint="eastAsia"/>
                <w:bCs/>
                <w:color w:val="auto"/>
                <w:szCs w:val="21"/>
              </w:rPr>
              <w:t>1825</w:t>
            </w:r>
            <w:r>
              <w:rPr>
                <w:bCs/>
                <w:color w:val="auto"/>
                <w:szCs w:val="21"/>
              </w:rPr>
              <w:t>只），住院最大容纳宠物</w:t>
            </w:r>
            <w:r>
              <w:rPr>
                <w:rFonts w:hint="eastAsia"/>
                <w:bCs/>
                <w:color w:val="auto"/>
                <w:szCs w:val="21"/>
              </w:rPr>
              <w:t>4</w:t>
            </w:r>
            <w:r>
              <w:rPr>
                <w:bCs/>
                <w:color w:val="auto"/>
                <w:szCs w:val="21"/>
              </w:rPr>
              <w:t>只/d（年最大服务能力</w:t>
            </w:r>
            <w:r>
              <w:rPr>
                <w:rFonts w:hint="eastAsia"/>
                <w:bCs/>
                <w:color w:val="auto"/>
                <w:szCs w:val="21"/>
              </w:rPr>
              <w:t>1460</w:t>
            </w:r>
            <w:r>
              <w:rPr>
                <w:bCs/>
                <w:color w:val="auto"/>
                <w:szCs w:val="21"/>
              </w:rPr>
              <w:t>只）。</w:t>
            </w:r>
          </w:p>
          <w:p>
            <w:pPr>
              <w:pStyle w:val="234"/>
              <w:adjustRightInd/>
              <w:snapToGrid/>
              <w:spacing w:before="120"/>
              <w:ind w:firstLine="0" w:firstLineChars="0"/>
              <w:rPr>
                <w:color w:val="auto"/>
                <w:sz w:val="24"/>
              </w:rPr>
            </w:pPr>
            <w:r>
              <w:rPr>
                <w:color w:val="auto"/>
              </w:rPr>
              <w:t xml:space="preserve">表2-1  项目建设规模情况一览表    </w:t>
            </w:r>
          </w:p>
          <w:tbl>
            <w:tblPr>
              <w:tblStyle w:val="40"/>
              <w:tblW w:w="9020"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003"/>
              <w:gridCol w:w="2093"/>
              <w:gridCol w:w="2619"/>
              <w:gridCol w:w="259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4" w:type="dxa"/>
                  <w:tcBorders>
                    <w:tl2br w:val="nil"/>
                    <w:tr2bl w:val="nil"/>
                  </w:tcBorders>
                  <w:vAlign w:val="center"/>
                </w:tcPr>
                <w:p>
                  <w:pPr>
                    <w:pStyle w:val="167"/>
                    <w:adjustRightInd/>
                    <w:snapToGrid/>
                    <w:jc w:val="center"/>
                    <w:rPr>
                      <w:color w:val="auto"/>
                    </w:rPr>
                  </w:pPr>
                  <w:r>
                    <w:rPr>
                      <w:color w:val="auto"/>
                    </w:rPr>
                    <w:t>序号</w:t>
                  </w:r>
                </w:p>
              </w:tc>
              <w:tc>
                <w:tcPr>
                  <w:tcW w:w="1003" w:type="dxa"/>
                  <w:tcBorders>
                    <w:tl2br w:val="nil"/>
                    <w:tr2bl w:val="nil"/>
                  </w:tcBorders>
                  <w:vAlign w:val="center"/>
                </w:tcPr>
                <w:p>
                  <w:pPr>
                    <w:pStyle w:val="167"/>
                    <w:adjustRightInd/>
                    <w:snapToGrid/>
                    <w:jc w:val="center"/>
                    <w:rPr>
                      <w:color w:val="auto"/>
                    </w:rPr>
                  </w:pPr>
                  <w:r>
                    <w:rPr>
                      <w:color w:val="auto"/>
                    </w:rPr>
                    <w:t>宠物</w:t>
                  </w:r>
                </w:p>
              </w:tc>
              <w:tc>
                <w:tcPr>
                  <w:tcW w:w="2093" w:type="dxa"/>
                  <w:tcBorders>
                    <w:tl2br w:val="nil"/>
                    <w:tr2bl w:val="nil"/>
                  </w:tcBorders>
                  <w:vAlign w:val="center"/>
                </w:tcPr>
                <w:p>
                  <w:pPr>
                    <w:pStyle w:val="167"/>
                    <w:adjustRightInd/>
                    <w:snapToGrid/>
                    <w:jc w:val="center"/>
                    <w:rPr>
                      <w:color w:val="auto"/>
                    </w:rPr>
                  </w:pPr>
                  <w:r>
                    <w:rPr>
                      <w:color w:val="auto"/>
                    </w:rPr>
                    <w:t>诊疗项目</w:t>
                  </w:r>
                </w:p>
              </w:tc>
              <w:tc>
                <w:tcPr>
                  <w:tcW w:w="2619" w:type="dxa"/>
                  <w:tcBorders>
                    <w:tl2br w:val="nil"/>
                    <w:tr2bl w:val="nil"/>
                  </w:tcBorders>
                  <w:vAlign w:val="center"/>
                </w:tcPr>
                <w:p>
                  <w:pPr>
                    <w:pStyle w:val="167"/>
                    <w:adjustRightInd/>
                    <w:snapToGrid/>
                    <w:jc w:val="center"/>
                    <w:rPr>
                      <w:color w:val="auto"/>
                    </w:rPr>
                  </w:pPr>
                  <w:r>
                    <w:rPr>
                      <w:color w:val="auto"/>
                    </w:rPr>
                    <w:t>日最大服务能力（只/日）</w:t>
                  </w:r>
                </w:p>
              </w:tc>
              <w:tc>
                <w:tcPr>
                  <w:tcW w:w="2591" w:type="dxa"/>
                  <w:tcBorders>
                    <w:tl2br w:val="nil"/>
                    <w:tr2bl w:val="nil"/>
                  </w:tcBorders>
                  <w:vAlign w:val="center"/>
                </w:tcPr>
                <w:p>
                  <w:pPr>
                    <w:pStyle w:val="167"/>
                    <w:adjustRightInd/>
                    <w:snapToGrid/>
                    <w:jc w:val="center"/>
                    <w:rPr>
                      <w:color w:val="auto"/>
                    </w:rPr>
                  </w:pPr>
                  <w:r>
                    <w:rPr>
                      <w:color w:val="auto"/>
                    </w:rPr>
                    <w:t>年最大服务能力（只/年）</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4" w:type="dxa"/>
                  <w:tcBorders>
                    <w:tl2br w:val="nil"/>
                    <w:tr2bl w:val="nil"/>
                  </w:tcBorders>
                  <w:vAlign w:val="center"/>
                </w:tcPr>
                <w:p>
                  <w:pPr>
                    <w:pStyle w:val="167"/>
                    <w:adjustRightInd/>
                    <w:snapToGrid/>
                    <w:jc w:val="center"/>
                    <w:rPr>
                      <w:color w:val="auto"/>
                    </w:rPr>
                  </w:pPr>
                  <w:r>
                    <w:rPr>
                      <w:color w:val="auto"/>
                    </w:rPr>
                    <w:t>1</w:t>
                  </w:r>
                </w:p>
              </w:tc>
              <w:tc>
                <w:tcPr>
                  <w:tcW w:w="1003" w:type="dxa"/>
                  <w:vMerge w:val="restart"/>
                  <w:tcBorders>
                    <w:tl2br w:val="nil"/>
                    <w:tr2bl w:val="nil"/>
                  </w:tcBorders>
                  <w:vAlign w:val="center"/>
                </w:tcPr>
                <w:p>
                  <w:pPr>
                    <w:pStyle w:val="167"/>
                    <w:adjustRightInd/>
                    <w:snapToGrid/>
                    <w:jc w:val="center"/>
                    <w:rPr>
                      <w:color w:val="auto"/>
                    </w:rPr>
                  </w:pPr>
                  <w:r>
                    <w:rPr>
                      <w:color w:val="auto"/>
                    </w:rPr>
                    <w:t>犬、猫等</w:t>
                  </w:r>
                </w:p>
              </w:tc>
              <w:tc>
                <w:tcPr>
                  <w:tcW w:w="2093" w:type="dxa"/>
                  <w:tcBorders>
                    <w:tl2br w:val="nil"/>
                    <w:tr2bl w:val="nil"/>
                  </w:tcBorders>
                  <w:vAlign w:val="center"/>
                </w:tcPr>
                <w:p>
                  <w:pPr>
                    <w:pStyle w:val="167"/>
                    <w:adjustRightInd/>
                    <w:snapToGrid/>
                    <w:jc w:val="center"/>
                    <w:rPr>
                      <w:color w:val="auto"/>
                    </w:rPr>
                  </w:pPr>
                  <w:r>
                    <w:rPr>
                      <w:rFonts w:hint="eastAsia"/>
                      <w:color w:val="auto"/>
                    </w:rPr>
                    <w:t>总计</w:t>
                  </w:r>
                </w:p>
              </w:tc>
              <w:tc>
                <w:tcPr>
                  <w:tcW w:w="2619" w:type="dxa"/>
                  <w:tcBorders>
                    <w:tl2br w:val="nil"/>
                    <w:tr2bl w:val="nil"/>
                  </w:tcBorders>
                  <w:vAlign w:val="center"/>
                </w:tcPr>
                <w:p>
                  <w:pPr>
                    <w:pStyle w:val="167"/>
                    <w:adjustRightInd/>
                    <w:snapToGrid/>
                    <w:jc w:val="center"/>
                    <w:rPr>
                      <w:color w:val="auto"/>
                    </w:rPr>
                  </w:pPr>
                  <w:r>
                    <w:rPr>
                      <w:rFonts w:hint="eastAsia"/>
                      <w:color w:val="auto"/>
                    </w:rPr>
                    <w:t>32</w:t>
                  </w:r>
                </w:p>
              </w:tc>
              <w:tc>
                <w:tcPr>
                  <w:tcW w:w="2591" w:type="dxa"/>
                  <w:tcBorders>
                    <w:tl2br w:val="nil"/>
                    <w:tr2bl w:val="nil"/>
                  </w:tcBorders>
                  <w:vAlign w:val="center"/>
                </w:tcPr>
                <w:p>
                  <w:pPr>
                    <w:pStyle w:val="167"/>
                    <w:adjustRightInd/>
                    <w:snapToGrid/>
                    <w:jc w:val="center"/>
                    <w:rPr>
                      <w:color w:val="auto"/>
                    </w:rPr>
                  </w:pPr>
                  <w:r>
                    <w:rPr>
                      <w:rFonts w:hint="eastAsia"/>
                      <w:color w:val="auto"/>
                    </w:rPr>
                    <w:t>11680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4" w:type="dxa"/>
                  <w:tcBorders>
                    <w:tl2br w:val="nil"/>
                    <w:tr2bl w:val="nil"/>
                  </w:tcBorders>
                  <w:vAlign w:val="center"/>
                </w:tcPr>
                <w:p>
                  <w:pPr>
                    <w:pStyle w:val="167"/>
                    <w:adjustRightInd/>
                    <w:snapToGrid/>
                    <w:jc w:val="center"/>
                    <w:rPr>
                      <w:color w:val="auto"/>
                    </w:rPr>
                  </w:pPr>
                  <w:bookmarkStart w:id="5" w:name="_Hlk186469044"/>
                  <w:r>
                    <w:rPr>
                      <w:color w:val="auto"/>
                    </w:rPr>
                    <w:t>1.1</w:t>
                  </w:r>
                </w:p>
              </w:tc>
              <w:tc>
                <w:tcPr>
                  <w:tcW w:w="1003" w:type="dxa"/>
                  <w:vMerge w:val="continue"/>
                  <w:tcBorders>
                    <w:tl2br w:val="nil"/>
                    <w:tr2bl w:val="nil"/>
                  </w:tcBorders>
                  <w:vAlign w:val="center"/>
                </w:tcPr>
                <w:p>
                  <w:pPr>
                    <w:pStyle w:val="167"/>
                    <w:adjustRightInd/>
                    <w:snapToGrid/>
                    <w:jc w:val="center"/>
                    <w:rPr>
                      <w:color w:val="auto"/>
                    </w:rPr>
                  </w:pPr>
                </w:p>
              </w:tc>
              <w:tc>
                <w:tcPr>
                  <w:tcW w:w="2093" w:type="dxa"/>
                  <w:tcBorders>
                    <w:tl2br w:val="nil"/>
                    <w:tr2bl w:val="nil"/>
                  </w:tcBorders>
                  <w:vAlign w:val="center"/>
                </w:tcPr>
                <w:p>
                  <w:pPr>
                    <w:pStyle w:val="167"/>
                    <w:adjustRightInd/>
                    <w:snapToGrid/>
                    <w:jc w:val="center"/>
                    <w:rPr>
                      <w:color w:val="auto"/>
                    </w:rPr>
                  </w:pPr>
                  <w:r>
                    <w:rPr>
                      <w:color w:val="auto"/>
                    </w:rPr>
                    <w:t>其中*：手术</w:t>
                  </w:r>
                </w:p>
              </w:tc>
              <w:tc>
                <w:tcPr>
                  <w:tcW w:w="2619" w:type="dxa"/>
                  <w:tcBorders>
                    <w:tl2br w:val="nil"/>
                    <w:tr2bl w:val="nil"/>
                  </w:tcBorders>
                  <w:vAlign w:val="center"/>
                </w:tcPr>
                <w:p>
                  <w:pPr>
                    <w:pStyle w:val="167"/>
                    <w:adjustRightInd/>
                    <w:snapToGrid/>
                    <w:jc w:val="center"/>
                    <w:rPr>
                      <w:color w:val="auto"/>
                    </w:rPr>
                  </w:pPr>
                  <w:r>
                    <w:rPr>
                      <w:rFonts w:hint="eastAsia"/>
                      <w:color w:val="auto"/>
                    </w:rPr>
                    <w:t>3</w:t>
                  </w:r>
                </w:p>
              </w:tc>
              <w:tc>
                <w:tcPr>
                  <w:tcW w:w="2591" w:type="dxa"/>
                  <w:tcBorders>
                    <w:tl2br w:val="nil"/>
                    <w:tr2bl w:val="nil"/>
                  </w:tcBorders>
                  <w:vAlign w:val="center"/>
                </w:tcPr>
                <w:p>
                  <w:pPr>
                    <w:pStyle w:val="167"/>
                    <w:adjustRightInd/>
                    <w:snapToGrid/>
                    <w:jc w:val="center"/>
                    <w:rPr>
                      <w:color w:val="auto"/>
                    </w:rPr>
                  </w:pPr>
                  <w:r>
                    <w:rPr>
                      <w:rFonts w:hint="eastAsia"/>
                      <w:color w:val="auto"/>
                    </w:rPr>
                    <w:t>1095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4" w:type="dxa"/>
                  <w:tcBorders>
                    <w:tl2br w:val="nil"/>
                    <w:tr2bl w:val="nil"/>
                  </w:tcBorders>
                  <w:vAlign w:val="center"/>
                </w:tcPr>
                <w:p>
                  <w:pPr>
                    <w:pStyle w:val="167"/>
                    <w:adjustRightInd/>
                    <w:snapToGrid/>
                    <w:jc w:val="center"/>
                    <w:rPr>
                      <w:color w:val="auto"/>
                    </w:rPr>
                  </w:pPr>
                  <w:r>
                    <w:rPr>
                      <w:color w:val="auto"/>
                    </w:rPr>
                    <w:t>1.2</w:t>
                  </w:r>
                </w:p>
              </w:tc>
              <w:tc>
                <w:tcPr>
                  <w:tcW w:w="1003" w:type="dxa"/>
                  <w:vMerge w:val="continue"/>
                  <w:tcBorders>
                    <w:tl2br w:val="nil"/>
                    <w:tr2bl w:val="nil"/>
                  </w:tcBorders>
                  <w:vAlign w:val="center"/>
                </w:tcPr>
                <w:p>
                  <w:pPr>
                    <w:pStyle w:val="167"/>
                    <w:adjustRightInd/>
                    <w:snapToGrid/>
                    <w:jc w:val="center"/>
                    <w:rPr>
                      <w:color w:val="auto"/>
                    </w:rPr>
                  </w:pPr>
                </w:p>
              </w:tc>
              <w:tc>
                <w:tcPr>
                  <w:tcW w:w="2093" w:type="dxa"/>
                  <w:tcBorders>
                    <w:tl2br w:val="nil"/>
                    <w:tr2bl w:val="nil"/>
                  </w:tcBorders>
                  <w:vAlign w:val="center"/>
                </w:tcPr>
                <w:p>
                  <w:pPr>
                    <w:pStyle w:val="167"/>
                    <w:adjustRightInd/>
                    <w:snapToGrid/>
                    <w:jc w:val="center"/>
                    <w:rPr>
                      <w:color w:val="auto"/>
                    </w:rPr>
                  </w:pPr>
                  <w:r>
                    <w:rPr>
                      <w:color w:val="auto"/>
                    </w:rPr>
                    <w:t xml:space="preserve">      门诊</w:t>
                  </w:r>
                </w:p>
              </w:tc>
              <w:tc>
                <w:tcPr>
                  <w:tcW w:w="2619" w:type="dxa"/>
                  <w:tcBorders>
                    <w:tl2br w:val="nil"/>
                    <w:tr2bl w:val="nil"/>
                  </w:tcBorders>
                  <w:vAlign w:val="center"/>
                </w:tcPr>
                <w:p>
                  <w:pPr>
                    <w:pStyle w:val="167"/>
                    <w:adjustRightInd/>
                    <w:snapToGrid/>
                    <w:jc w:val="center"/>
                    <w:rPr>
                      <w:color w:val="auto"/>
                    </w:rPr>
                  </w:pPr>
                  <w:r>
                    <w:rPr>
                      <w:rFonts w:hint="eastAsia"/>
                      <w:color w:val="auto"/>
                    </w:rPr>
                    <w:t>20</w:t>
                  </w:r>
                </w:p>
              </w:tc>
              <w:tc>
                <w:tcPr>
                  <w:tcW w:w="2591" w:type="dxa"/>
                  <w:tcBorders>
                    <w:tl2br w:val="nil"/>
                    <w:tr2bl w:val="nil"/>
                  </w:tcBorders>
                  <w:vAlign w:val="center"/>
                </w:tcPr>
                <w:p>
                  <w:pPr>
                    <w:pStyle w:val="167"/>
                    <w:adjustRightInd/>
                    <w:snapToGrid/>
                    <w:jc w:val="center"/>
                    <w:rPr>
                      <w:color w:val="auto"/>
                    </w:rPr>
                  </w:pPr>
                  <w:r>
                    <w:rPr>
                      <w:rFonts w:hint="eastAsia"/>
                      <w:color w:val="auto"/>
                    </w:rPr>
                    <w:t>7300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4" w:type="dxa"/>
                  <w:tcBorders>
                    <w:tl2br w:val="nil"/>
                    <w:tr2bl w:val="nil"/>
                  </w:tcBorders>
                  <w:vAlign w:val="center"/>
                </w:tcPr>
                <w:p>
                  <w:pPr>
                    <w:pStyle w:val="167"/>
                    <w:adjustRightInd/>
                    <w:snapToGrid/>
                    <w:jc w:val="center"/>
                    <w:rPr>
                      <w:color w:val="auto"/>
                    </w:rPr>
                  </w:pPr>
                  <w:r>
                    <w:rPr>
                      <w:color w:val="auto"/>
                    </w:rPr>
                    <w:t>1.3</w:t>
                  </w:r>
                </w:p>
              </w:tc>
              <w:tc>
                <w:tcPr>
                  <w:tcW w:w="1003" w:type="dxa"/>
                  <w:vMerge w:val="continue"/>
                  <w:tcBorders>
                    <w:tl2br w:val="nil"/>
                    <w:tr2bl w:val="nil"/>
                  </w:tcBorders>
                  <w:vAlign w:val="center"/>
                </w:tcPr>
                <w:p>
                  <w:pPr>
                    <w:pStyle w:val="167"/>
                    <w:adjustRightInd/>
                    <w:snapToGrid/>
                    <w:jc w:val="center"/>
                    <w:rPr>
                      <w:color w:val="auto"/>
                    </w:rPr>
                  </w:pPr>
                </w:p>
              </w:tc>
              <w:tc>
                <w:tcPr>
                  <w:tcW w:w="2093" w:type="dxa"/>
                  <w:tcBorders>
                    <w:tl2br w:val="nil"/>
                    <w:tr2bl w:val="nil"/>
                  </w:tcBorders>
                  <w:vAlign w:val="center"/>
                </w:tcPr>
                <w:p>
                  <w:pPr>
                    <w:pStyle w:val="167"/>
                    <w:adjustRightInd/>
                    <w:snapToGrid/>
                    <w:jc w:val="center"/>
                    <w:rPr>
                      <w:color w:val="auto"/>
                    </w:rPr>
                  </w:pPr>
                  <w:r>
                    <w:rPr>
                      <w:color w:val="auto"/>
                    </w:rPr>
                    <w:t xml:space="preserve">      住院</w:t>
                  </w:r>
                </w:p>
              </w:tc>
              <w:tc>
                <w:tcPr>
                  <w:tcW w:w="2619" w:type="dxa"/>
                  <w:tcBorders>
                    <w:tl2br w:val="nil"/>
                    <w:tr2bl w:val="nil"/>
                  </w:tcBorders>
                  <w:vAlign w:val="center"/>
                </w:tcPr>
                <w:p>
                  <w:pPr>
                    <w:pStyle w:val="167"/>
                    <w:adjustRightInd/>
                    <w:snapToGrid/>
                    <w:jc w:val="center"/>
                    <w:rPr>
                      <w:color w:val="auto"/>
                    </w:rPr>
                  </w:pPr>
                  <w:r>
                    <w:rPr>
                      <w:rFonts w:hint="eastAsia"/>
                      <w:color w:val="auto"/>
                    </w:rPr>
                    <w:t>4</w:t>
                  </w:r>
                </w:p>
              </w:tc>
              <w:tc>
                <w:tcPr>
                  <w:tcW w:w="2591" w:type="dxa"/>
                  <w:tcBorders>
                    <w:tl2br w:val="nil"/>
                    <w:tr2bl w:val="nil"/>
                  </w:tcBorders>
                  <w:vAlign w:val="center"/>
                </w:tcPr>
                <w:p>
                  <w:pPr>
                    <w:pStyle w:val="167"/>
                    <w:adjustRightInd/>
                    <w:snapToGrid/>
                    <w:jc w:val="center"/>
                    <w:rPr>
                      <w:color w:val="auto"/>
                    </w:rPr>
                  </w:pPr>
                  <w:r>
                    <w:rPr>
                      <w:rFonts w:hint="eastAsia"/>
                      <w:color w:val="auto"/>
                    </w:rPr>
                    <w:t>1460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4" w:type="dxa"/>
                  <w:tcBorders>
                    <w:tl2br w:val="nil"/>
                    <w:tr2bl w:val="nil"/>
                  </w:tcBorders>
                  <w:vAlign w:val="center"/>
                </w:tcPr>
                <w:p>
                  <w:pPr>
                    <w:pStyle w:val="167"/>
                    <w:adjustRightInd/>
                    <w:snapToGrid/>
                    <w:jc w:val="center"/>
                    <w:rPr>
                      <w:color w:val="auto"/>
                    </w:rPr>
                  </w:pPr>
                  <w:r>
                    <w:rPr>
                      <w:color w:val="auto"/>
                    </w:rPr>
                    <w:t>1.4</w:t>
                  </w:r>
                </w:p>
              </w:tc>
              <w:tc>
                <w:tcPr>
                  <w:tcW w:w="1003" w:type="dxa"/>
                  <w:vMerge w:val="continue"/>
                  <w:tcBorders>
                    <w:tl2br w:val="nil"/>
                    <w:tr2bl w:val="nil"/>
                  </w:tcBorders>
                  <w:vAlign w:val="center"/>
                </w:tcPr>
                <w:p>
                  <w:pPr>
                    <w:pStyle w:val="167"/>
                    <w:adjustRightInd/>
                    <w:snapToGrid/>
                    <w:jc w:val="center"/>
                    <w:rPr>
                      <w:color w:val="auto"/>
                    </w:rPr>
                  </w:pPr>
                </w:p>
              </w:tc>
              <w:tc>
                <w:tcPr>
                  <w:tcW w:w="2093" w:type="dxa"/>
                  <w:tcBorders>
                    <w:tl2br w:val="nil"/>
                    <w:tr2bl w:val="nil"/>
                  </w:tcBorders>
                  <w:vAlign w:val="center"/>
                </w:tcPr>
                <w:p>
                  <w:pPr>
                    <w:pStyle w:val="167"/>
                    <w:adjustRightInd/>
                    <w:snapToGrid/>
                    <w:jc w:val="center"/>
                    <w:rPr>
                      <w:color w:val="auto"/>
                    </w:rPr>
                  </w:pPr>
                  <w:r>
                    <w:rPr>
                      <w:color w:val="auto"/>
                    </w:rPr>
                    <w:t xml:space="preserve">         美容洗护</w:t>
                  </w:r>
                </w:p>
              </w:tc>
              <w:tc>
                <w:tcPr>
                  <w:tcW w:w="2619" w:type="dxa"/>
                  <w:tcBorders>
                    <w:tl2br w:val="nil"/>
                    <w:tr2bl w:val="nil"/>
                  </w:tcBorders>
                  <w:vAlign w:val="center"/>
                </w:tcPr>
                <w:p>
                  <w:pPr>
                    <w:pStyle w:val="167"/>
                    <w:adjustRightInd/>
                    <w:snapToGrid/>
                    <w:jc w:val="center"/>
                    <w:rPr>
                      <w:color w:val="auto"/>
                    </w:rPr>
                  </w:pPr>
                  <w:r>
                    <w:rPr>
                      <w:rFonts w:hint="eastAsia"/>
                      <w:color w:val="auto"/>
                    </w:rPr>
                    <w:t>5</w:t>
                  </w:r>
                </w:p>
              </w:tc>
              <w:tc>
                <w:tcPr>
                  <w:tcW w:w="2591" w:type="dxa"/>
                  <w:tcBorders>
                    <w:tl2br w:val="nil"/>
                    <w:tr2bl w:val="nil"/>
                  </w:tcBorders>
                  <w:vAlign w:val="center"/>
                </w:tcPr>
                <w:p>
                  <w:pPr>
                    <w:pStyle w:val="167"/>
                    <w:adjustRightInd/>
                    <w:snapToGrid/>
                    <w:jc w:val="center"/>
                    <w:rPr>
                      <w:color w:val="auto"/>
                    </w:rPr>
                  </w:pPr>
                  <w:r>
                    <w:rPr>
                      <w:rFonts w:hint="eastAsia"/>
                      <w:color w:val="auto"/>
                    </w:rPr>
                    <w:t>1825</w:t>
                  </w:r>
                </w:p>
              </w:tc>
            </w:tr>
            <w:bookmarkEnd w:id="5"/>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20" w:type="dxa"/>
                  <w:gridSpan w:val="5"/>
                  <w:tcBorders>
                    <w:tl2br w:val="nil"/>
                    <w:tr2bl w:val="nil"/>
                  </w:tcBorders>
                  <w:vAlign w:val="center"/>
                </w:tcPr>
                <w:p>
                  <w:pPr>
                    <w:pStyle w:val="167"/>
                    <w:adjustRightInd/>
                    <w:snapToGrid/>
                    <w:rPr>
                      <w:color w:val="auto"/>
                      <w:lang w:val="en-GB"/>
                    </w:rPr>
                  </w:pPr>
                  <w:r>
                    <w:rPr>
                      <w:color w:val="auto"/>
                      <w:lang w:val="en-GB"/>
                    </w:rPr>
                    <w:t>*注：宠物医院每个服务单元的最大服务能力。</w:t>
                  </w:r>
                </w:p>
              </w:tc>
            </w:tr>
          </w:tbl>
          <w:p>
            <w:pPr>
              <w:adjustRightInd/>
              <w:snapToGrid/>
              <w:spacing w:before="120" w:beforeLines="50"/>
              <w:ind w:firstLine="422"/>
              <w:rPr>
                <w:b/>
                <w:bCs/>
                <w:color w:val="auto"/>
                <w:szCs w:val="21"/>
              </w:rPr>
            </w:pPr>
            <w:r>
              <w:rPr>
                <w:b/>
                <w:bCs/>
                <w:color w:val="auto"/>
                <w:szCs w:val="21"/>
              </w:rPr>
              <w:t>4、建设内容及项目组成</w:t>
            </w:r>
          </w:p>
          <w:p>
            <w:pPr>
              <w:adjustRightInd/>
              <w:snapToGrid/>
              <w:ind w:firstLine="420"/>
              <w:rPr>
                <w:color w:val="auto"/>
              </w:rPr>
            </w:pPr>
            <w:r>
              <w:rPr>
                <w:color w:val="auto"/>
              </w:rPr>
              <w:t>本项目以宠物服务为主，项目服务及诊疗活动范围为动物诊疗、动物美容等。</w:t>
            </w:r>
          </w:p>
          <w:p>
            <w:pPr>
              <w:adjustRightInd/>
              <w:snapToGrid/>
              <w:ind w:firstLine="420"/>
              <w:rPr>
                <w:color w:val="auto"/>
              </w:rPr>
            </w:pPr>
            <w:r>
              <w:rPr>
                <w:color w:val="auto"/>
              </w:rPr>
              <w:t>动物护理诊疗内容为宠物常见的基础疾病治疗和外伤治疗。本次扩建后新增三腔手术，则扩建后手术主要有美容手术（只做新生动物10d内断尾和趾间腺囊肿切除）、肿瘤手术、感觉器官手术、消化系统手术、呼吸系统手术、泌尿生殖系统手术等，包含以上手术的三腔手术。本宠物医院不接受人猫或人犬易交叉感染的病症，不接诊携带或疑似携带狂犬病毒的宠物猫犬，不接诊和寄养《重庆市农业农村委员会、重庆市公安局关于发布重庆市禁养烈性犬、攻击性犬类目录和大型犬标准（试行）的通告》（渝农规</w:t>
            </w:r>
            <w:bookmarkStart w:id="6" w:name="OLE_LINK8"/>
            <w:r>
              <w:rPr>
                <w:color w:val="auto"/>
              </w:rPr>
              <w:t>〔2023〕</w:t>
            </w:r>
            <w:bookmarkEnd w:id="6"/>
            <w:r>
              <w:rPr>
                <w:color w:val="auto"/>
              </w:rPr>
              <w:t>2号）中规定的危险犬只，仅对一般宠物感染病症进行隔离。化验室检测项目包括生化、细小病毒、血常规、显微镜镜检等，病毒检测均采用试纸检测，血样制成试剂片，均由仪器进行检测直接出结果，使用的试剂均为成套成品试剂，不涉及试剂配制等。宠物美容主要包括给宠物修剪指（趾）甲、剃脚毛、挖耳朵、洗澡等，美容服务不包括毛发染色项目，美容宠物均为健康宠物。</w:t>
            </w:r>
          </w:p>
          <w:p>
            <w:pPr>
              <w:adjustRightInd/>
              <w:snapToGrid/>
              <w:ind w:firstLine="420"/>
              <w:rPr>
                <w:color w:val="auto"/>
              </w:rPr>
            </w:pPr>
            <w:r>
              <w:rPr>
                <w:color w:val="auto"/>
              </w:rPr>
              <w:t>本项目建筑面积</w:t>
            </w:r>
            <w:r>
              <w:rPr>
                <w:rFonts w:hint="eastAsia"/>
                <w:color w:val="auto"/>
              </w:rPr>
              <w:t>约240</w:t>
            </w:r>
            <w:r>
              <w:rPr>
                <w:color w:val="auto"/>
              </w:rPr>
              <w:t>m</w:t>
            </w:r>
            <w:r>
              <w:rPr>
                <w:color w:val="auto"/>
                <w:vertAlign w:val="superscript"/>
              </w:rPr>
              <w:t>2</w:t>
            </w:r>
            <w:r>
              <w:rPr>
                <w:color w:val="auto"/>
              </w:rPr>
              <w:t>，</w:t>
            </w:r>
            <w:r>
              <w:rPr>
                <w:rFonts w:hint="eastAsia"/>
                <w:color w:val="auto"/>
              </w:rPr>
              <w:t>主要</w:t>
            </w:r>
            <w:r>
              <w:rPr>
                <w:color w:val="auto"/>
              </w:rPr>
              <w:t>设置有</w:t>
            </w:r>
            <w:r>
              <w:rPr>
                <w:rFonts w:hint="eastAsia"/>
                <w:color w:val="auto"/>
              </w:rPr>
              <w:t>诊断室</w:t>
            </w:r>
            <w:r>
              <w:rPr>
                <w:color w:val="auto"/>
              </w:rPr>
              <w:t>、美容</w:t>
            </w:r>
            <w:r>
              <w:rPr>
                <w:rFonts w:hint="eastAsia"/>
                <w:color w:val="auto"/>
              </w:rPr>
              <w:t>洗护</w:t>
            </w:r>
            <w:r>
              <w:rPr>
                <w:color w:val="auto"/>
              </w:rPr>
              <w:t>室、</w:t>
            </w:r>
            <w:r>
              <w:rPr>
                <w:rFonts w:hint="eastAsia"/>
                <w:color w:val="auto"/>
              </w:rPr>
              <w:t>手术准备室、手术室、</w:t>
            </w:r>
            <w:r>
              <w:rPr>
                <w:color w:val="auto"/>
              </w:rPr>
              <w:t>化验室</w:t>
            </w:r>
            <w:r>
              <w:rPr>
                <w:rFonts w:hint="eastAsia"/>
                <w:color w:val="auto"/>
              </w:rPr>
              <w:t>/药房</w:t>
            </w:r>
            <w:r>
              <w:rPr>
                <w:color w:val="auto"/>
              </w:rPr>
              <w:t>、</w:t>
            </w:r>
            <w:r>
              <w:rPr>
                <w:rFonts w:hint="eastAsia"/>
                <w:color w:val="auto"/>
              </w:rPr>
              <w:t>超声室、X光室、猫住院部、犬住院部、隔离室、留观室</w:t>
            </w:r>
            <w:r>
              <w:rPr>
                <w:color w:val="auto"/>
              </w:rPr>
              <w:t>等。本次对现有手术室进行改造，新增动物三腔手术服务，新增部分手术相关设备。项目组成情况见表2-2。</w:t>
            </w:r>
          </w:p>
          <w:p>
            <w:pPr>
              <w:pStyle w:val="234"/>
              <w:adjustRightInd/>
              <w:snapToGrid/>
              <w:spacing w:before="120"/>
              <w:ind w:firstLine="0" w:firstLineChars="0"/>
              <w:rPr>
                <w:color w:val="auto"/>
              </w:rPr>
            </w:pPr>
            <w:r>
              <w:rPr>
                <w:color w:val="auto"/>
              </w:rPr>
              <w:t>表2-2    建设内容及规模</w:t>
            </w:r>
          </w:p>
          <w:tbl>
            <w:tblPr>
              <w:tblStyle w:val="40"/>
              <w:tblW w:w="9020"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743"/>
              <w:gridCol w:w="1166"/>
              <w:gridCol w:w="6117"/>
              <w:gridCol w:w="99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1909" w:type="dxa"/>
                  <w:gridSpan w:val="2"/>
                  <w:tcBorders>
                    <w:tl2br w:val="nil"/>
                    <w:tr2bl w:val="nil"/>
                  </w:tcBorders>
                  <w:vAlign w:val="center"/>
                </w:tcPr>
                <w:p>
                  <w:pPr>
                    <w:pStyle w:val="167"/>
                    <w:adjustRightInd/>
                    <w:snapToGrid/>
                    <w:jc w:val="center"/>
                    <w:rPr>
                      <w:color w:val="auto"/>
                    </w:rPr>
                  </w:pPr>
                  <w:r>
                    <w:rPr>
                      <w:color w:val="auto"/>
                    </w:rPr>
                    <w:t>项目组成</w:t>
                  </w:r>
                </w:p>
              </w:tc>
              <w:tc>
                <w:tcPr>
                  <w:tcW w:w="6117" w:type="dxa"/>
                  <w:tcBorders>
                    <w:tl2br w:val="nil"/>
                    <w:tr2bl w:val="nil"/>
                  </w:tcBorders>
                  <w:vAlign w:val="center"/>
                </w:tcPr>
                <w:p>
                  <w:pPr>
                    <w:pStyle w:val="167"/>
                    <w:adjustRightInd/>
                    <w:snapToGrid/>
                    <w:jc w:val="center"/>
                    <w:rPr>
                      <w:color w:val="auto"/>
                    </w:rPr>
                  </w:pPr>
                  <w:r>
                    <w:rPr>
                      <w:color w:val="auto"/>
                    </w:rPr>
                    <w:t>主要建设内容</w:t>
                  </w:r>
                </w:p>
              </w:tc>
              <w:tc>
                <w:tcPr>
                  <w:tcW w:w="994" w:type="dxa"/>
                  <w:tcBorders>
                    <w:tl2br w:val="nil"/>
                    <w:tr2bl w:val="nil"/>
                  </w:tcBorders>
                  <w:vAlign w:val="center"/>
                </w:tcPr>
                <w:p>
                  <w:pPr>
                    <w:pStyle w:val="167"/>
                    <w:adjustRightInd/>
                    <w:snapToGrid/>
                    <w:jc w:val="center"/>
                    <w:rPr>
                      <w:color w:val="auto"/>
                    </w:rPr>
                  </w:pPr>
                  <w:r>
                    <w:rPr>
                      <w:color w:val="auto"/>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restart"/>
                  <w:tcBorders>
                    <w:tl2br w:val="nil"/>
                    <w:tr2bl w:val="nil"/>
                  </w:tcBorders>
                  <w:vAlign w:val="center"/>
                </w:tcPr>
                <w:p>
                  <w:pPr>
                    <w:pStyle w:val="167"/>
                    <w:adjustRightInd/>
                    <w:snapToGrid/>
                    <w:jc w:val="center"/>
                    <w:rPr>
                      <w:color w:val="auto"/>
                      <w:kern w:val="0"/>
                    </w:rPr>
                  </w:pPr>
                  <w:r>
                    <w:rPr>
                      <w:color w:val="auto"/>
                      <w:kern w:val="0"/>
                    </w:rPr>
                    <w:t>主体</w:t>
                  </w:r>
                </w:p>
                <w:p>
                  <w:pPr>
                    <w:pStyle w:val="167"/>
                    <w:adjustRightInd/>
                    <w:snapToGrid/>
                    <w:jc w:val="center"/>
                    <w:rPr>
                      <w:color w:val="auto"/>
                      <w:kern w:val="0"/>
                    </w:rPr>
                  </w:pPr>
                  <w:r>
                    <w:rPr>
                      <w:color w:val="auto"/>
                      <w:kern w:val="0"/>
                    </w:rPr>
                    <w:t>工程</w:t>
                  </w:r>
                </w:p>
              </w:tc>
              <w:tc>
                <w:tcPr>
                  <w:tcW w:w="1166" w:type="dxa"/>
                  <w:tcBorders>
                    <w:tl2br w:val="nil"/>
                    <w:tr2bl w:val="nil"/>
                  </w:tcBorders>
                  <w:vAlign w:val="center"/>
                </w:tcPr>
                <w:p>
                  <w:pPr>
                    <w:pStyle w:val="167"/>
                    <w:adjustRightInd/>
                    <w:snapToGrid/>
                    <w:jc w:val="center"/>
                    <w:rPr>
                      <w:color w:val="auto"/>
                      <w:kern w:val="0"/>
                    </w:rPr>
                  </w:pPr>
                  <w:r>
                    <w:rPr>
                      <w:rFonts w:hint="eastAsia"/>
                      <w:color w:val="auto"/>
                      <w:kern w:val="0"/>
                    </w:rPr>
                    <w:t>诊断室</w:t>
                  </w:r>
                </w:p>
              </w:tc>
              <w:tc>
                <w:tcPr>
                  <w:tcW w:w="6117" w:type="dxa"/>
                  <w:tcBorders>
                    <w:tl2br w:val="nil"/>
                    <w:tr2bl w:val="nil"/>
                  </w:tcBorders>
                  <w:vAlign w:val="center"/>
                </w:tcPr>
                <w:p>
                  <w:pPr>
                    <w:pStyle w:val="167"/>
                    <w:adjustRightInd/>
                    <w:snapToGrid/>
                    <w:rPr>
                      <w:color w:val="auto"/>
                    </w:rPr>
                  </w:pPr>
                  <w:r>
                    <w:rPr>
                      <w:rFonts w:hint="eastAsia"/>
                      <w:color w:val="auto"/>
                    </w:rPr>
                    <w:t>院内西北侧及西侧</w:t>
                  </w:r>
                  <w:r>
                    <w:rPr>
                      <w:color w:val="auto"/>
                    </w:rPr>
                    <w:t>，设置3间诊室，建筑面积均为6 m</w:t>
                  </w:r>
                  <w:r>
                    <w:rPr>
                      <w:color w:val="auto"/>
                      <w:vertAlign w:val="superscript"/>
                    </w:rPr>
                    <w:t>2</w:t>
                  </w:r>
                  <w:r>
                    <w:rPr>
                      <w:color w:val="auto"/>
                    </w:rPr>
                    <w:t>，主要为宠物初步诊断的区域。</w:t>
                  </w:r>
                </w:p>
              </w:tc>
              <w:tc>
                <w:tcPr>
                  <w:tcW w:w="994" w:type="dxa"/>
                  <w:tcBorders>
                    <w:tl2br w:val="nil"/>
                    <w:tr2bl w:val="nil"/>
                  </w:tcBorders>
                  <w:vAlign w:val="center"/>
                </w:tcPr>
                <w:p>
                  <w:pPr>
                    <w:pStyle w:val="167"/>
                    <w:adjustRightInd/>
                    <w:snapToGrid/>
                    <w:jc w:val="center"/>
                    <w:rPr>
                      <w:color w:val="auto"/>
                    </w:rPr>
                  </w:pPr>
                  <w:r>
                    <w:rPr>
                      <w:color w:val="auto"/>
                    </w:rPr>
                    <w:t>已建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continue"/>
                  <w:tcBorders>
                    <w:tl2br w:val="nil"/>
                    <w:tr2bl w:val="nil"/>
                  </w:tcBorders>
                  <w:vAlign w:val="center"/>
                </w:tcPr>
                <w:p>
                  <w:pPr>
                    <w:pStyle w:val="167"/>
                    <w:adjustRightInd/>
                    <w:snapToGrid/>
                    <w:jc w:val="center"/>
                    <w:rPr>
                      <w:color w:val="auto"/>
                      <w:kern w:val="0"/>
                    </w:rPr>
                  </w:pPr>
                </w:p>
              </w:tc>
              <w:tc>
                <w:tcPr>
                  <w:tcW w:w="1166" w:type="dxa"/>
                  <w:tcBorders>
                    <w:tl2br w:val="nil"/>
                    <w:tr2bl w:val="nil"/>
                  </w:tcBorders>
                  <w:shd w:val="clear" w:color="auto" w:fill="auto"/>
                  <w:vAlign w:val="center"/>
                </w:tcPr>
                <w:p>
                  <w:pPr>
                    <w:pStyle w:val="167"/>
                    <w:adjustRightInd/>
                    <w:snapToGrid/>
                    <w:jc w:val="center"/>
                    <w:rPr>
                      <w:color w:val="auto"/>
                      <w:kern w:val="0"/>
                    </w:rPr>
                  </w:pPr>
                  <w:r>
                    <w:rPr>
                      <w:color w:val="auto"/>
                      <w:kern w:val="0"/>
                    </w:rPr>
                    <w:t>化验室</w:t>
                  </w:r>
                  <w:r>
                    <w:rPr>
                      <w:rFonts w:hint="eastAsia"/>
                      <w:color w:val="auto"/>
                      <w:kern w:val="0"/>
                    </w:rPr>
                    <w:t>/药房</w:t>
                  </w:r>
                </w:p>
              </w:tc>
              <w:tc>
                <w:tcPr>
                  <w:tcW w:w="6117" w:type="dxa"/>
                  <w:tcBorders>
                    <w:tl2br w:val="nil"/>
                    <w:tr2bl w:val="nil"/>
                  </w:tcBorders>
                  <w:shd w:val="clear" w:color="auto" w:fill="auto"/>
                  <w:vAlign w:val="center"/>
                </w:tcPr>
                <w:p>
                  <w:pPr>
                    <w:pStyle w:val="167"/>
                    <w:adjustRightInd/>
                    <w:snapToGrid/>
                    <w:rPr>
                      <w:color w:val="auto"/>
                    </w:rPr>
                  </w:pPr>
                  <w:r>
                    <w:rPr>
                      <w:rFonts w:hint="eastAsia"/>
                      <w:color w:val="auto"/>
                    </w:rPr>
                    <w:t>院内西</w:t>
                  </w:r>
                  <w:r>
                    <w:rPr>
                      <w:color w:val="auto"/>
                    </w:rPr>
                    <w:t>南侧</w:t>
                  </w:r>
                  <w:r>
                    <w:rPr>
                      <w:rFonts w:hint="eastAsia"/>
                      <w:color w:val="auto"/>
                    </w:rPr>
                    <w:t>布置化验室/药房</w:t>
                  </w:r>
                  <w:r>
                    <w:rPr>
                      <w:color w:val="auto"/>
                    </w:rPr>
                    <w:t>，建筑面积约</w:t>
                  </w:r>
                  <w:r>
                    <w:rPr>
                      <w:rFonts w:hint="eastAsia"/>
                      <w:color w:val="auto"/>
                    </w:rPr>
                    <w:t>25</w:t>
                  </w:r>
                  <w:r>
                    <w:rPr>
                      <w:color w:val="auto"/>
                    </w:rPr>
                    <w:t xml:space="preserve"> m</w:t>
                  </w:r>
                  <w:r>
                    <w:rPr>
                      <w:color w:val="auto"/>
                      <w:vertAlign w:val="superscript"/>
                    </w:rPr>
                    <w:t>2</w:t>
                  </w:r>
                  <w:r>
                    <w:rPr>
                      <w:color w:val="auto"/>
                    </w:rPr>
                    <w:t>，主要为宠物拿药的区域</w:t>
                  </w:r>
                  <w:r>
                    <w:rPr>
                      <w:rFonts w:hint="eastAsia"/>
                      <w:color w:val="auto"/>
                    </w:rPr>
                    <w:t>及</w:t>
                  </w:r>
                  <w:r>
                    <w:rPr>
                      <w:color w:val="auto"/>
                    </w:rPr>
                    <w:t>血常规、生化、尿检、粪检等，使用的试剂均为成套成品试剂，不涉及试剂配备。</w:t>
                  </w:r>
                </w:p>
              </w:tc>
              <w:tc>
                <w:tcPr>
                  <w:tcW w:w="994" w:type="dxa"/>
                  <w:tcBorders>
                    <w:tl2br w:val="nil"/>
                    <w:tr2bl w:val="nil"/>
                  </w:tcBorders>
                  <w:shd w:val="clear" w:color="auto" w:fill="auto"/>
                  <w:vAlign w:val="center"/>
                </w:tcPr>
                <w:p>
                  <w:pPr>
                    <w:pStyle w:val="167"/>
                    <w:adjustRightInd/>
                    <w:snapToGrid/>
                    <w:jc w:val="center"/>
                    <w:rPr>
                      <w:color w:val="auto"/>
                    </w:rPr>
                  </w:pPr>
                  <w:r>
                    <w:rPr>
                      <w:color w:val="auto"/>
                    </w:rPr>
                    <w:t>已建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continue"/>
                  <w:tcBorders>
                    <w:tl2br w:val="nil"/>
                    <w:tr2bl w:val="nil"/>
                  </w:tcBorders>
                  <w:vAlign w:val="center"/>
                </w:tcPr>
                <w:p>
                  <w:pPr>
                    <w:pStyle w:val="167"/>
                    <w:adjustRightInd/>
                    <w:snapToGrid/>
                    <w:jc w:val="center"/>
                    <w:rPr>
                      <w:color w:val="auto"/>
                      <w:kern w:val="0"/>
                    </w:rPr>
                  </w:pPr>
                </w:p>
              </w:tc>
              <w:tc>
                <w:tcPr>
                  <w:tcW w:w="1166" w:type="dxa"/>
                  <w:tcBorders>
                    <w:tl2br w:val="nil"/>
                    <w:tr2bl w:val="nil"/>
                  </w:tcBorders>
                  <w:shd w:val="clear" w:color="auto" w:fill="auto"/>
                  <w:vAlign w:val="center"/>
                </w:tcPr>
                <w:p>
                  <w:pPr>
                    <w:pStyle w:val="167"/>
                    <w:adjustRightInd/>
                    <w:snapToGrid/>
                    <w:jc w:val="center"/>
                    <w:rPr>
                      <w:color w:val="auto"/>
                      <w:kern w:val="0"/>
                    </w:rPr>
                  </w:pPr>
                  <w:r>
                    <w:rPr>
                      <w:color w:val="auto"/>
                      <w:kern w:val="0"/>
                    </w:rPr>
                    <w:t>住院部</w:t>
                  </w:r>
                </w:p>
              </w:tc>
              <w:tc>
                <w:tcPr>
                  <w:tcW w:w="6117" w:type="dxa"/>
                  <w:tcBorders>
                    <w:tl2br w:val="nil"/>
                    <w:tr2bl w:val="nil"/>
                  </w:tcBorders>
                  <w:shd w:val="clear" w:color="auto" w:fill="auto"/>
                  <w:vAlign w:val="center"/>
                </w:tcPr>
                <w:p>
                  <w:pPr>
                    <w:pStyle w:val="167"/>
                    <w:adjustRightInd/>
                    <w:snapToGrid/>
                    <w:rPr>
                      <w:color w:val="auto"/>
                    </w:rPr>
                  </w:pPr>
                  <w:r>
                    <w:rPr>
                      <w:rFonts w:hint="eastAsia"/>
                      <w:color w:val="auto"/>
                    </w:rPr>
                    <w:t>院内布置两间猫住院部，位于院内东北侧，建筑面积约10</w:t>
                  </w:r>
                  <w:r>
                    <w:rPr>
                      <w:color w:val="auto"/>
                    </w:rPr>
                    <w:t xml:space="preserve"> m</w:t>
                  </w:r>
                  <w:r>
                    <w:rPr>
                      <w:color w:val="auto"/>
                      <w:vertAlign w:val="superscript"/>
                    </w:rPr>
                    <w:t>2</w:t>
                  </w:r>
                  <w:r>
                    <w:rPr>
                      <w:color w:val="auto"/>
                    </w:rPr>
                    <w:t>，</w:t>
                  </w:r>
                  <w:r>
                    <w:rPr>
                      <w:rFonts w:hint="eastAsia"/>
                      <w:color w:val="auto"/>
                    </w:rPr>
                    <w:t>设犬住院部2间，位于院内东侧及东南侧，</w:t>
                  </w:r>
                  <w:r>
                    <w:rPr>
                      <w:color w:val="auto"/>
                    </w:rPr>
                    <w:t>建筑面积</w:t>
                  </w:r>
                  <w:r>
                    <w:rPr>
                      <w:rFonts w:hint="eastAsia"/>
                      <w:color w:val="auto"/>
                    </w:rPr>
                    <w:t>分别</w:t>
                  </w:r>
                  <w:r>
                    <w:rPr>
                      <w:color w:val="auto"/>
                    </w:rPr>
                    <w:t>为</w:t>
                  </w:r>
                  <w:r>
                    <w:rPr>
                      <w:rFonts w:hint="eastAsia"/>
                      <w:color w:val="auto"/>
                    </w:rPr>
                    <w:t>8</w:t>
                  </w:r>
                  <w:r>
                    <w:rPr>
                      <w:color w:val="auto"/>
                    </w:rPr>
                    <w:t>m</w:t>
                  </w:r>
                  <w:r>
                    <w:rPr>
                      <w:color w:val="auto"/>
                      <w:vertAlign w:val="superscript"/>
                    </w:rPr>
                    <w:t>2</w:t>
                  </w:r>
                  <w:r>
                    <w:rPr>
                      <w:rFonts w:hint="eastAsia"/>
                      <w:color w:val="auto"/>
                    </w:rPr>
                    <w:t>、10m</w:t>
                  </w:r>
                  <w:r>
                    <w:rPr>
                      <w:rFonts w:hint="eastAsia"/>
                      <w:color w:val="auto"/>
                      <w:vertAlign w:val="superscript"/>
                    </w:rPr>
                    <w:t>2</w:t>
                  </w:r>
                  <w:r>
                    <w:rPr>
                      <w:color w:val="auto"/>
                    </w:rPr>
                    <w:t>，主要为宠物住院治疗、滞留区域。</w:t>
                  </w:r>
                </w:p>
              </w:tc>
              <w:tc>
                <w:tcPr>
                  <w:tcW w:w="994" w:type="dxa"/>
                  <w:tcBorders>
                    <w:tl2br w:val="nil"/>
                    <w:tr2bl w:val="nil"/>
                  </w:tcBorders>
                  <w:shd w:val="clear" w:color="auto" w:fill="auto"/>
                  <w:vAlign w:val="center"/>
                </w:tcPr>
                <w:p>
                  <w:pPr>
                    <w:pStyle w:val="167"/>
                    <w:adjustRightInd/>
                    <w:snapToGrid/>
                    <w:jc w:val="center"/>
                    <w:rPr>
                      <w:color w:val="auto"/>
                    </w:rPr>
                  </w:pPr>
                  <w:r>
                    <w:rPr>
                      <w:color w:val="auto"/>
                    </w:rPr>
                    <w:t>已建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continue"/>
                  <w:tcBorders>
                    <w:tl2br w:val="nil"/>
                    <w:tr2bl w:val="nil"/>
                  </w:tcBorders>
                  <w:vAlign w:val="center"/>
                </w:tcPr>
                <w:p>
                  <w:pPr>
                    <w:pStyle w:val="167"/>
                    <w:adjustRightInd/>
                    <w:snapToGrid/>
                    <w:jc w:val="center"/>
                    <w:rPr>
                      <w:color w:val="auto"/>
                      <w:kern w:val="0"/>
                    </w:rPr>
                  </w:pPr>
                </w:p>
              </w:tc>
              <w:tc>
                <w:tcPr>
                  <w:tcW w:w="1166" w:type="dxa"/>
                  <w:tcBorders>
                    <w:tl2br w:val="nil"/>
                    <w:tr2bl w:val="nil"/>
                  </w:tcBorders>
                  <w:shd w:val="clear" w:color="auto" w:fill="auto"/>
                  <w:vAlign w:val="center"/>
                </w:tcPr>
                <w:p>
                  <w:pPr>
                    <w:pStyle w:val="167"/>
                    <w:adjustRightInd/>
                    <w:snapToGrid/>
                    <w:jc w:val="center"/>
                    <w:rPr>
                      <w:color w:val="auto"/>
                      <w:kern w:val="0"/>
                    </w:rPr>
                  </w:pPr>
                  <w:r>
                    <w:rPr>
                      <w:rFonts w:hint="eastAsia"/>
                      <w:color w:val="auto"/>
                      <w:kern w:val="0"/>
                    </w:rPr>
                    <w:t>留观室</w:t>
                  </w:r>
                </w:p>
              </w:tc>
              <w:tc>
                <w:tcPr>
                  <w:tcW w:w="6117" w:type="dxa"/>
                  <w:tcBorders>
                    <w:tl2br w:val="nil"/>
                    <w:tr2bl w:val="nil"/>
                  </w:tcBorders>
                  <w:shd w:val="clear" w:color="auto" w:fill="auto"/>
                  <w:vAlign w:val="center"/>
                </w:tcPr>
                <w:p>
                  <w:pPr>
                    <w:pStyle w:val="167"/>
                    <w:rPr>
                      <w:color w:val="auto"/>
                    </w:rPr>
                  </w:pPr>
                  <w:r>
                    <w:rPr>
                      <w:rFonts w:hint="eastAsia"/>
                      <w:color w:val="auto"/>
                    </w:rPr>
                    <w:t>院内中部布置1间留观室，</w:t>
                  </w:r>
                  <w:r>
                    <w:rPr>
                      <w:color w:val="auto"/>
                    </w:rPr>
                    <w:t>建筑面积约</w:t>
                  </w:r>
                  <w:r>
                    <w:rPr>
                      <w:rFonts w:hint="eastAsia"/>
                      <w:color w:val="auto"/>
                    </w:rPr>
                    <w:t>8</w:t>
                  </w:r>
                  <w:r>
                    <w:rPr>
                      <w:color w:val="auto"/>
                    </w:rPr>
                    <w:t>m</w:t>
                  </w:r>
                  <w:r>
                    <w:rPr>
                      <w:color w:val="auto"/>
                      <w:vertAlign w:val="superscript"/>
                    </w:rPr>
                    <w:t>2</w:t>
                  </w:r>
                  <w:r>
                    <w:rPr>
                      <w:rFonts w:hint="eastAsia"/>
                      <w:color w:val="auto"/>
                    </w:rPr>
                    <w:t>，主要用于重症宠物留观。</w:t>
                  </w:r>
                </w:p>
              </w:tc>
              <w:tc>
                <w:tcPr>
                  <w:tcW w:w="994" w:type="dxa"/>
                  <w:tcBorders>
                    <w:tl2br w:val="nil"/>
                    <w:tr2bl w:val="nil"/>
                  </w:tcBorders>
                  <w:shd w:val="clear" w:color="auto" w:fill="auto"/>
                  <w:vAlign w:val="center"/>
                </w:tcPr>
                <w:p>
                  <w:pPr>
                    <w:pStyle w:val="167"/>
                    <w:adjustRightInd/>
                    <w:snapToGrid/>
                    <w:jc w:val="center"/>
                    <w:rPr>
                      <w:color w:val="auto"/>
                    </w:rPr>
                  </w:pPr>
                  <w:r>
                    <w:rPr>
                      <w:color w:val="auto"/>
                    </w:rPr>
                    <w:t>已建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continue"/>
                  <w:tcBorders>
                    <w:tl2br w:val="nil"/>
                    <w:tr2bl w:val="nil"/>
                  </w:tcBorders>
                  <w:vAlign w:val="center"/>
                </w:tcPr>
                <w:p>
                  <w:pPr>
                    <w:pStyle w:val="167"/>
                    <w:adjustRightInd/>
                    <w:snapToGrid/>
                    <w:jc w:val="center"/>
                    <w:rPr>
                      <w:color w:val="auto"/>
                      <w:kern w:val="0"/>
                    </w:rPr>
                  </w:pPr>
                </w:p>
              </w:tc>
              <w:tc>
                <w:tcPr>
                  <w:tcW w:w="1166" w:type="dxa"/>
                  <w:tcBorders>
                    <w:tl2br w:val="nil"/>
                    <w:tr2bl w:val="nil"/>
                  </w:tcBorders>
                  <w:shd w:val="clear" w:color="auto" w:fill="auto"/>
                  <w:vAlign w:val="center"/>
                </w:tcPr>
                <w:p>
                  <w:pPr>
                    <w:pStyle w:val="167"/>
                    <w:adjustRightInd/>
                    <w:snapToGrid/>
                    <w:jc w:val="center"/>
                    <w:rPr>
                      <w:color w:val="auto"/>
                      <w:kern w:val="0"/>
                    </w:rPr>
                  </w:pPr>
                  <w:r>
                    <w:rPr>
                      <w:rFonts w:hint="eastAsia"/>
                      <w:color w:val="auto"/>
                      <w:kern w:val="0"/>
                    </w:rPr>
                    <w:t>手术准备室</w:t>
                  </w:r>
                </w:p>
              </w:tc>
              <w:tc>
                <w:tcPr>
                  <w:tcW w:w="6117" w:type="dxa"/>
                  <w:tcBorders>
                    <w:tl2br w:val="nil"/>
                    <w:tr2bl w:val="nil"/>
                  </w:tcBorders>
                  <w:shd w:val="clear" w:color="auto" w:fill="auto"/>
                  <w:vAlign w:val="center"/>
                </w:tcPr>
                <w:p>
                  <w:pPr>
                    <w:pStyle w:val="167"/>
                    <w:rPr>
                      <w:color w:val="auto"/>
                    </w:rPr>
                  </w:pPr>
                  <w:r>
                    <w:rPr>
                      <w:rFonts w:hint="eastAsia"/>
                      <w:color w:val="auto"/>
                    </w:rPr>
                    <w:t>院内南侧布置手术准备室，</w:t>
                  </w:r>
                  <w:r>
                    <w:rPr>
                      <w:color w:val="auto"/>
                    </w:rPr>
                    <w:t>建筑面积约</w:t>
                  </w:r>
                  <w:r>
                    <w:rPr>
                      <w:rFonts w:hint="eastAsia"/>
                      <w:color w:val="auto"/>
                    </w:rPr>
                    <w:t>6</w:t>
                  </w:r>
                  <w:r>
                    <w:rPr>
                      <w:color w:val="auto"/>
                    </w:rPr>
                    <w:t xml:space="preserve"> m</w:t>
                  </w:r>
                  <w:r>
                    <w:rPr>
                      <w:color w:val="auto"/>
                      <w:vertAlign w:val="superscript"/>
                    </w:rPr>
                    <w:t>2</w:t>
                  </w:r>
                  <w:r>
                    <w:rPr>
                      <w:color w:val="auto"/>
                    </w:rPr>
                    <w:t>，</w:t>
                  </w:r>
                  <w:r>
                    <w:rPr>
                      <w:rFonts w:hint="eastAsia"/>
                      <w:color w:val="auto"/>
                    </w:rPr>
                    <w:t>用于术前准备。</w:t>
                  </w:r>
                </w:p>
              </w:tc>
              <w:tc>
                <w:tcPr>
                  <w:tcW w:w="994" w:type="dxa"/>
                  <w:tcBorders>
                    <w:tl2br w:val="nil"/>
                    <w:tr2bl w:val="nil"/>
                  </w:tcBorders>
                  <w:shd w:val="clear" w:color="auto" w:fill="auto"/>
                  <w:vAlign w:val="center"/>
                </w:tcPr>
                <w:p>
                  <w:pPr>
                    <w:pStyle w:val="167"/>
                    <w:adjustRightInd/>
                    <w:snapToGrid/>
                    <w:jc w:val="center"/>
                    <w:rPr>
                      <w:color w:val="auto"/>
                    </w:rPr>
                  </w:pPr>
                  <w:r>
                    <w:rPr>
                      <w:color w:val="auto"/>
                    </w:rPr>
                    <w:t>已建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continue"/>
                  <w:tcBorders>
                    <w:tl2br w:val="nil"/>
                    <w:tr2bl w:val="nil"/>
                  </w:tcBorders>
                  <w:vAlign w:val="center"/>
                </w:tcPr>
                <w:p>
                  <w:pPr>
                    <w:pStyle w:val="167"/>
                    <w:adjustRightInd/>
                    <w:snapToGrid/>
                    <w:jc w:val="center"/>
                    <w:rPr>
                      <w:color w:val="auto"/>
                      <w:kern w:val="0"/>
                    </w:rPr>
                  </w:pPr>
                </w:p>
              </w:tc>
              <w:tc>
                <w:tcPr>
                  <w:tcW w:w="1166" w:type="dxa"/>
                  <w:tcBorders>
                    <w:tl2br w:val="nil"/>
                    <w:tr2bl w:val="nil"/>
                  </w:tcBorders>
                  <w:vAlign w:val="center"/>
                </w:tcPr>
                <w:p>
                  <w:pPr>
                    <w:pStyle w:val="167"/>
                    <w:adjustRightInd/>
                    <w:snapToGrid/>
                    <w:jc w:val="center"/>
                    <w:rPr>
                      <w:color w:val="auto"/>
                      <w:kern w:val="0"/>
                    </w:rPr>
                  </w:pPr>
                  <w:r>
                    <w:rPr>
                      <w:color w:val="auto"/>
                      <w:kern w:val="0"/>
                    </w:rPr>
                    <w:t>手术室</w:t>
                  </w:r>
                </w:p>
              </w:tc>
              <w:tc>
                <w:tcPr>
                  <w:tcW w:w="6117" w:type="dxa"/>
                  <w:tcBorders>
                    <w:tl2br w:val="nil"/>
                    <w:tr2bl w:val="nil"/>
                  </w:tcBorders>
                  <w:vAlign w:val="center"/>
                </w:tcPr>
                <w:p>
                  <w:pPr>
                    <w:pStyle w:val="167"/>
                    <w:adjustRightInd/>
                    <w:snapToGrid/>
                    <w:rPr>
                      <w:color w:val="auto"/>
                    </w:rPr>
                  </w:pPr>
                  <w:r>
                    <w:rPr>
                      <w:rFonts w:hint="eastAsia"/>
                      <w:color w:val="auto"/>
                    </w:rPr>
                    <w:t>院内南</w:t>
                  </w:r>
                  <w:r>
                    <w:rPr>
                      <w:color w:val="auto"/>
                    </w:rPr>
                    <w:t>侧</w:t>
                  </w:r>
                  <w:r>
                    <w:rPr>
                      <w:rFonts w:hint="eastAsia"/>
                      <w:color w:val="auto"/>
                    </w:rPr>
                    <w:t>布置1间手术室</w:t>
                  </w:r>
                  <w:r>
                    <w:rPr>
                      <w:color w:val="auto"/>
                    </w:rPr>
                    <w:t>，建筑面积约</w:t>
                  </w:r>
                  <w:r>
                    <w:rPr>
                      <w:rFonts w:hint="eastAsia"/>
                      <w:color w:val="auto"/>
                    </w:rPr>
                    <w:t>20</w:t>
                  </w:r>
                  <w:r>
                    <w:rPr>
                      <w:color w:val="auto"/>
                    </w:rPr>
                    <w:t>m</w:t>
                  </w:r>
                  <w:r>
                    <w:rPr>
                      <w:color w:val="auto"/>
                      <w:vertAlign w:val="superscript"/>
                    </w:rPr>
                    <w:t>2</w:t>
                  </w:r>
                  <w:r>
                    <w:rPr>
                      <w:color w:val="auto"/>
                    </w:rPr>
                    <w:t>，本次在手术室新增部分手术设备，主要进行宠物</w:t>
                  </w:r>
                  <w:r>
                    <w:rPr>
                      <w:bCs/>
                      <w:color w:val="auto"/>
                      <w:szCs w:val="21"/>
                    </w:rPr>
                    <w:t>软组织手术、骨科手术、三腔手术等。</w:t>
                  </w:r>
                </w:p>
              </w:tc>
              <w:tc>
                <w:tcPr>
                  <w:tcW w:w="994" w:type="dxa"/>
                  <w:tcBorders>
                    <w:tl2br w:val="nil"/>
                    <w:tr2bl w:val="nil"/>
                  </w:tcBorders>
                  <w:vAlign w:val="center"/>
                </w:tcPr>
                <w:p>
                  <w:pPr>
                    <w:pStyle w:val="167"/>
                    <w:adjustRightInd/>
                    <w:snapToGrid/>
                    <w:jc w:val="center"/>
                    <w:rPr>
                      <w:color w:val="auto"/>
                    </w:rPr>
                  </w:pPr>
                  <w:r>
                    <w:rPr>
                      <w:color w:val="auto"/>
                    </w:rPr>
                    <w:t>改建、增加设备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90" w:hRule="atLeast"/>
                <w:jc w:val="center"/>
              </w:trPr>
              <w:tc>
                <w:tcPr>
                  <w:tcW w:w="743" w:type="dxa"/>
                  <w:vMerge w:val="continue"/>
                  <w:tcBorders>
                    <w:tl2br w:val="nil"/>
                    <w:tr2bl w:val="nil"/>
                  </w:tcBorders>
                  <w:vAlign w:val="center"/>
                </w:tcPr>
                <w:p>
                  <w:pPr>
                    <w:pStyle w:val="167"/>
                    <w:adjustRightInd/>
                    <w:snapToGrid/>
                    <w:jc w:val="center"/>
                    <w:rPr>
                      <w:color w:val="auto"/>
                      <w:kern w:val="0"/>
                    </w:rPr>
                  </w:pPr>
                </w:p>
              </w:tc>
              <w:tc>
                <w:tcPr>
                  <w:tcW w:w="1166" w:type="dxa"/>
                  <w:tcBorders>
                    <w:tl2br w:val="nil"/>
                    <w:tr2bl w:val="nil"/>
                  </w:tcBorders>
                  <w:vAlign w:val="center"/>
                </w:tcPr>
                <w:p>
                  <w:pPr>
                    <w:pStyle w:val="167"/>
                    <w:adjustRightInd/>
                    <w:snapToGrid/>
                    <w:jc w:val="center"/>
                    <w:rPr>
                      <w:color w:val="auto"/>
                      <w:kern w:val="0"/>
                    </w:rPr>
                  </w:pPr>
                  <w:r>
                    <w:rPr>
                      <w:rFonts w:hint="eastAsia"/>
                      <w:color w:val="auto"/>
                      <w:kern w:val="0"/>
                    </w:rPr>
                    <w:t>超声室</w:t>
                  </w:r>
                </w:p>
              </w:tc>
              <w:tc>
                <w:tcPr>
                  <w:tcW w:w="6117" w:type="dxa"/>
                  <w:tcBorders>
                    <w:tl2br w:val="nil"/>
                    <w:tr2bl w:val="nil"/>
                  </w:tcBorders>
                  <w:shd w:val="clear" w:color="auto" w:fill="auto"/>
                  <w:vAlign w:val="center"/>
                </w:tcPr>
                <w:p>
                  <w:pPr>
                    <w:pStyle w:val="167"/>
                    <w:rPr>
                      <w:color w:val="auto"/>
                    </w:rPr>
                  </w:pPr>
                  <w:r>
                    <w:rPr>
                      <w:rFonts w:hint="eastAsia"/>
                      <w:color w:val="auto"/>
                    </w:rPr>
                    <w:t>院内东南侧布置1间超声室，</w:t>
                  </w:r>
                  <w:r>
                    <w:rPr>
                      <w:color w:val="auto"/>
                    </w:rPr>
                    <w:t>建筑面积约</w:t>
                  </w:r>
                  <w:r>
                    <w:rPr>
                      <w:rFonts w:hint="eastAsia"/>
                      <w:color w:val="auto"/>
                    </w:rPr>
                    <w:t>5</w:t>
                  </w:r>
                  <w:r>
                    <w:rPr>
                      <w:color w:val="auto"/>
                    </w:rPr>
                    <w:t xml:space="preserve"> m</w:t>
                  </w:r>
                  <w:r>
                    <w:rPr>
                      <w:color w:val="auto"/>
                      <w:vertAlign w:val="superscript"/>
                    </w:rPr>
                    <w:t>2</w:t>
                  </w:r>
                  <w:r>
                    <w:rPr>
                      <w:rFonts w:hint="eastAsia"/>
                      <w:color w:val="auto"/>
                    </w:rPr>
                    <w:t>，主要为宠物提供内部器官和组织图像。</w:t>
                  </w:r>
                </w:p>
              </w:tc>
              <w:tc>
                <w:tcPr>
                  <w:tcW w:w="994" w:type="dxa"/>
                  <w:tcBorders>
                    <w:tl2br w:val="nil"/>
                    <w:tr2bl w:val="nil"/>
                  </w:tcBorders>
                  <w:shd w:val="clear" w:color="auto" w:fill="auto"/>
                  <w:vAlign w:val="center"/>
                </w:tcPr>
                <w:p>
                  <w:pPr>
                    <w:pStyle w:val="167"/>
                    <w:adjustRightInd/>
                    <w:snapToGrid/>
                    <w:jc w:val="center"/>
                    <w:rPr>
                      <w:color w:val="auto"/>
                    </w:rPr>
                  </w:pPr>
                  <w:r>
                    <w:rPr>
                      <w:color w:val="auto"/>
                    </w:rPr>
                    <w:t>已建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continue"/>
                  <w:tcBorders>
                    <w:tl2br w:val="nil"/>
                    <w:tr2bl w:val="nil"/>
                  </w:tcBorders>
                  <w:vAlign w:val="center"/>
                </w:tcPr>
                <w:p>
                  <w:pPr>
                    <w:pStyle w:val="167"/>
                    <w:adjustRightInd/>
                    <w:snapToGrid/>
                    <w:jc w:val="center"/>
                    <w:rPr>
                      <w:color w:val="auto"/>
                      <w:kern w:val="0"/>
                    </w:rPr>
                  </w:pPr>
                </w:p>
              </w:tc>
              <w:tc>
                <w:tcPr>
                  <w:tcW w:w="1166" w:type="dxa"/>
                  <w:tcBorders>
                    <w:tl2br w:val="nil"/>
                    <w:tr2bl w:val="nil"/>
                  </w:tcBorders>
                  <w:vAlign w:val="center"/>
                </w:tcPr>
                <w:p>
                  <w:pPr>
                    <w:pStyle w:val="167"/>
                    <w:adjustRightInd/>
                    <w:snapToGrid/>
                    <w:jc w:val="center"/>
                    <w:rPr>
                      <w:color w:val="auto"/>
                      <w:kern w:val="0"/>
                    </w:rPr>
                  </w:pPr>
                  <w:r>
                    <w:rPr>
                      <w:rFonts w:hint="eastAsia"/>
                      <w:color w:val="auto"/>
                    </w:rPr>
                    <w:t>X光室</w:t>
                  </w:r>
                </w:p>
              </w:tc>
              <w:tc>
                <w:tcPr>
                  <w:tcW w:w="6117" w:type="dxa"/>
                  <w:tcBorders>
                    <w:tl2br w:val="nil"/>
                    <w:tr2bl w:val="nil"/>
                  </w:tcBorders>
                  <w:vAlign w:val="center"/>
                </w:tcPr>
                <w:p>
                  <w:pPr>
                    <w:pStyle w:val="167"/>
                    <w:adjustRightInd/>
                    <w:snapToGrid/>
                    <w:rPr>
                      <w:color w:val="auto"/>
                    </w:rPr>
                  </w:pPr>
                  <w:r>
                    <w:rPr>
                      <w:rFonts w:hint="eastAsia"/>
                      <w:color w:val="auto"/>
                    </w:rPr>
                    <w:t>院内东南侧布置1间X光室</w:t>
                  </w:r>
                  <w:r>
                    <w:rPr>
                      <w:color w:val="auto"/>
                    </w:rPr>
                    <w:t>，建筑面积约5m</w:t>
                  </w:r>
                  <w:r>
                    <w:rPr>
                      <w:color w:val="auto"/>
                      <w:vertAlign w:val="superscript"/>
                    </w:rPr>
                    <w:t>2</w:t>
                  </w:r>
                  <w:r>
                    <w:rPr>
                      <w:color w:val="auto"/>
                    </w:rPr>
                    <w:t>，主要为宠物拍片的区域，不涉及洗片，无洗片废水产生。</w:t>
                  </w:r>
                </w:p>
              </w:tc>
              <w:tc>
                <w:tcPr>
                  <w:tcW w:w="994" w:type="dxa"/>
                  <w:tcBorders>
                    <w:tl2br w:val="nil"/>
                    <w:tr2bl w:val="nil"/>
                  </w:tcBorders>
                  <w:vAlign w:val="center"/>
                </w:tcPr>
                <w:p>
                  <w:pPr>
                    <w:pStyle w:val="167"/>
                    <w:adjustRightInd/>
                    <w:snapToGrid/>
                    <w:jc w:val="center"/>
                    <w:rPr>
                      <w:color w:val="auto"/>
                    </w:rPr>
                  </w:pPr>
                  <w:r>
                    <w:rPr>
                      <w:color w:val="auto"/>
                    </w:rPr>
                    <w:t>已建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continue"/>
                  <w:tcBorders>
                    <w:tl2br w:val="nil"/>
                    <w:tr2bl w:val="nil"/>
                  </w:tcBorders>
                  <w:vAlign w:val="center"/>
                </w:tcPr>
                <w:p>
                  <w:pPr>
                    <w:pStyle w:val="167"/>
                    <w:adjustRightInd/>
                    <w:snapToGrid/>
                    <w:jc w:val="center"/>
                    <w:rPr>
                      <w:color w:val="auto"/>
                      <w:kern w:val="0"/>
                    </w:rPr>
                  </w:pPr>
                </w:p>
              </w:tc>
              <w:tc>
                <w:tcPr>
                  <w:tcW w:w="1166" w:type="dxa"/>
                  <w:tcBorders>
                    <w:tl2br w:val="nil"/>
                    <w:tr2bl w:val="nil"/>
                  </w:tcBorders>
                  <w:shd w:val="clear" w:color="auto" w:fill="auto"/>
                  <w:vAlign w:val="center"/>
                </w:tcPr>
                <w:p>
                  <w:pPr>
                    <w:pStyle w:val="167"/>
                    <w:adjustRightInd/>
                    <w:snapToGrid/>
                    <w:jc w:val="center"/>
                    <w:rPr>
                      <w:color w:val="auto"/>
                      <w:kern w:val="0"/>
                    </w:rPr>
                  </w:pPr>
                  <w:r>
                    <w:rPr>
                      <w:color w:val="auto"/>
                      <w:kern w:val="0"/>
                    </w:rPr>
                    <w:t>美容</w:t>
                  </w:r>
                  <w:r>
                    <w:rPr>
                      <w:rFonts w:hint="eastAsia"/>
                      <w:color w:val="auto"/>
                      <w:kern w:val="0"/>
                    </w:rPr>
                    <w:t>洗护</w:t>
                  </w:r>
                  <w:r>
                    <w:rPr>
                      <w:color w:val="auto"/>
                      <w:kern w:val="0"/>
                    </w:rPr>
                    <w:t>室</w:t>
                  </w:r>
                </w:p>
              </w:tc>
              <w:tc>
                <w:tcPr>
                  <w:tcW w:w="6117" w:type="dxa"/>
                  <w:tcBorders>
                    <w:tl2br w:val="nil"/>
                    <w:tr2bl w:val="nil"/>
                  </w:tcBorders>
                  <w:shd w:val="clear" w:color="auto" w:fill="auto"/>
                  <w:vAlign w:val="center"/>
                </w:tcPr>
                <w:p>
                  <w:pPr>
                    <w:pStyle w:val="167"/>
                    <w:adjustRightInd/>
                    <w:snapToGrid/>
                    <w:rPr>
                      <w:color w:val="auto"/>
                    </w:rPr>
                  </w:pPr>
                  <w:r>
                    <w:rPr>
                      <w:rFonts w:hint="eastAsia"/>
                      <w:color w:val="auto"/>
                    </w:rPr>
                    <w:t>院内西</w:t>
                  </w:r>
                  <w:r>
                    <w:rPr>
                      <w:color w:val="auto"/>
                    </w:rPr>
                    <w:t>南侧</w:t>
                  </w:r>
                  <w:r>
                    <w:rPr>
                      <w:rFonts w:hint="eastAsia"/>
                      <w:color w:val="auto"/>
                    </w:rPr>
                    <w:t>布置1间美容洗护室</w:t>
                  </w:r>
                  <w:r>
                    <w:rPr>
                      <w:color w:val="auto"/>
                    </w:rPr>
                    <w:t>，建筑面积约</w:t>
                  </w:r>
                  <w:r>
                    <w:rPr>
                      <w:rFonts w:hint="eastAsia"/>
                      <w:color w:val="auto"/>
                    </w:rPr>
                    <w:t>15</w:t>
                  </w:r>
                  <w:r>
                    <w:rPr>
                      <w:color w:val="auto"/>
                    </w:rPr>
                    <w:t>m</w:t>
                  </w:r>
                  <w:r>
                    <w:rPr>
                      <w:color w:val="auto"/>
                      <w:vertAlign w:val="superscript"/>
                    </w:rPr>
                    <w:t>2</w:t>
                  </w:r>
                  <w:r>
                    <w:rPr>
                      <w:color w:val="auto"/>
                    </w:rPr>
                    <w:t>，主要为宠物洗浴、剪毛、造型的区域。</w:t>
                  </w:r>
                </w:p>
              </w:tc>
              <w:tc>
                <w:tcPr>
                  <w:tcW w:w="994" w:type="dxa"/>
                  <w:tcBorders>
                    <w:tl2br w:val="nil"/>
                    <w:tr2bl w:val="nil"/>
                  </w:tcBorders>
                  <w:shd w:val="clear" w:color="auto" w:fill="auto"/>
                  <w:vAlign w:val="center"/>
                </w:tcPr>
                <w:p>
                  <w:pPr>
                    <w:pStyle w:val="167"/>
                    <w:adjustRightInd/>
                    <w:snapToGrid/>
                    <w:jc w:val="center"/>
                    <w:rPr>
                      <w:color w:val="auto"/>
                    </w:rPr>
                  </w:pPr>
                  <w:r>
                    <w:rPr>
                      <w:color w:val="auto"/>
                    </w:rPr>
                    <w:t>已建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restart"/>
                  <w:tcBorders>
                    <w:tl2br w:val="nil"/>
                    <w:tr2bl w:val="nil"/>
                  </w:tcBorders>
                  <w:vAlign w:val="center"/>
                </w:tcPr>
                <w:p>
                  <w:pPr>
                    <w:pStyle w:val="167"/>
                    <w:adjustRightInd/>
                    <w:snapToGrid/>
                    <w:jc w:val="center"/>
                    <w:rPr>
                      <w:color w:val="auto"/>
                    </w:rPr>
                  </w:pPr>
                  <w:r>
                    <w:rPr>
                      <w:color w:val="auto"/>
                    </w:rPr>
                    <w:t>辅助</w:t>
                  </w:r>
                </w:p>
                <w:p>
                  <w:pPr>
                    <w:pStyle w:val="167"/>
                    <w:adjustRightInd/>
                    <w:snapToGrid/>
                    <w:jc w:val="center"/>
                    <w:rPr>
                      <w:color w:val="auto"/>
                    </w:rPr>
                  </w:pPr>
                  <w:r>
                    <w:rPr>
                      <w:color w:val="auto"/>
                    </w:rPr>
                    <w:t>工程</w:t>
                  </w:r>
                </w:p>
              </w:tc>
              <w:tc>
                <w:tcPr>
                  <w:tcW w:w="1166" w:type="dxa"/>
                  <w:tcBorders>
                    <w:tl2br w:val="nil"/>
                    <w:tr2bl w:val="nil"/>
                  </w:tcBorders>
                  <w:vAlign w:val="center"/>
                </w:tcPr>
                <w:p>
                  <w:pPr>
                    <w:pStyle w:val="167"/>
                    <w:adjustRightInd/>
                    <w:snapToGrid/>
                    <w:jc w:val="center"/>
                    <w:rPr>
                      <w:color w:val="auto"/>
                    </w:rPr>
                  </w:pPr>
                  <w:r>
                    <w:rPr>
                      <w:rFonts w:hint="eastAsia"/>
                      <w:color w:val="auto"/>
                    </w:rPr>
                    <w:t>隔离室</w:t>
                  </w:r>
                </w:p>
              </w:tc>
              <w:tc>
                <w:tcPr>
                  <w:tcW w:w="6117" w:type="dxa"/>
                  <w:tcBorders>
                    <w:tl2br w:val="nil"/>
                    <w:tr2bl w:val="nil"/>
                  </w:tcBorders>
                  <w:vAlign w:val="center"/>
                </w:tcPr>
                <w:p>
                  <w:pPr>
                    <w:pStyle w:val="167"/>
                    <w:adjustRightInd/>
                    <w:snapToGrid/>
                    <w:rPr>
                      <w:color w:val="auto"/>
                    </w:rPr>
                  </w:pPr>
                  <w:r>
                    <w:rPr>
                      <w:rFonts w:hint="eastAsia"/>
                      <w:color w:val="auto"/>
                    </w:rPr>
                    <w:t>院内北侧布置1间隔离室</w:t>
                  </w:r>
                  <w:r>
                    <w:rPr>
                      <w:color w:val="auto"/>
                    </w:rPr>
                    <w:t>，建筑面积均为</w:t>
                  </w:r>
                  <w:r>
                    <w:rPr>
                      <w:rFonts w:hint="eastAsia"/>
                      <w:color w:val="auto"/>
                    </w:rPr>
                    <w:t>6</w:t>
                  </w:r>
                  <w:r>
                    <w:rPr>
                      <w:color w:val="auto"/>
                    </w:rPr>
                    <w:t xml:space="preserve"> m</w:t>
                  </w:r>
                  <w:r>
                    <w:rPr>
                      <w:color w:val="auto"/>
                      <w:vertAlign w:val="superscript"/>
                    </w:rPr>
                    <w:t>2</w:t>
                  </w:r>
                  <w:r>
                    <w:rPr>
                      <w:color w:val="auto"/>
                    </w:rPr>
                    <w:t>，主要为宠物临时隔离的区域。</w:t>
                  </w:r>
                </w:p>
              </w:tc>
              <w:tc>
                <w:tcPr>
                  <w:tcW w:w="994" w:type="dxa"/>
                  <w:tcBorders>
                    <w:tl2br w:val="nil"/>
                    <w:tr2bl w:val="nil"/>
                  </w:tcBorders>
                  <w:vAlign w:val="center"/>
                </w:tcPr>
                <w:p>
                  <w:pPr>
                    <w:pStyle w:val="167"/>
                    <w:adjustRightInd/>
                    <w:snapToGrid/>
                    <w:jc w:val="center"/>
                    <w:rPr>
                      <w:color w:val="auto"/>
                    </w:rPr>
                  </w:pPr>
                  <w:r>
                    <w:rPr>
                      <w:color w:val="auto"/>
                    </w:rPr>
                    <w:t>已建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continue"/>
                  <w:tcBorders>
                    <w:tl2br w:val="nil"/>
                    <w:tr2bl w:val="nil"/>
                  </w:tcBorders>
                  <w:vAlign w:val="center"/>
                </w:tcPr>
                <w:p>
                  <w:pPr>
                    <w:pStyle w:val="167"/>
                    <w:adjustRightInd/>
                    <w:snapToGrid/>
                    <w:jc w:val="center"/>
                    <w:rPr>
                      <w:color w:val="auto"/>
                    </w:rPr>
                  </w:pPr>
                </w:p>
              </w:tc>
              <w:tc>
                <w:tcPr>
                  <w:tcW w:w="1166" w:type="dxa"/>
                  <w:tcBorders>
                    <w:tl2br w:val="nil"/>
                    <w:tr2bl w:val="nil"/>
                  </w:tcBorders>
                  <w:vAlign w:val="center"/>
                </w:tcPr>
                <w:p>
                  <w:pPr>
                    <w:pStyle w:val="167"/>
                    <w:adjustRightInd/>
                    <w:snapToGrid/>
                    <w:jc w:val="center"/>
                    <w:rPr>
                      <w:color w:val="auto"/>
                    </w:rPr>
                  </w:pPr>
                  <w:r>
                    <w:rPr>
                      <w:color w:val="auto"/>
                    </w:rPr>
                    <w:t>前台</w:t>
                  </w:r>
                  <w:r>
                    <w:rPr>
                      <w:rFonts w:hint="eastAsia"/>
                      <w:color w:val="auto"/>
                    </w:rPr>
                    <w:t>大厅</w:t>
                  </w:r>
                </w:p>
              </w:tc>
              <w:tc>
                <w:tcPr>
                  <w:tcW w:w="6117" w:type="dxa"/>
                  <w:tcBorders>
                    <w:tl2br w:val="nil"/>
                    <w:tr2bl w:val="nil"/>
                  </w:tcBorders>
                  <w:vAlign w:val="center"/>
                </w:tcPr>
                <w:p>
                  <w:pPr>
                    <w:pStyle w:val="167"/>
                    <w:adjustRightInd/>
                    <w:snapToGrid/>
                    <w:rPr>
                      <w:color w:val="auto"/>
                    </w:rPr>
                  </w:pPr>
                  <w:r>
                    <w:rPr>
                      <w:color w:val="auto"/>
                    </w:rPr>
                    <w:t>设置在大门入口处，用于接待顾客和信息传达，建筑面积约10m</w:t>
                  </w:r>
                  <w:r>
                    <w:rPr>
                      <w:color w:val="auto"/>
                      <w:vertAlign w:val="superscript"/>
                    </w:rPr>
                    <w:t>2</w:t>
                  </w:r>
                  <w:r>
                    <w:rPr>
                      <w:color w:val="auto"/>
                    </w:rPr>
                    <w:t>。</w:t>
                  </w:r>
                </w:p>
              </w:tc>
              <w:tc>
                <w:tcPr>
                  <w:tcW w:w="994" w:type="dxa"/>
                  <w:tcBorders>
                    <w:tl2br w:val="nil"/>
                    <w:tr2bl w:val="nil"/>
                  </w:tcBorders>
                  <w:vAlign w:val="center"/>
                </w:tcPr>
                <w:p>
                  <w:pPr>
                    <w:pStyle w:val="167"/>
                    <w:adjustRightInd/>
                    <w:snapToGrid/>
                    <w:jc w:val="center"/>
                    <w:rPr>
                      <w:color w:val="auto"/>
                    </w:rPr>
                  </w:pPr>
                  <w:r>
                    <w:rPr>
                      <w:color w:val="auto"/>
                    </w:rPr>
                    <w:t>已建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continue"/>
                  <w:tcBorders>
                    <w:tl2br w:val="nil"/>
                    <w:tr2bl w:val="nil"/>
                  </w:tcBorders>
                  <w:vAlign w:val="center"/>
                </w:tcPr>
                <w:p>
                  <w:pPr>
                    <w:pStyle w:val="167"/>
                    <w:adjustRightInd/>
                    <w:snapToGrid/>
                    <w:jc w:val="center"/>
                    <w:rPr>
                      <w:color w:val="auto"/>
                    </w:rPr>
                  </w:pPr>
                </w:p>
              </w:tc>
              <w:tc>
                <w:tcPr>
                  <w:tcW w:w="1166" w:type="dxa"/>
                  <w:tcBorders>
                    <w:tl2br w:val="nil"/>
                    <w:tr2bl w:val="nil"/>
                  </w:tcBorders>
                  <w:vAlign w:val="center"/>
                </w:tcPr>
                <w:p>
                  <w:pPr>
                    <w:pStyle w:val="167"/>
                    <w:adjustRightInd/>
                    <w:snapToGrid/>
                    <w:jc w:val="center"/>
                    <w:rPr>
                      <w:color w:val="auto"/>
                    </w:rPr>
                  </w:pPr>
                  <w:r>
                    <w:rPr>
                      <w:color w:val="auto"/>
                    </w:rPr>
                    <w:t>卫生间</w:t>
                  </w:r>
                </w:p>
              </w:tc>
              <w:tc>
                <w:tcPr>
                  <w:tcW w:w="6117" w:type="dxa"/>
                  <w:tcBorders>
                    <w:tl2br w:val="nil"/>
                    <w:tr2bl w:val="nil"/>
                  </w:tcBorders>
                  <w:vAlign w:val="center"/>
                </w:tcPr>
                <w:p>
                  <w:pPr>
                    <w:pStyle w:val="167"/>
                    <w:adjustRightInd/>
                    <w:snapToGrid/>
                    <w:rPr>
                      <w:color w:val="auto"/>
                    </w:rPr>
                  </w:pPr>
                  <w:r>
                    <w:rPr>
                      <w:color w:val="auto"/>
                    </w:rPr>
                    <w:t>位于</w:t>
                  </w:r>
                  <w:r>
                    <w:rPr>
                      <w:rFonts w:hint="eastAsia"/>
                      <w:color w:val="auto"/>
                    </w:rPr>
                    <w:t>院内东</w:t>
                  </w:r>
                  <w:r>
                    <w:rPr>
                      <w:color w:val="auto"/>
                    </w:rPr>
                    <w:t>侧，建筑面积约</w:t>
                  </w:r>
                  <w:r>
                    <w:rPr>
                      <w:rFonts w:hint="eastAsia"/>
                      <w:color w:val="auto"/>
                    </w:rPr>
                    <w:t>10</w:t>
                  </w:r>
                  <w:r>
                    <w:rPr>
                      <w:color w:val="auto"/>
                    </w:rPr>
                    <w:t>m</w:t>
                  </w:r>
                  <w:r>
                    <w:rPr>
                      <w:color w:val="auto"/>
                      <w:vertAlign w:val="superscript"/>
                    </w:rPr>
                    <w:t>2</w:t>
                  </w:r>
                  <w:r>
                    <w:rPr>
                      <w:color w:val="auto"/>
                    </w:rPr>
                    <w:t>。</w:t>
                  </w:r>
                </w:p>
              </w:tc>
              <w:tc>
                <w:tcPr>
                  <w:tcW w:w="994" w:type="dxa"/>
                  <w:tcBorders>
                    <w:tl2br w:val="nil"/>
                    <w:tr2bl w:val="nil"/>
                  </w:tcBorders>
                  <w:vAlign w:val="center"/>
                </w:tcPr>
                <w:p>
                  <w:pPr>
                    <w:pStyle w:val="167"/>
                    <w:adjustRightInd/>
                    <w:snapToGrid/>
                    <w:jc w:val="center"/>
                    <w:rPr>
                      <w:color w:val="auto"/>
                    </w:rPr>
                  </w:pPr>
                  <w:r>
                    <w:rPr>
                      <w:color w:val="auto"/>
                    </w:rPr>
                    <w:t>已建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restart"/>
                  <w:tcBorders>
                    <w:tl2br w:val="nil"/>
                    <w:tr2bl w:val="nil"/>
                  </w:tcBorders>
                  <w:vAlign w:val="center"/>
                </w:tcPr>
                <w:p>
                  <w:pPr>
                    <w:pStyle w:val="167"/>
                    <w:adjustRightInd/>
                    <w:snapToGrid/>
                    <w:jc w:val="center"/>
                    <w:rPr>
                      <w:color w:val="auto"/>
                    </w:rPr>
                  </w:pPr>
                  <w:r>
                    <w:rPr>
                      <w:color w:val="auto"/>
                    </w:rPr>
                    <w:t>公用</w:t>
                  </w:r>
                </w:p>
                <w:p>
                  <w:pPr>
                    <w:pStyle w:val="167"/>
                    <w:adjustRightInd/>
                    <w:snapToGrid/>
                    <w:jc w:val="center"/>
                    <w:rPr>
                      <w:color w:val="auto"/>
                    </w:rPr>
                  </w:pPr>
                  <w:r>
                    <w:rPr>
                      <w:color w:val="auto"/>
                    </w:rPr>
                    <w:t>工程</w:t>
                  </w:r>
                </w:p>
              </w:tc>
              <w:tc>
                <w:tcPr>
                  <w:tcW w:w="1166" w:type="dxa"/>
                  <w:tcBorders>
                    <w:tl2br w:val="nil"/>
                    <w:tr2bl w:val="nil"/>
                  </w:tcBorders>
                  <w:vAlign w:val="center"/>
                </w:tcPr>
                <w:p>
                  <w:pPr>
                    <w:pStyle w:val="167"/>
                    <w:adjustRightInd/>
                    <w:snapToGrid/>
                    <w:jc w:val="center"/>
                    <w:rPr>
                      <w:color w:val="auto"/>
                    </w:rPr>
                  </w:pPr>
                  <w:r>
                    <w:rPr>
                      <w:color w:val="auto"/>
                    </w:rPr>
                    <w:t>供电系统</w:t>
                  </w:r>
                </w:p>
              </w:tc>
              <w:tc>
                <w:tcPr>
                  <w:tcW w:w="6117" w:type="dxa"/>
                  <w:tcBorders>
                    <w:tl2br w:val="nil"/>
                    <w:tr2bl w:val="nil"/>
                  </w:tcBorders>
                  <w:vAlign w:val="center"/>
                </w:tcPr>
                <w:p>
                  <w:pPr>
                    <w:pStyle w:val="167"/>
                    <w:adjustRightInd/>
                    <w:snapToGrid/>
                    <w:rPr>
                      <w:color w:val="auto"/>
                    </w:rPr>
                  </w:pPr>
                  <w:r>
                    <w:rPr>
                      <w:color w:val="auto"/>
                    </w:rPr>
                    <w:t>依托市政供电。</w:t>
                  </w:r>
                </w:p>
              </w:tc>
              <w:tc>
                <w:tcPr>
                  <w:tcW w:w="994" w:type="dxa"/>
                  <w:tcBorders>
                    <w:tl2br w:val="nil"/>
                    <w:tr2bl w:val="nil"/>
                  </w:tcBorders>
                  <w:vAlign w:val="center"/>
                </w:tcPr>
                <w:p>
                  <w:pPr>
                    <w:pStyle w:val="167"/>
                    <w:adjustRightInd/>
                    <w:snapToGrid/>
                    <w:jc w:val="center"/>
                    <w:rPr>
                      <w:color w:val="auto"/>
                    </w:rPr>
                  </w:pPr>
                  <w:r>
                    <w:rPr>
                      <w:color w:val="auto"/>
                    </w:rPr>
                    <w:t>依托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continue"/>
                  <w:tcBorders>
                    <w:tl2br w:val="nil"/>
                    <w:tr2bl w:val="nil"/>
                  </w:tcBorders>
                  <w:vAlign w:val="center"/>
                </w:tcPr>
                <w:p>
                  <w:pPr>
                    <w:pStyle w:val="167"/>
                    <w:adjustRightInd/>
                    <w:snapToGrid/>
                    <w:jc w:val="center"/>
                    <w:rPr>
                      <w:color w:val="auto"/>
                    </w:rPr>
                  </w:pPr>
                </w:p>
              </w:tc>
              <w:tc>
                <w:tcPr>
                  <w:tcW w:w="1166" w:type="dxa"/>
                  <w:tcBorders>
                    <w:tl2br w:val="nil"/>
                    <w:tr2bl w:val="nil"/>
                  </w:tcBorders>
                  <w:vAlign w:val="center"/>
                </w:tcPr>
                <w:p>
                  <w:pPr>
                    <w:pStyle w:val="167"/>
                    <w:adjustRightInd/>
                    <w:snapToGrid/>
                    <w:jc w:val="center"/>
                    <w:rPr>
                      <w:color w:val="auto"/>
                    </w:rPr>
                  </w:pPr>
                  <w:r>
                    <w:rPr>
                      <w:color w:val="auto"/>
                    </w:rPr>
                    <w:t>供水系统</w:t>
                  </w:r>
                </w:p>
              </w:tc>
              <w:tc>
                <w:tcPr>
                  <w:tcW w:w="6117" w:type="dxa"/>
                  <w:tcBorders>
                    <w:tl2br w:val="nil"/>
                    <w:tr2bl w:val="nil"/>
                  </w:tcBorders>
                  <w:vAlign w:val="center"/>
                </w:tcPr>
                <w:p>
                  <w:pPr>
                    <w:pStyle w:val="167"/>
                    <w:adjustRightInd/>
                    <w:snapToGrid/>
                    <w:rPr>
                      <w:color w:val="auto"/>
                    </w:rPr>
                  </w:pPr>
                  <w:r>
                    <w:rPr>
                      <w:color w:val="auto"/>
                    </w:rPr>
                    <w:t>依托市政供水。</w:t>
                  </w:r>
                </w:p>
              </w:tc>
              <w:tc>
                <w:tcPr>
                  <w:tcW w:w="994" w:type="dxa"/>
                  <w:tcBorders>
                    <w:tl2br w:val="nil"/>
                    <w:tr2bl w:val="nil"/>
                  </w:tcBorders>
                  <w:vAlign w:val="center"/>
                </w:tcPr>
                <w:p>
                  <w:pPr>
                    <w:pStyle w:val="167"/>
                    <w:adjustRightInd/>
                    <w:snapToGrid/>
                    <w:jc w:val="center"/>
                    <w:rPr>
                      <w:color w:val="auto"/>
                    </w:rPr>
                  </w:pPr>
                  <w:r>
                    <w:rPr>
                      <w:color w:val="auto"/>
                    </w:rPr>
                    <w:t>依托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continue"/>
                  <w:tcBorders>
                    <w:tl2br w:val="nil"/>
                    <w:tr2bl w:val="nil"/>
                  </w:tcBorders>
                  <w:vAlign w:val="center"/>
                </w:tcPr>
                <w:p>
                  <w:pPr>
                    <w:pStyle w:val="167"/>
                    <w:adjustRightInd/>
                    <w:snapToGrid/>
                    <w:jc w:val="center"/>
                    <w:rPr>
                      <w:color w:val="auto"/>
                    </w:rPr>
                  </w:pPr>
                </w:p>
              </w:tc>
              <w:tc>
                <w:tcPr>
                  <w:tcW w:w="1166" w:type="dxa"/>
                  <w:tcBorders>
                    <w:tl2br w:val="nil"/>
                    <w:tr2bl w:val="nil"/>
                  </w:tcBorders>
                  <w:vAlign w:val="center"/>
                </w:tcPr>
                <w:p>
                  <w:pPr>
                    <w:pStyle w:val="167"/>
                    <w:adjustRightInd/>
                    <w:snapToGrid/>
                    <w:jc w:val="center"/>
                    <w:rPr>
                      <w:color w:val="auto"/>
                    </w:rPr>
                  </w:pPr>
                  <w:r>
                    <w:rPr>
                      <w:color w:val="auto"/>
                    </w:rPr>
                    <w:t>排水系统</w:t>
                  </w:r>
                </w:p>
              </w:tc>
              <w:tc>
                <w:tcPr>
                  <w:tcW w:w="6117" w:type="dxa"/>
                  <w:tcBorders>
                    <w:tl2br w:val="nil"/>
                    <w:tr2bl w:val="nil"/>
                  </w:tcBorders>
                  <w:vAlign w:val="center"/>
                </w:tcPr>
                <w:p>
                  <w:pPr>
                    <w:pStyle w:val="167"/>
                    <w:adjustRightInd/>
                    <w:snapToGrid/>
                    <w:rPr>
                      <w:color w:val="auto"/>
                    </w:rPr>
                  </w:pPr>
                  <w:r>
                    <w:rPr>
                      <w:color w:val="auto"/>
                    </w:rPr>
                    <w:t>采用雨污分流制。项目医疗废水经医疗废水预处理设施消毒预处理后，与生活污水、洗浴废水一起排入</w:t>
                  </w:r>
                  <w:r>
                    <w:rPr>
                      <w:rFonts w:hint="eastAsia"/>
                      <w:color w:val="auto"/>
                      <w:lang w:bidi="ar"/>
                    </w:rPr>
                    <w:t>招商锦星汇</w:t>
                  </w:r>
                  <w:r>
                    <w:rPr>
                      <w:color w:val="auto"/>
                      <w:lang w:bidi="ar"/>
                    </w:rPr>
                    <w:t>生化池</w:t>
                  </w:r>
                  <w:r>
                    <w:rPr>
                      <w:color w:val="auto"/>
                    </w:rPr>
                    <w:t>处理达《污水综合排放标准》（GB8978-1996）三级标准后接入市政污水管网排至</w:t>
                  </w:r>
                  <w:r>
                    <w:rPr>
                      <w:color w:val="auto"/>
                      <w:lang w:bidi="ar"/>
                    </w:rPr>
                    <w:t>唐家沱污水处理厂深度处理达《城镇污水处理厂污染物排放标准》（GB 18918-2002）一级A标后，尾水排入长江。</w:t>
                  </w:r>
                </w:p>
              </w:tc>
              <w:tc>
                <w:tcPr>
                  <w:tcW w:w="994" w:type="dxa"/>
                  <w:tcBorders>
                    <w:tl2br w:val="nil"/>
                    <w:tr2bl w:val="nil"/>
                  </w:tcBorders>
                  <w:vAlign w:val="center"/>
                </w:tcPr>
                <w:p>
                  <w:pPr>
                    <w:pStyle w:val="167"/>
                    <w:adjustRightInd/>
                    <w:snapToGrid/>
                    <w:jc w:val="center"/>
                    <w:rPr>
                      <w:color w:val="auto"/>
                    </w:rPr>
                  </w:pPr>
                  <w:r>
                    <w:rPr>
                      <w:color w:val="auto"/>
                    </w:rPr>
                    <w:t>依托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continue"/>
                  <w:tcBorders>
                    <w:tl2br w:val="nil"/>
                    <w:tr2bl w:val="nil"/>
                  </w:tcBorders>
                  <w:vAlign w:val="center"/>
                </w:tcPr>
                <w:p>
                  <w:pPr>
                    <w:pStyle w:val="167"/>
                    <w:adjustRightInd/>
                    <w:snapToGrid/>
                    <w:jc w:val="center"/>
                    <w:rPr>
                      <w:color w:val="auto"/>
                    </w:rPr>
                  </w:pPr>
                </w:p>
              </w:tc>
              <w:tc>
                <w:tcPr>
                  <w:tcW w:w="1166" w:type="dxa"/>
                  <w:tcBorders>
                    <w:tl2br w:val="nil"/>
                    <w:tr2bl w:val="nil"/>
                  </w:tcBorders>
                  <w:vAlign w:val="center"/>
                </w:tcPr>
                <w:p>
                  <w:pPr>
                    <w:pStyle w:val="167"/>
                    <w:adjustRightInd/>
                    <w:snapToGrid/>
                    <w:jc w:val="center"/>
                    <w:rPr>
                      <w:color w:val="auto"/>
                    </w:rPr>
                  </w:pPr>
                  <w:r>
                    <w:rPr>
                      <w:color w:val="auto"/>
                    </w:rPr>
                    <w:t>通风</w:t>
                  </w:r>
                </w:p>
              </w:tc>
              <w:tc>
                <w:tcPr>
                  <w:tcW w:w="6117" w:type="dxa"/>
                  <w:tcBorders>
                    <w:tl2br w:val="nil"/>
                    <w:tr2bl w:val="nil"/>
                  </w:tcBorders>
                  <w:vAlign w:val="center"/>
                </w:tcPr>
                <w:p>
                  <w:pPr>
                    <w:pStyle w:val="167"/>
                    <w:rPr>
                      <w:color w:val="auto"/>
                    </w:rPr>
                  </w:pPr>
                  <w:r>
                    <w:rPr>
                      <w:color w:val="auto"/>
                      <w:szCs w:val="21"/>
                    </w:rPr>
                    <w:t>采用自然通风和新风系统结合的形式，新风系统设1个排风口。</w:t>
                  </w:r>
                </w:p>
              </w:tc>
              <w:tc>
                <w:tcPr>
                  <w:tcW w:w="994" w:type="dxa"/>
                  <w:tcBorders>
                    <w:tl2br w:val="nil"/>
                    <w:tr2bl w:val="nil"/>
                  </w:tcBorders>
                  <w:vAlign w:val="center"/>
                </w:tcPr>
                <w:p>
                  <w:pPr>
                    <w:pStyle w:val="167"/>
                    <w:adjustRightInd/>
                    <w:snapToGrid/>
                    <w:jc w:val="center"/>
                    <w:rPr>
                      <w:color w:val="auto"/>
                    </w:rPr>
                  </w:pPr>
                  <w:r>
                    <w:rPr>
                      <w:color w:val="auto"/>
                    </w:rPr>
                    <w:t>已建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continue"/>
                  <w:tcBorders>
                    <w:tl2br w:val="nil"/>
                    <w:tr2bl w:val="nil"/>
                  </w:tcBorders>
                  <w:vAlign w:val="center"/>
                </w:tcPr>
                <w:p>
                  <w:pPr>
                    <w:pStyle w:val="167"/>
                    <w:adjustRightInd/>
                    <w:snapToGrid/>
                    <w:jc w:val="center"/>
                    <w:rPr>
                      <w:color w:val="auto"/>
                    </w:rPr>
                  </w:pPr>
                </w:p>
              </w:tc>
              <w:tc>
                <w:tcPr>
                  <w:tcW w:w="1166" w:type="dxa"/>
                  <w:tcBorders>
                    <w:tl2br w:val="nil"/>
                    <w:tr2bl w:val="nil"/>
                  </w:tcBorders>
                  <w:vAlign w:val="center"/>
                </w:tcPr>
                <w:p>
                  <w:pPr>
                    <w:pStyle w:val="167"/>
                    <w:adjustRightInd/>
                    <w:snapToGrid/>
                    <w:jc w:val="center"/>
                    <w:rPr>
                      <w:color w:val="auto"/>
                    </w:rPr>
                  </w:pPr>
                  <w:r>
                    <w:rPr>
                      <w:color w:val="auto"/>
                    </w:rPr>
                    <w:t>消毒系统</w:t>
                  </w:r>
                </w:p>
              </w:tc>
              <w:tc>
                <w:tcPr>
                  <w:tcW w:w="6117" w:type="dxa"/>
                  <w:tcBorders>
                    <w:tl2br w:val="nil"/>
                    <w:tr2bl w:val="nil"/>
                  </w:tcBorders>
                  <w:vAlign w:val="center"/>
                </w:tcPr>
                <w:p>
                  <w:pPr>
                    <w:pStyle w:val="167"/>
                    <w:adjustRightInd/>
                    <w:snapToGrid/>
                    <w:rPr>
                      <w:color w:val="auto"/>
                    </w:rPr>
                  </w:pPr>
                  <w:r>
                    <w:rPr>
                      <w:rFonts w:hint="eastAsia" w:ascii="宋体" w:hAnsi="宋体" w:cs="宋体"/>
                      <w:color w:val="auto"/>
                      <w:kern w:val="0"/>
                      <w:szCs w:val="21"/>
                    </w:rPr>
                    <w:t>①</w:t>
                  </w:r>
                  <w:r>
                    <w:rPr>
                      <w:color w:val="auto"/>
                    </w:rPr>
                    <w:t>医疗器械、玻璃器皿等采用</w:t>
                  </w:r>
                  <w:r>
                    <w:rPr>
                      <w:color w:val="auto"/>
                      <w:kern w:val="0"/>
                      <w:szCs w:val="21"/>
                    </w:rPr>
                    <w:t>立式压力蒸汽灭菌锅</w:t>
                  </w:r>
                  <w:r>
                    <w:rPr>
                      <w:color w:val="auto"/>
                    </w:rPr>
                    <w:t>消毒；</w:t>
                  </w:r>
                </w:p>
                <w:p>
                  <w:pPr>
                    <w:pStyle w:val="167"/>
                    <w:adjustRightInd/>
                    <w:snapToGrid/>
                    <w:rPr>
                      <w:color w:val="auto"/>
                    </w:rPr>
                  </w:pPr>
                  <w:r>
                    <w:rPr>
                      <w:rFonts w:hint="eastAsia" w:ascii="宋体" w:hAnsi="宋体" w:cs="宋体"/>
                      <w:color w:val="auto"/>
                      <w:kern w:val="0"/>
                      <w:szCs w:val="21"/>
                    </w:rPr>
                    <w:t>②</w:t>
                  </w:r>
                  <w:r>
                    <w:rPr>
                      <w:color w:val="auto"/>
                    </w:rPr>
                    <w:t>公共区域、危险废物贮存点采用紫外线灯消毒、喷洒84消毒液等消毒方式；</w:t>
                  </w:r>
                </w:p>
                <w:p>
                  <w:pPr>
                    <w:pStyle w:val="167"/>
                    <w:adjustRightInd/>
                    <w:snapToGrid/>
                    <w:rPr>
                      <w:color w:val="auto"/>
                    </w:rPr>
                  </w:pPr>
                  <w:r>
                    <w:rPr>
                      <w:rFonts w:hint="eastAsia" w:ascii="宋体" w:hAnsi="宋体" w:cs="宋体"/>
                      <w:color w:val="auto"/>
                    </w:rPr>
                    <w:t>③</w:t>
                  </w:r>
                  <w:r>
                    <w:rPr>
                      <w:color w:val="auto"/>
                    </w:rPr>
                    <w:t>医疗废水采用医疗废水预处理设施（投加二氧化氯消毒片）消毒。</w:t>
                  </w:r>
                </w:p>
              </w:tc>
              <w:tc>
                <w:tcPr>
                  <w:tcW w:w="994" w:type="dxa"/>
                  <w:tcBorders>
                    <w:tl2br w:val="nil"/>
                    <w:tr2bl w:val="nil"/>
                  </w:tcBorders>
                  <w:vAlign w:val="center"/>
                </w:tcPr>
                <w:p>
                  <w:pPr>
                    <w:pStyle w:val="167"/>
                    <w:adjustRightInd/>
                    <w:snapToGrid/>
                    <w:jc w:val="center"/>
                    <w:rPr>
                      <w:color w:val="auto"/>
                    </w:rPr>
                  </w:pPr>
                  <w:r>
                    <w:rPr>
                      <w:color w:val="auto"/>
                    </w:rPr>
                    <w:t>已建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restart"/>
                  <w:tcBorders>
                    <w:tl2br w:val="nil"/>
                    <w:tr2bl w:val="nil"/>
                  </w:tcBorders>
                  <w:vAlign w:val="center"/>
                </w:tcPr>
                <w:p>
                  <w:pPr>
                    <w:pStyle w:val="167"/>
                    <w:adjustRightInd/>
                    <w:snapToGrid/>
                    <w:jc w:val="center"/>
                    <w:rPr>
                      <w:color w:val="auto"/>
                    </w:rPr>
                  </w:pPr>
                  <w:r>
                    <w:rPr>
                      <w:color w:val="auto"/>
                    </w:rPr>
                    <w:t>环保工程</w:t>
                  </w:r>
                </w:p>
              </w:tc>
              <w:tc>
                <w:tcPr>
                  <w:tcW w:w="1166" w:type="dxa"/>
                  <w:tcBorders>
                    <w:tl2br w:val="nil"/>
                    <w:tr2bl w:val="nil"/>
                  </w:tcBorders>
                  <w:vAlign w:val="center"/>
                </w:tcPr>
                <w:p>
                  <w:pPr>
                    <w:pStyle w:val="167"/>
                    <w:adjustRightInd/>
                    <w:snapToGrid/>
                    <w:jc w:val="center"/>
                    <w:rPr>
                      <w:color w:val="auto"/>
                    </w:rPr>
                  </w:pPr>
                  <w:r>
                    <w:rPr>
                      <w:color w:val="auto"/>
                    </w:rPr>
                    <w:t>废气</w:t>
                  </w:r>
                </w:p>
              </w:tc>
              <w:tc>
                <w:tcPr>
                  <w:tcW w:w="6117" w:type="dxa"/>
                  <w:tcBorders>
                    <w:tl2br w:val="nil"/>
                    <w:tr2bl w:val="nil"/>
                  </w:tcBorders>
                  <w:vAlign w:val="center"/>
                </w:tcPr>
                <w:p>
                  <w:pPr>
                    <w:pStyle w:val="167"/>
                    <w:adjustRightInd/>
                    <w:snapToGrid/>
                    <w:rPr>
                      <w:color w:val="auto"/>
                      <w:highlight w:val="none"/>
                    </w:rPr>
                  </w:pPr>
                  <w:r>
                    <w:rPr>
                      <w:color w:val="auto"/>
                      <w:highlight w:val="none"/>
                    </w:rPr>
                    <w:t>采用自然通风和</w:t>
                  </w:r>
                  <w:r>
                    <w:rPr>
                      <w:rFonts w:hint="eastAsia"/>
                      <w:color w:val="auto"/>
                      <w:highlight w:val="none"/>
                    </w:rPr>
                    <w:t>新风系统</w:t>
                  </w:r>
                  <w:r>
                    <w:rPr>
                      <w:color w:val="auto"/>
                      <w:highlight w:val="none"/>
                    </w:rPr>
                    <w:t>结合的形式进行通风；</w:t>
                  </w:r>
                  <w:r>
                    <w:rPr>
                      <w:rFonts w:hint="eastAsia"/>
                      <w:color w:val="auto"/>
                      <w:highlight w:val="none"/>
                    </w:rPr>
                    <w:t>医院</w:t>
                  </w:r>
                  <w:r>
                    <w:rPr>
                      <w:color w:val="auto"/>
                      <w:highlight w:val="none"/>
                    </w:rPr>
                    <w:t>设有紫外线灯管消毒杀菌；每天使用84消毒液对医院进行消毒。</w:t>
                  </w:r>
                </w:p>
              </w:tc>
              <w:tc>
                <w:tcPr>
                  <w:tcW w:w="994" w:type="dxa"/>
                  <w:tcBorders>
                    <w:tl2br w:val="nil"/>
                    <w:tr2bl w:val="nil"/>
                  </w:tcBorders>
                  <w:vAlign w:val="center"/>
                </w:tcPr>
                <w:p>
                  <w:pPr>
                    <w:pStyle w:val="167"/>
                    <w:adjustRightInd/>
                    <w:snapToGrid/>
                    <w:jc w:val="center"/>
                    <w:rPr>
                      <w:color w:val="auto"/>
                    </w:rPr>
                  </w:pPr>
                  <w:r>
                    <w:rPr>
                      <w:color w:val="auto"/>
                    </w:rPr>
                    <w:t>已建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continue"/>
                  <w:tcBorders>
                    <w:tl2br w:val="nil"/>
                    <w:tr2bl w:val="nil"/>
                  </w:tcBorders>
                  <w:vAlign w:val="center"/>
                </w:tcPr>
                <w:p>
                  <w:pPr>
                    <w:pStyle w:val="167"/>
                    <w:adjustRightInd/>
                    <w:snapToGrid/>
                    <w:jc w:val="center"/>
                    <w:rPr>
                      <w:color w:val="auto"/>
                    </w:rPr>
                  </w:pPr>
                </w:p>
              </w:tc>
              <w:tc>
                <w:tcPr>
                  <w:tcW w:w="1166" w:type="dxa"/>
                  <w:tcBorders>
                    <w:tl2br w:val="nil"/>
                    <w:tr2bl w:val="nil"/>
                  </w:tcBorders>
                  <w:vAlign w:val="center"/>
                </w:tcPr>
                <w:p>
                  <w:pPr>
                    <w:pStyle w:val="167"/>
                    <w:adjustRightInd/>
                    <w:snapToGrid/>
                    <w:jc w:val="center"/>
                    <w:rPr>
                      <w:color w:val="auto"/>
                    </w:rPr>
                  </w:pPr>
                  <w:r>
                    <w:rPr>
                      <w:color w:val="auto"/>
                    </w:rPr>
                    <w:t>废水</w:t>
                  </w:r>
                </w:p>
              </w:tc>
              <w:tc>
                <w:tcPr>
                  <w:tcW w:w="6117" w:type="dxa"/>
                  <w:tcBorders>
                    <w:tl2br w:val="nil"/>
                    <w:tr2bl w:val="nil"/>
                  </w:tcBorders>
                  <w:vAlign w:val="center"/>
                </w:tcPr>
                <w:p>
                  <w:pPr>
                    <w:pStyle w:val="167"/>
                    <w:adjustRightInd/>
                    <w:snapToGrid/>
                    <w:rPr>
                      <w:color w:val="auto"/>
                    </w:rPr>
                  </w:pPr>
                  <w:r>
                    <w:rPr>
                      <w:color w:val="auto"/>
                    </w:rPr>
                    <w:t>设置1</w:t>
                  </w:r>
                  <w:r>
                    <w:rPr>
                      <w:rFonts w:hint="eastAsia"/>
                      <w:color w:val="auto"/>
                    </w:rPr>
                    <w:t>套</w:t>
                  </w:r>
                  <w:r>
                    <w:rPr>
                      <w:color w:val="auto"/>
                    </w:rPr>
                    <w:t>医疗废水预处理设施，位于化验室，处理能力约为</w:t>
                  </w:r>
                  <w:r>
                    <w:rPr>
                      <w:rFonts w:hint="eastAsia"/>
                      <w:color w:val="auto"/>
                    </w:rPr>
                    <w:t>0.5</w:t>
                  </w:r>
                  <w:r>
                    <w:rPr>
                      <w:color w:val="auto"/>
                    </w:rPr>
                    <w:t>m</w:t>
                  </w:r>
                  <w:r>
                    <w:rPr>
                      <w:color w:val="auto"/>
                      <w:vertAlign w:val="superscript"/>
                    </w:rPr>
                    <w:t>3</w:t>
                  </w:r>
                  <w:r>
                    <w:rPr>
                      <w:color w:val="auto"/>
                    </w:rPr>
                    <w:t>/d。</w:t>
                  </w:r>
                  <w:r>
                    <w:rPr>
                      <w:color w:val="auto"/>
                      <w:lang w:bidi="ar"/>
                    </w:rPr>
                    <w:t>项目医疗废水经预处理设施消毒预处理后</w:t>
                  </w:r>
                  <w:r>
                    <w:rPr>
                      <w:color w:val="auto"/>
                    </w:rPr>
                    <w:t>，</w:t>
                  </w:r>
                  <w:r>
                    <w:rPr>
                      <w:color w:val="auto"/>
                      <w:lang w:bidi="ar"/>
                    </w:rPr>
                    <w:t>与生活污水、洗浴废水一起排入</w:t>
                  </w:r>
                  <w:r>
                    <w:rPr>
                      <w:rFonts w:hint="eastAsia"/>
                      <w:color w:val="auto"/>
                      <w:lang w:bidi="ar"/>
                    </w:rPr>
                    <w:t>招商锦星汇</w:t>
                  </w:r>
                  <w:r>
                    <w:rPr>
                      <w:color w:val="auto"/>
                      <w:lang w:bidi="ar"/>
                    </w:rPr>
                    <w:t>生化池处理达《污水综合排放标准》（GB 8978-1996）三级标准后接入市政污水管网排至唐家沱污水处理厂深度处理达《城镇污水处理厂污染物排放标准》（GB 18918-2002）一级A标后，尾水排入长江。</w:t>
                  </w:r>
                </w:p>
              </w:tc>
              <w:tc>
                <w:tcPr>
                  <w:tcW w:w="994" w:type="dxa"/>
                  <w:tcBorders>
                    <w:tl2br w:val="nil"/>
                    <w:tr2bl w:val="nil"/>
                  </w:tcBorders>
                  <w:vAlign w:val="center"/>
                </w:tcPr>
                <w:p>
                  <w:pPr>
                    <w:pStyle w:val="167"/>
                    <w:adjustRightInd/>
                    <w:snapToGrid/>
                    <w:jc w:val="center"/>
                    <w:rPr>
                      <w:color w:val="auto"/>
                    </w:rPr>
                  </w:pPr>
                  <w:r>
                    <w:rPr>
                      <w:color w:val="auto"/>
                    </w:rPr>
                    <w:t>已建、依托生化池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continue"/>
                  <w:tcBorders>
                    <w:tl2br w:val="nil"/>
                    <w:tr2bl w:val="nil"/>
                  </w:tcBorders>
                  <w:vAlign w:val="center"/>
                </w:tcPr>
                <w:p>
                  <w:pPr>
                    <w:pStyle w:val="167"/>
                    <w:adjustRightInd/>
                    <w:snapToGrid/>
                    <w:jc w:val="center"/>
                    <w:rPr>
                      <w:color w:val="auto"/>
                    </w:rPr>
                  </w:pPr>
                </w:p>
              </w:tc>
              <w:tc>
                <w:tcPr>
                  <w:tcW w:w="1166" w:type="dxa"/>
                  <w:tcBorders>
                    <w:tl2br w:val="nil"/>
                    <w:tr2bl w:val="nil"/>
                  </w:tcBorders>
                  <w:vAlign w:val="center"/>
                </w:tcPr>
                <w:p>
                  <w:pPr>
                    <w:pStyle w:val="167"/>
                    <w:adjustRightInd/>
                    <w:snapToGrid/>
                    <w:jc w:val="center"/>
                    <w:rPr>
                      <w:color w:val="auto"/>
                    </w:rPr>
                  </w:pPr>
                  <w:r>
                    <w:rPr>
                      <w:color w:val="auto"/>
                    </w:rPr>
                    <w:t>噪声</w:t>
                  </w:r>
                </w:p>
              </w:tc>
              <w:tc>
                <w:tcPr>
                  <w:tcW w:w="6117" w:type="dxa"/>
                  <w:tcBorders>
                    <w:tl2br w:val="nil"/>
                    <w:tr2bl w:val="nil"/>
                  </w:tcBorders>
                  <w:vAlign w:val="center"/>
                </w:tcPr>
                <w:p>
                  <w:pPr>
                    <w:pStyle w:val="167"/>
                    <w:adjustRightInd/>
                    <w:snapToGrid/>
                    <w:rPr>
                      <w:color w:val="auto"/>
                    </w:rPr>
                  </w:pPr>
                  <w:r>
                    <w:rPr>
                      <w:rFonts w:hint="eastAsia" w:ascii="宋体" w:hAnsi="宋体" w:cs="宋体"/>
                      <w:color w:val="auto"/>
                    </w:rPr>
                    <w:t>①</w:t>
                  </w:r>
                  <w:r>
                    <w:rPr>
                      <w:color w:val="auto"/>
                    </w:rPr>
                    <w:t>设备噪声：选用低噪声设备、合理布置、建筑隔声、距离衰减等降噪措施；</w:t>
                  </w:r>
                </w:p>
                <w:p>
                  <w:pPr>
                    <w:pStyle w:val="167"/>
                    <w:adjustRightInd/>
                    <w:snapToGrid/>
                    <w:rPr>
                      <w:color w:val="auto"/>
                    </w:rPr>
                  </w:pPr>
                  <w:r>
                    <w:rPr>
                      <w:rFonts w:hint="eastAsia" w:ascii="宋体" w:hAnsi="宋体" w:cs="宋体"/>
                      <w:color w:val="auto"/>
                    </w:rPr>
                    <w:t>②</w:t>
                  </w:r>
                  <w:r>
                    <w:rPr>
                      <w:color w:val="auto"/>
                    </w:rPr>
                    <w:t>宠物噪声：利用建筑隔声，加强管理，保证门窗为常闭状态，同时按时投喂避免宠物处于饥饿状态。</w:t>
                  </w:r>
                </w:p>
              </w:tc>
              <w:tc>
                <w:tcPr>
                  <w:tcW w:w="994" w:type="dxa"/>
                  <w:tcBorders>
                    <w:tl2br w:val="nil"/>
                    <w:tr2bl w:val="nil"/>
                  </w:tcBorders>
                  <w:vAlign w:val="center"/>
                </w:tcPr>
                <w:p>
                  <w:pPr>
                    <w:pStyle w:val="167"/>
                    <w:adjustRightInd/>
                    <w:snapToGrid/>
                    <w:jc w:val="center"/>
                    <w:rPr>
                      <w:color w:val="auto"/>
                    </w:rPr>
                  </w:pPr>
                  <w:r>
                    <w:rPr>
                      <w:color w:val="auto"/>
                    </w:rPr>
                    <w:t>已建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continue"/>
                  <w:tcBorders>
                    <w:tl2br w:val="nil"/>
                    <w:tr2bl w:val="nil"/>
                  </w:tcBorders>
                  <w:vAlign w:val="center"/>
                </w:tcPr>
                <w:p>
                  <w:pPr>
                    <w:pStyle w:val="167"/>
                    <w:adjustRightInd/>
                    <w:snapToGrid/>
                    <w:jc w:val="center"/>
                    <w:rPr>
                      <w:color w:val="auto"/>
                    </w:rPr>
                  </w:pPr>
                </w:p>
              </w:tc>
              <w:tc>
                <w:tcPr>
                  <w:tcW w:w="1166" w:type="dxa"/>
                  <w:vMerge w:val="restart"/>
                  <w:tcBorders>
                    <w:tl2br w:val="nil"/>
                    <w:tr2bl w:val="nil"/>
                  </w:tcBorders>
                  <w:vAlign w:val="center"/>
                </w:tcPr>
                <w:p>
                  <w:pPr>
                    <w:pStyle w:val="167"/>
                    <w:adjustRightInd/>
                    <w:snapToGrid/>
                    <w:jc w:val="center"/>
                    <w:rPr>
                      <w:color w:val="auto"/>
                    </w:rPr>
                  </w:pPr>
                  <w:r>
                    <w:rPr>
                      <w:color w:val="auto"/>
                    </w:rPr>
                    <w:t>固废</w:t>
                  </w:r>
                </w:p>
              </w:tc>
              <w:tc>
                <w:tcPr>
                  <w:tcW w:w="6117" w:type="dxa"/>
                  <w:tcBorders>
                    <w:tl2br w:val="nil"/>
                    <w:tr2bl w:val="nil"/>
                  </w:tcBorders>
                  <w:vAlign w:val="center"/>
                </w:tcPr>
                <w:p>
                  <w:pPr>
                    <w:pStyle w:val="167"/>
                    <w:adjustRightInd/>
                    <w:snapToGrid/>
                    <w:rPr>
                      <w:color w:val="auto"/>
                      <w:kern w:val="0"/>
                      <w:highlight w:val="none"/>
                    </w:rPr>
                  </w:pPr>
                  <w:r>
                    <w:rPr>
                      <w:rFonts w:hint="eastAsia"/>
                      <w:color w:val="auto"/>
                      <w:kern w:val="0"/>
                      <w:highlight w:val="none"/>
                    </w:rPr>
                    <w:t>设1处</w:t>
                  </w:r>
                  <w:r>
                    <w:rPr>
                      <w:color w:val="auto"/>
                      <w:kern w:val="0"/>
                      <w:highlight w:val="none"/>
                    </w:rPr>
                    <w:t>危险废物贮存点</w:t>
                  </w:r>
                  <w:r>
                    <w:rPr>
                      <w:rFonts w:hint="eastAsia"/>
                      <w:color w:val="auto"/>
                      <w:kern w:val="0"/>
                      <w:highlight w:val="none"/>
                    </w:rPr>
                    <w:t>，位于院内东</w:t>
                  </w:r>
                  <w:r>
                    <w:rPr>
                      <w:color w:val="auto"/>
                      <w:kern w:val="0"/>
                      <w:highlight w:val="none"/>
                    </w:rPr>
                    <w:t>侧，建筑面积约2m</w:t>
                  </w:r>
                  <w:r>
                    <w:rPr>
                      <w:color w:val="auto"/>
                      <w:kern w:val="0"/>
                      <w:highlight w:val="none"/>
                      <w:vertAlign w:val="superscript"/>
                    </w:rPr>
                    <w:t>2</w:t>
                  </w:r>
                  <w:r>
                    <w:rPr>
                      <w:rFonts w:hint="eastAsia"/>
                      <w:color w:val="auto"/>
                      <w:kern w:val="0"/>
                      <w:highlight w:val="none"/>
                    </w:rPr>
                    <w:t>，用于暂存医疗废物和废紫外线灯管等危险废物，贮存点</w:t>
                  </w:r>
                  <w:r>
                    <w:rPr>
                      <w:color w:val="auto"/>
                      <w:szCs w:val="21"/>
                      <w:highlight w:val="none"/>
                    </w:rPr>
                    <w:t>严格按照《危险废物贮存污染控制标准》（GB 18597-2023）中的要求设置，同时按照《危险废物识别标志设置技术规范》（HJ1276-2022）设置危险废物标识标牌。</w:t>
                  </w:r>
                  <w:r>
                    <w:rPr>
                      <w:rFonts w:hint="eastAsia"/>
                      <w:color w:val="auto"/>
                      <w:kern w:val="0"/>
                      <w:highlight w:val="none"/>
                    </w:rPr>
                    <w:t>贮存点内医疗废物和废紫外线灯管进行分区贮存。</w:t>
                  </w:r>
                </w:p>
                <w:p>
                  <w:pPr>
                    <w:pStyle w:val="167"/>
                    <w:adjustRightInd/>
                    <w:snapToGrid/>
                    <w:rPr>
                      <w:color w:val="auto"/>
                      <w:highlight w:val="none"/>
                    </w:rPr>
                  </w:pPr>
                  <w:r>
                    <w:rPr>
                      <w:color w:val="auto"/>
                      <w:highlight w:val="none"/>
                    </w:rPr>
                    <w:t>医疗废物：在</w:t>
                  </w:r>
                  <w:r>
                    <w:rPr>
                      <w:color w:val="auto"/>
                      <w:kern w:val="0"/>
                      <w:highlight w:val="none"/>
                    </w:rPr>
                    <w:t>诊室、</w:t>
                  </w:r>
                  <w:r>
                    <w:rPr>
                      <w:color w:val="auto"/>
                      <w:highlight w:val="none"/>
                    </w:rPr>
                    <w:t>手术室、住院部等</w:t>
                  </w:r>
                  <w:r>
                    <w:rPr>
                      <w:rFonts w:hint="eastAsia"/>
                      <w:color w:val="auto"/>
                      <w:highlight w:val="none"/>
                    </w:rPr>
                    <w:t>产生点设</w:t>
                  </w:r>
                  <w:r>
                    <w:rPr>
                      <w:color w:val="auto"/>
                      <w:szCs w:val="21"/>
                      <w:highlight w:val="none"/>
                    </w:rPr>
                    <w:t>医疗废物专用</w:t>
                  </w:r>
                  <w:r>
                    <w:rPr>
                      <w:rFonts w:hint="eastAsia"/>
                      <w:color w:val="auto"/>
                      <w:szCs w:val="21"/>
                      <w:highlight w:val="none"/>
                    </w:rPr>
                    <w:t>收集桶，</w:t>
                  </w:r>
                  <w:r>
                    <w:rPr>
                      <w:color w:val="auto"/>
                      <w:szCs w:val="21"/>
                      <w:highlight w:val="none"/>
                    </w:rPr>
                    <w:t>分类收集</w:t>
                  </w:r>
                  <w:r>
                    <w:rPr>
                      <w:color w:val="auto"/>
                      <w:highlight w:val="none"/>
                    </w:rPr>
                    <w:t>后</w:t>
                  </w:r>
                  <w:r>
                    <w:rPr>
                      <w:color w:val="auto"/>
                      <w:kern w:val="0"/>
                      <w:highlight w:val="none"/>
                    </w:rPr>
                    <w:t>暂存于危险废</w:t>
                  </w:r>
                  <w:r>
                    <w:rPr>
                      <w:color w:val="auto"/>
                      <w:highlight w:val="none"/>
                    </w:rPr>
                    <w:t>物贮存点，定期交资质单位处置；</w:t>
                  </w:r>
                </w:p>
                <w:p>
                  <w:pPr>
                    <w:pStyle w:val="167"/>
                    <w:adjustRightInd/>
                    <w:snapToGrid/>
                    <w:rPr>
                      <w:color w:val="auto"/>
                      <w:highlight w:val="none"/>
                    </w:rPr>
                  </w:pPr>
                  <w:r>
                    <w:rPr>
                      <w:color w:val="auto"/>
                      <w:highlight w:val="none"/>
                    </w:rPr>
                    <w:t>废</w:t>
                  </w:r>
                  <w:r>
                    <w:rPr>
                      <w:color w:val="auto"/>
                      <w:kern w:val="0"/>
                      <w:highlight w:val="none"/>
                    </w:rPr>
                    <w:t>紫外灯管：</w:t>
                  </w:r>
                  <w:r>
                    <w:rPr>
                      <w:rFonts w:hint="eastAsia"/>
                      <w:color w:val="auto"/>
                      <w:kern w:val="0"/>
                      <w:highlight w:val="none"/>
                    </w:rPr>
                    <w:t>采用包装桶收集后</w:t>
                  </w:r>
                  <w:r>
                    <w:rPr>
                      <w:color w:val="auto"/>
                      <w:kern w:val="0"/>
                      <w:highlight w:val="none"/>
                    </w:rPr>
                    <w:t>暂存于危险废物贮存点，定期交资质单位处置。</w:t>
                  </w:r>
                </w:p>
              </w:tc>
              <w:tc>
                <w:tcPr>
                  <w:tcW w:w="994" w:type="dxa"/>
                  <w:tcBorders>
                    <w:tl2br w:val="nil"/>
                    <w:tr2bl w:val="nil"/>
                  </w:tcBorders>
                  <w:vAlign w:val="center"/>
                </w:tcPr>
                <w:p>
                  <w:pPr>
                    <w:pStyle w:val="167"/>
                    <w:adjustRightInd/>
                    <w:snapToGrid/>
                    <w:rPr>
                      <w:color w:val="auto"/>
                    </w:rPr>
                  </w:pPr>
                  <w:r>
                    <w:rPr>
                      <w:color w:val="auto"/>
                    </w:rPr>
                    <w:t>新建危险废物贮存点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continue"/>
                  <w:tcBorders>
                    <w:tl2br w:val="nil"/>
                    <w:tr2bl w:val="nil"/>
                  </w:tcBorders>
                  <w:vAlign w:val="center"/>
                </w:tcPr>
                <w:p>
                  <w:pPr>
                    <w:pStyle w:val="167"/>
                    <w:adjustRightInd/>
                    <w:snapToGrid/>
                    <w:jc w:val="center"/>
                    <w:rPr>
                      <w:color w:val="auto"/>
                    </w:rPr>
                  </w:pPr>
                </w:p>
              </w:tc>
              <w:tc>
                <w:tcPr>
                  <w:tcW w:w="1166" w:type="dxa"/>
                  <w:vMerge w:val="continue"/>
                  <w:tcBorders>
                    <w:tl2br w:val="nil"/>
                    <w:tr2bl w:val="nil"/>
                  </w:tcBorders>
                  <w:vAlign w:val="center"/>
                </w:tcPr>
                <w:p>
                  <w:pPr>
                    <w:pStyle w:val="167"/>
                    <w:adjustRightInd/>
                    <w:snapToGrid/>
                    <w:jc w:val="center"/>
                    <w:rPr>
                      <w:color w:val="auto"/>
                    </w:rPr>
                  </w:pPr>
                </w:p>
              </w:tc>
              <w:tc>
                <w:tcPr>
                  <w:tcW w:w="6117" w:type="dxa"/>
                  <w:tcBorders>
                    <w:tl2br w:val="nil"/>
                    <w:tr2bl w:val="nil"/>
                  </w:tcBorders>
                  <w:vAlign w:val="center"/>
                </w:tcPr>
                <w:p>
                  <w:pPr>
                    <w:pStyle w:val="167"/>
                    <w:adjustRightInd/>
                    <w:snapToGrid/>
                    <w:rPr>
                      <w:color w:val="auto"/>
                      <w:kern w:val="0"/>
                      <w:highlight w:val="none"/>
                    </w:rPr>
                  </w:pPr>
                  <w:r>
                    <w:rPr>
                      <w:color w:val="auto"/>
                      <w:kern w:val="0"/>
                      <w:highlight w:val="none"/>
                    </w:rPr>
                    <w:t>动物尸体：交有资质单位进行无害化处置</w:t>
                  </w:r>
                  <w:r>
                    <w:rPr>
                      <w:rFonts w:hint="eastAsia"/>
                      <w:color w:val="auto"/>
                      <w:kern w:val="0"/>
                      <w:highlight w:val="none"/>
                    </w:rPr>
                    <w:t>。</w:t>
                  </w:r>
                </w:p>
              </w:tc>
              <w:tc>
                <w:tcPr>
                  <w:tcW w:w="994" w:type="dxa"/>
                  <w:tcBorders>
                    <w:tl2br w:val="nil"/>
                    <w:tr2bl w:val="nil"/>
                  </w:tcBorders>
                  <w:vAlign w:val="center"/>
                </w:tcPr>
                <w:p>
                  <w:pPr>
                    <w:pStyle w:val="167"/>
                    <w:adjustRightInd/>
                    <w:snapToGrid/>
                    <w:jc w:val="center"/>
                    <w:rPr>
                      <w:color w:val="auto"/>
                      <w:kern w:val="0"/>
                    </w:rPr>
                  </w:pPr>
                  <w:r>
                    <w:rPr>
                      <w:color w:val="auto"/>
                    </w:rPr>
                    <w:t>已建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743" w:type="dxa"/>
                  <w:vMerge w:val="continue"/>
                  <w:tcBorders>
                    <w:tl2br w:val="nil"/>
                    <w:tr2bl w:val="nil"/>
                  </w:tcBorders>
                  <w:vAlign w:val="center"/>
                </w:tcPr>
                <w:p>
                  <w:pPr>
                    <w:pStyle w:val="167"/>
                    <w:adjustRightInd/>
                    <w:snapToGrid/>
                    <w:jc w:val="center"/>
                    <w:rPr>
                      <w:color w:val="auto"/>
                    </w:rPr>
                  </w:pPr>
                </w:p>
              </w:tc>
              <w:tc>
                <w:tcPr>
                  <w:tcW w:w="1166" w:type="dxa"/>
                  <w:vMerge w:val="continue"/>
                  <w:tcBorders>
                    <w:tl2br w:val="nil"/>
                    <w:tr2bl w:val="nil"/>
                  </w:tcBorders>
                  <w:vAlign w:val="center"/>
                </w:tcPr>
                <w:p>
                  <w:pPr>
                    <w:pStyle w:val="167"/>
                    <w:adjustRightInd/>
                    <w:snapToGrid/>
                    <w:jc w:val="center"/>
                    <w:rPr>
                      <w:color w:val="auto"/>
                    </w:rPr>
                  </w:pPr>
                </w:p>
              </w:tc>
              <w:tc>
                <w:tcPr>
                  <w:tcW w:w="6117" w:type="dxa"/>
                  <w:tcBorders>
                    <w:tl2br w:val="nil"/>
                    <w:tr2bl w:val="nil"/>
                  </w:tcBorders>
                  <w:vAlign w:val="center"/>
                </w:tcPr>
                <w:p>
                  <w:pPr>
                    <w:pStyle w:val="167"/>
                    <w:adjustRightInd/>
                    <w:snapToGrid/>
                    <w:rPr>
                      <w:color w:val="auto"/>
                      <w:kern w:val="0"/>
                    </w:rPr>
                  </w:pPr>
                  <w:r>
                    <w:rPr>
                      <w:color w:val="auto"/>
                      <w:kern w:val="0"/>
                    </w:rPr>
                    <w:t>动物粪便：</w:t>
                  </w:r>
                  <w:r>
                    <w:rPr>
                      <w:rFonts w:hint="eastAsia"/>
                      <w:color w:val="auto"/>
                      <w:kern w:val="0"/>
                    </w:rPr>
                    <w:t>84消毒液喷洒后</w:t>
                  </w:r>
                  <w:r>
                    <w:rPr>
                      <w:color w:val="auto"/>
                      <w:kern w:val="0"/>
                    </w:rPr>
                    <w:t>交市政环卫部门统一处置；</w:t>
                  </w:r>
                </w:p>
                <w:p>
                  <w:pPr>
                    <w:pStyle w:val="167"/>
                    <w:adjustRightInd/>
                    <w:snapToGrid/>
                    <w:rPr>
                      <w:color w:val="auto"/>
                      <w:kern w:val="0"/>
                    </w:rPr>
                  </w:pPr>
                  <w:r>
                    <w:rPr>
                      <w:color w:val="auto"/>
                      <w:kern w:val="0"/>
                    </w:rPr>
                    <w:t>生活垃圾、动物毛发：在医院内设置生活垃圾收集桶，收集后交市政环卫部门统一处置。</w:t>
                  </w:r>
                </w:p>
              </w:tc>
              <w:tc>
                <w:tcPr>
                  <w:tcW w:w="994" w:type="dxa"/>
                  <w:tcBorders>
                    <w:tl2br w:val="nil"/>
                    <w:tr2bl w:val="nil"/>
                  </w:tcBorders>
                  <w:vAlign w:val="center"/>
                </w:tcPr>
                <w:p>
                  <w:pPr>
                    <w:pStyle w:val="167"/>
                    <w:adjustRightInd/>
                    <w:snapToGrid/>
                    <w:jc w:val="center"/>
                    <w:rPr>
                      <w:color w:val="auto"/>
                      <w:kern w:val="0"/>
                    </w:rPr>
                  </w:pPr>
                  <w:r>
                    <w:rPr>
                      <w:color w:val="auto"/>
                    </w:rPr>
                    <w:t>已建</w:t>
                  </w:r>
                </w:p>
              </w:tc>
            </w:tr>
          </w:tbl>
          <w:p>
            <w:pPr>
              <w:adjustRightInd/>
              <w:snapToGrid/>
              <w:spacing w:before="120" w:beforeLines="50"/>
              <w:ind w:firstLine="422"/>
              <w:rPr>
                <w:b/>
                <w:color w:val="auto"/>
              </w:rPr>
            </w:pPr>
            <w:r>
              <w:rPr>
                <w:b/>
                <w:color w:val="auto"/>
              </w:rPr>
              <w:t>5、主要生产设备</w:t>
            </w:r>
          </w:p>
          <w:p>
            <w:pPr>
              <w:adjustRightInd/>
              <w:snapToGrid/>
              <w:ind w:firstLine="420"/>
              <w:rPr>
                <w:color w:val="auto"/>
              </w:rPr>
            </w:pPr>
            <w:r>
              <w:rPr>
                <w:color w:val="auto"/>
              </w:rPr>
              <w:t>本项目主要仪器设备的名称、型号、数量详见下表2-3。</w:t>
            </w:r>
          </w:p>
          <w:p>
            <w:pPr>
              <w:pStyle w:val="234"/>
              <w:adjustRightInd/>
              <w:snapToGrid/>
              <w:spacing w:before="120"/>
              <w:ind w:firstLine="422"/>
              <w:rPr>
                <w:color w:val="auto"/>
              </w:rPr>
            </w:pPr>
            <w:r>
              <w:rPr>
                <w:color w:val="auto"/>
              </w:rPr>
              <w:t>表2-3   项目主要设备一览表</w:t>
            </w:r>
          </w:p>
          <w:tbl>
            <w:tblPr>
              <w:tblStyle w:val="40"/>
              <w:tblW w:w="9014"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940"/>
              <w:gridCol w:w="2307"/>
              <w:gridCol w:w="3288"/>
              <w:gridCol w:w="816"/>
              <w:gridCol w:w="852"/>
              <w:gridCol w:w="81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vAlign w:val="center"/>
                </w:tcPr>
                <w:p>
                  <w:pPr>
                    <w:pStyle w:val="167"/>
                    <w:jc w:val="center"/>
                    <w:rPr>
                      <w:color w:val="auto"/>
                    </w:rPr>
                  </w:pPr>
                  <w:r>
                    <w:rPr>
                      <w:color w:val="auto"/>
                    </w:rPr>
                    <w:t>序号</w:t>
                  </w:r>
                </w:p>
              </w:tc>
              <w:tc>
                <w:tcPr>
                  <w:tcW w:w="2307" w:type="dxa"/>
                  <w:tcBorders>
                    <w:tl2br w:val="nil"/>
                    <w:tr2bl w:val="nil"/>
                  </w:tcBorders>
                  <w:vAlign w:val="center"/>
                </w:tcPr>
                <w:p>
                  <w:pPr>
                    <w:pStyle w:val="167"/>
                    <w:jc w:val="center"/>
                    <w:rPr>
                      <w:color w:val="auto"/>
                    </w:rPr>
                  </w:pPr>
                  <w:r>
                    <w:rPr>
                      <w:color w:val="auto"/>
                    </w:rPr>
                    <w:t>设备名称</w:t>
                  </w:r>
                </w:p>
              </w:tc>
              <w:tc>
                <w:tcPr>
                  <w:tcW w:w="3288" w:type="dxa"/>
                  <w:tcBorders>
                    <w:tl2br w:val="nil"/>
                    <w:tr2bl w:val="nil"/>
                  </w:tcBorders>
                  <w:vAlign w:val="center"/>
                </w:tcPr>
                <w:p>
                  <w:pPr>
                    <w:pStyle w:val="167"/>
                    <w:jc w:val="center"/>
                    <w:rPr>
                      <w:color w:val="auto"/>
                    </w:rPr>
                  </w:pPr>
                  <w:r>
                    <w:rPr>
                      <w:color w:val="auto"/>
                    </w:rPr>
                    <w:t>品牌/设备型号</w:t>
                  </w:r>
                </w:p>
              </w:tc>
              <w:tc>
                <w:tcPr>
                  <w:tcW w:w="816" w:type="dxa"/>
                  <w:tcBorders>
                    <w:tl2br w:val="nil"/>
                    <w:tr2bl w:val="nil"/>
                  </w:tcBorders>
                  <w:vAlign w:val="center"/>
                </w:tcPr>
                <w:p>
                  <w:pPr>
                    <w:pStyle w:val="167"/>
                    <w:jc w:val="center"/>
                    <w:rPr>
                      <w:color w:val="auto"/>
                    </w:rPr>
                  </w:pPr>
                  <w:r>
                    <w:rPr>
                      <w:color w:val="auto"/>
                    </w:rPr>
                    <w:t>数量</w:t>
                  </w:r>
                </w:p>
              </w:tc>
              <w:tc>
                <w:tcPr>
                  <w:tcW w:w="852" w:type="dxa"/>
                  <w:tcBorders>
                    <w:tl2br w:val="nil"/>
                    <w:tr2bl w:val="nil"/>
                  </w:tcBorders>
                  <w:vAlign w:val="center"/>
                </w:tcPr>
                <w:p>
                  <w:pPr>
                    <w:pStyle w:val="167"/>
                    <w:jc w:val="center"/>
                    <w:rPr>
                      <w:color w:val="auto"/>
                    </w:rPr>
                  </w:pPr>
                  <w:r>
                    <w:rPr>
                      <w:color w:val="auto"/>
                    </w:rPr>
                    <w:t>单位</w:t>
                  </w:r>
                </w:p>
              </w:tc>
              <w:tc>
                <w:tcPr>
                  <w:tcW w:w="811" w:type="dxa"/>
                  <w:tcBorders>
                    <w:tl2br w:val="nil"/>
                    <w:tr2bl w:val="nil"/>
                  </w:tcBorders>
                  <w:vAlign w:val="center"/>
                </w:tcPr>
                <w:p>
                  <w:pPr>
                    <w:pStyle w:val="167"/>
                    <w:jc w:val="center"/>
                    <w:rPr>
                      <w:color w:val="auto"/>
                    </w:rPr>
                  </w:pPr>
                  <w:r>
                    <w:rPr>
                      <w:color w:val="auto"/>
                    </w:rPr>
                    <w:t>备注</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vAlign w:val="center"/>
                </w:tcPr>
                <w:p>
                  <w:pPr>
                    <w:pStyle w:val="167"/>
                    <w:jc w:val="center"/>
                    <w:rPr>
                      <w:color w:val="auto"/>
                    </w:rPr>
                  </w:pPr>
                  <w:r>
                    <w:rPr>
                      <w:color w:val="auto"/>
                    </w:rPr>
                    <w:t>1</w:t>
                  </w:r>
                </w:p>
              </w:tc>
              <w:tc>
                <w:tcPr>
                  <w:tcW w:w="2307" w:type="dxa"/>
                  <w:tcBorders>
                    <w:tl2br w:val="nil"/>
                    <w:tr2bl w:val="nil"/>
                  </w:tcBorders>
                  <w:vAlign w:val="center"/>
                </w:tcPr>
                <w:p>
                  <w:pPr>
                    <w:pStyle w:val="167"/>
                    <w:jc w:val="center"/>
                    <w:rPr>
                      <w:color w:val="auto"/>
                    </w:rPr>
                  </w:pPr>
                  <w:r>
                    <w:rPr>
                      <w:color w:val="auto"/>
                    </w:rPr>
                    <w:t>血常规</w:t>
                  </w:r>
                </w:p>
              </w:tc>
              <w:tc>
                <w:tcPr>
                  <w:tcW w:w="3288" w:type="dxa"/>
                  <w:tcBorders>
                    <w:tl2br w:val="nil"/>
                    <w:tr2bl w:val="nil"/>
                  </w:tcBorders>
                  <w:vAlign w:val="center"/>
                </w:tcPr>
                <w:p>
                  <w:pPr>
                    <w:pStyle w:val="167"/>
                    <w:jc w:val="center"/>
                    <w:rPr>
                      <w:color w:val="auto"/>
                    </w:rPr>
                  </w:pPr>
                  <w:r>
                    <w:rPr>
                      <w:color w:val="auto"/>
                      <w:szCs w:val="21"/>
                    </w:rPr>
                    <w:t>迈瑞-</w:t>
                  </w:r>
                  <w:r>
                    <w:rPr>
                      <w:rFonts w:hint="eastAsia"/>
                      <w:color w:val="auto"/>
                      <w:szCs w:val="21"/>
                    </w:rPr>
                    <w:t>BC-30vet</w:t>
                  </w:r>
                </w:p>
              </w:tc>
              <w:tc>
                <w:tcPr>
                  <w:tcW w:w="816" w:type="dxa"/>
                  <w:tcBorders>
                    <w:tl2br w:val="nil"/>
                    <w:tr2bl w:val="nil"/>
                  </w:tcBorders>
                  <w:vAlign w:val="center"/>
                </w:tcPr>
                <w:p>
                  <w:pPr>
                    <w:pStyle w:val="167"/>
                    <w:jc w:val="center"/>
                    <w:rPr>
                      <w:color w:val="auto"/>
                    </w:rPr>
                  </w:pPr>
                  <w:r>
                    <w:rPr>
                      <w:rFonts w:hint="eastAsia"/>
                      <w:color w:val="auto"/>
                    </w:rPr>
                    <w:t>1</w:t>
                  </w:r>
                </w:p>
              </w:tc>
              <w:tc>
                <w:tcPr>
                  <w:tcW w:w="852" w:type="dxa"/>
                  <w:tcBorders>
                    <w:tl2br w:val="nil"/>
                    <w:tr2bl w:val="nil"/>
                  </w:tcBorders>
                  <w:vAlign w:val="center"/>
                </w:tcPr>
                <w:p>
                  <w:pPr>
                    <w:pStyle w:val="167"/>
                    <w:jc w:val="center"/>
                    <w:rPr>
                      <w:color w:val="auto"/>
                    </w:rPr>
                  </w:pPr>
                  <w:r>
                    <w:rPr>
                      <w:color w:val="auto"/>
                    </w:rPr>
                    <w:t>台</w:t>
                  </w:r>
                </w:p>
              </w:tc>
              <w:tc>
                <w:tcPr>
                  <w:tcW w:w="811" w:type="dxa"/>
                  <w:tcBorders>
                    <w:tl2br w:val="nil"/>
                    <w:tr2bl w:val="nil"/>
                  </w:tcBorders>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shd w:val="clear" w:color="auto" w:fill="auto"/>
                  <w:vAlign w:val="center"/>
                </w:tcPr>
                <w:p>
                  <w:pPr>
                    <w:pStyle w:val="167"/>
                    <w:jc w:val="center"/>
                    <w:rPr>
                      <w:color w:val="auto"/>
                    </w:rPr>
                  </w:pPr>
                  <w:r>
                    <w:rPr>
                      <w:color w:val="auto"/>
                    </w:rPr>
                    <w:t>2</w:t>
                  </w:r>
                </w:p>
              </w:tc>
              <w:tc>
                <w:tcPr>
                  <w:tcW w:w="2307" w:type="dxa"/>
                  <w:tcBorders>
                    <w:tl2br w:val="nil"/>
                    <w:tr2bl w:val="nil"/>
                  </w:tcBorders>
                  <w:shd w:val="clear" w:color="auto" w:fill="auto"/>
                  <w:vAlign w:val="center"/>
                </w:tcPr>
                <w:p>
                  <w:pPr>
                    <w:pStyle w:val="167"/>
                    <w:jc w:val="center"/>
                    <w:rPr>
                      <w:color w:val="auto"/>
                    </w:rPr>
                  </w:pPr>
                  <w:r>
                    <w:rPr>
                      <w:color w:val="auto"/>
                      <w:szCs w:val="21"/>
                    </w:rPr>
                    <w:t>生化仪</w:t>
                  </w:r>
                </w:p>
              </w:tc>
              <w:tc>
                <w:tcPr>
                  <w:tcW w:w="3288" w:type="dxa"/>
                  <w:tcBorders>
                    <w:tl2br w:val="nil"/>
                    <w:tr2bl w:val="nil"/>
                  </w:tcBorders>
                  <w:shd w:val="clear" w:color="auto" w:fill="auto"/>
                  <w:vAlign w:val="center"/>
                </w:tcPr>
                <w:p>
                  <w:pPr>
                    <w:pStyle w:val="167"/>
                    <w:jc w:val="center"/>
                    <w:rPr>
                      <w:color w:val="auto"/>
                    </w:rPr>
                  </w:pPr>
                  <w:r>
                    <w:rPr>
                      <w:color w:val="auto"/>
                      <w:szCs w:val="21"/>
                    </w:rPr>
                    <w:t>微纳芯</w:t>
                  </w:r>
                  <w:r>
                    <w:rPr>
                      <w:rFonts w:hint="eastAsia"/>
                      <w:color w:val="auto"/>
                      <w:szCs w:val="21"/>
                    </w:rPr>
                    <w:t>celercarev5</w:t>
                  </w:r>
                </w:p>
              </w:tc>
              <w:tc>
                <w:tcPr>
                  <w:tcW w:w="816" w:type="dxa"/>
                  <w:tcBorders>
                    <w:tl2br w:val="nil"/>
                    <w:tr2bl w:val="nil"/>
                  </w:tcBorders>
                  <w:shd w:val="clear" w:color="auto" w:fill="auto"/>
                  <w:vAlign w:val="center"/>
                </w:tcPr>
                <w:p>
                  <w:pPr>
                    <w:pStyle w:val="167"/>
                    <w:jc w:val="center"/>
                    <w:rPr>
                      <w:color w:val="auto"/>
                    </w:rPr>
                  </w:pPr>
                  <w:r>
                    <w:rPr>
                      <w:rFonts w:hint="eastAsia"/>
                      <w:color w:val="auto"/>
                    </w:rPr>
                    <w:t>1</w:t>
                  </w:r>
                </w:p>
              </w:tc>
              <w:tc>
                <w:tcPr>
                  <w:tcW w:w="852" w:type="dxa"/>
                  <w:tcBorders>
                    <w:tl2br w:val="nil"/>
                    <w:tr2bl w:val="nil"/>
                  </w:tcBorders>
                  <w:vAlign w:val="center"/>
                </w:tcPr>
                <w:p>
                  <w:pPr>
                    <w:pStyle w:val="167"/>
                    <w:jc w:val="center"/>
                    <w:rPr>
                      <w:color w:val="auto"/>
                    </w:rPr>
                  </w:pPr>
                  <w:r>
                    <w:rPr>
                      <w:color w:val="auto"/>
                    </w:rPr>
                    <w:t>台</w:t>
                  </w:r>
                </w:p>
              </w:tc>
              <w:tc>
                <w:tcPr>
                  <w:tcW w:w="811" w:type="dxa"/>
                  <w:tcBorders>
                    <w:tl2br w:val="nil"/>
                    <w:tr2bl w:val="nil"/>
                  </w:tcBorders>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shd w:val="clear" w:color="auto" w:fill="auto"/>
                  <w:vAlign w:val="center"/>
                </w:tcPr>
                <w:p>
                  <w:pPr>
                    <w:pStyle w:val="167"/>
                    <w:jc w:val="center"/>
                    <w:rPr>
                      <w:color w:val="auto"/>
                    </w:rPr>
                  </w:pPr>
                  <w:r>
                    <w:rPr>
                      <w:color w:val="auto"/>
                    </w:rPr>
                    <w:t>3</w:t>
                  </w:r>
                </w:p>
              </w:tc>
              <w:tc>
                <w:tcPr>
                  <w:tcW w:w="2307" w:type="dxa"/>
                  <w:tcBorders>
                    <w:tl2br w:val="nil"/>
                    <w:tr2bl w:val="nil"/>
                  </w:tcBorders>
                  <w:shd w:val="clear" w:color="auto" w:fill="auto"/>
                  <w:vAlign w:val="center"/>
                </w:tcPr>
                <w:p>
                  <w:pPr>
                    <w:pStyle w:val="167"/>
                    <w:jc w:val="center"/>
                    <w:rPr>
                      <w:color w:val="auto"/>
                    </w:rPr>
                  </w:pPr>
                  <w:r>
                    <w:rPr>
                      <w:color w:val="auto"/>
                      <w:szCs w:val="21"/>
                    </w:rPr>
                    <w:t>荧光定量分析仪</w:t>
                  </w:r>
                </w:p>
              </w:tc>
              <w:tc>
                <w:tcPr>
                  <w:tcW w:w="3288" w:type="dxa"/>
                  <w:tcBorders>
                    <w:tl2br w:val="nil"/>
                    <w:tr2bl w:val="nil"/>
                  </w:tcBorders>
                  <w:shd w:val="clear" w:color="auto" w:fill="auto"/>
                  <w:vAlign w:val="center"/>
                </w:tcPr>
                <w:p>
                  <w:pPr>
                    <w:pStyle w:val="167"/>
                    <w:jc w:val="center"/>
                    <w:rPr>
                      <w:color w:val="auto"/>
                    </w:rPr>
                  </w:pPr>
                  <w:r>
                    <w:rPr>
                      <w:color w:val="auto"/>
                      <w:szCs w:val="21"/>
                    </w:rPr>
                    <w:t>基蛋</w:t>
                  </w:r>
                  <w:r>
                    <w:rPr>
                      <w:rFonts w:hint="eastAsia"/>
                      <w:color w:val="auto"/>
                      <w:szCs w:val="21"/>
                    </w:rPr>
                    <w:t>Getein 1160vet</w:t>
                  </w:r>
                </w:p>
              </w:tc>
              <w:tc>
                <w:tcPr>
                  <w:tcW w:w="816" w:type="dxa"/>
                  <w:tcBorders>
                    <w:tl2br w:val="nil"/>
                    <w:tr2bl w:val="nil"/>
                  </w:tcBorders>
                  <w:shd w:val="clear" w:color="auto" w:fill="auto"/>
                  <w:vAlign w:val="center"/>
                </w:tcPr>
                <w:p>
                  <w:pPr>
                    <w:pStyle w:val="167"/>
                    <w:jc w:val="center"/>
                    <w:rPr>
                      <w:color w:val="auto"/>
                    </w:rPr>
                  </w:pPr>
                  <w:r>
                    <w:rPr>
                      <w:rFonts w:hint="eastAsia"/>
                      <w:color w:val="auto"/>
                    </w:rPr>
                    <w:t>1</w:t>
                  </w:r>
                </w:p>
              </w:tc>
              <w:tc>
                <w:tcPr>
                  <w:tcW w:w="852" w:type="dxa"/>
                  <w:tcBorders>
                    <w:tl2br w:val="nil"/>
                    <w:tr2bl w:val="nil"/>
                  </w:tcBorders>
                  <w:vAlign w:val="center"/>
                </w:tcPr>
                <w:p>
                  <w:pPr>
                    <w:pStyle w:val="167"/>
                    <w:jc w:val="center"/>
                    <w:rPr>
                      <w:color w:val="auto"/>
                    </w:rPr>
                  </w:pPr>
                  <w:r>
                    <w:rPr>
                      <w:color w:val="auto"/>
                    </w:rPr>
                    <w:t>台</w:t>
                  </w:r>
                </w:p>
              </w:tc>
              <w:tc>
                <w:tcPr>
                  <w:tcW w:w="811" w:type="dxa"/>
                  <w:tcBorders>
                    <w:tl2br w:val="nil"/>
                    <w:tr2bl w:val="nil"/>
                  </w:tcBorders>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shd w:val="clear" w:color="auto" w:fill="auto"/>
                  <w:vAlign w:val="center"/>
                </w:tcPr>
                <w:p>
                  <w:pPr>
                    <w:pStyle w:val="167"/>
                    <w:jc w:val="center"/>
                    <w:rPr>
                      <w:color w:val="auto"/>
                    </w:rPr>
                  </w:pPr>
                  <w:r>
                    <w:rPr>
                      <w:color w:val="auto"/>
                    </w:rPr>
                    <w:t>4</w:t>
                  </w:r>
                </w:p>
              </w:tc>
              <w:tc>
                <w:tcPr>
                  <w:tcW w:w="2307" w:type="dxa"/>
                  <w:tcBorders>
                    <w:tl2br w:val="nil"/>
                    <w:tr2bl w:val="nil"/>
                  </w:tcBorders>
                  <w:shd w:val="clear" w:color="auto" w:fill="auto"/>
                  <w:vAlign w:val="center"/>
                </w:tcPr>
                <w:p>
                  <w:pPr>
                    <w:pStyle w:val="167"/>
                    <w:jc w:val="center"/>
                    <w:rPr>
                      <w:color w:val="auto"/>
                    </w:rPr>
                  </w:pPr>
                  <w:r>
                    <w:rPr>
                      <w:rFonts w:hint="eastAsia"/>
                      <w:color w:val="auto"/>
                    </w:rPr>
                    <w:t>血凝仪</w:t>
                  </w:r>
                </w:p>
              </w:tc>
              <w:tc>
                <w:tcPr>
                  <w:tcW w:w="3288" w:type="dxa"/>
                  <w:tcBorders>
                    <w:tl2br w:val="nil"/>
                    <w:tr2bl w:val="nil"/>
                  </w:tcBorders>
                  <w:shd w:val="clear" w:color="auto" w:fill="auto"/>
                  <w:vAlign w:val="center"/>
                </w:tcPr>
                <w:p>
                  <w:pPr>
                    <w:pStyle w:val="167"/>
                    <w:jc w:val="center"/>
                    <w:rPr>
                      <w:color w:val="auto"/>
                    </w:rPr>
                  </w:pPr>
                  <w:r>
                    <w:rPr>
                      <w:rFonts w:hint="eastAsia"/>
                      <w:color w:val="auto"/>
                    </w:rPr>
                    <w:t>基灵Incoaq</w:t>
                  </w:r>
                </w:p>
              </w:tc>
              <w:tc>
                <w:tcPr>
                  <w:tcW w:w="816" w:type="dxa"/>
                  <w:tcBorders>
                    <w:tl2br w:val="nil"/>
                    <w:tr2bl w:val="nil"/>
                  </w:tcBorders>
                  <w:shd w:val="clear" w:color="auto" w:fill="auto"/>
                  <w:vAlign w:val="center"/>
                </w:tcPr>
                <w:p>
                  <w:pPr>
                    <w:pStyle w:val="167"/>
                    <w:jc w:val="center"/>
                    <w:rPr>
                      <w:color w:val="auto"/>
                    </w:rPr>
                  </w:pPr>
                  <w:r>
                    <w:rPr>
                      <w:rFonts w:hint="eastAsia"/>
                      <w:color w:val="auto"/>
                    </w:rPr>
                    <w:t>1</w:t>
                  </w:r>
                </w:p>
              </w:tc>
              <w:tc>
                <w:tcPr>
                  <w:tcW w:w="852" w:type="dxa"/>
                  <w:tcBorders>
                    <w:tl2br w:val="nil"/>
                    <w:tr2bl w:val="nil"/>
                  </w:tcBorders>
                  <w:vAlign w:val="center"/>
                </w:tcPr>
                <w:p>
                  <w:pPr>
                    <w:pStyle w:val="167"/>
                    <w:jc w:val="center"/>
                    <w:rPr>
                      <w:color w:val="auto"/>
                    </w:rPr>
                  </w:pPr>
                  <w:r>
                    <w:rPr>
                      <w:color w:val="auto"/>
                    </w:rPr>
                    <w:t>台</w:t>
                  </w:r>
                </w:p>
              </w:tc>
              <w:tc>
                <w:tcPr>
                  <w:tcW w:w="811" w:type="dxa"/>
                  <w:tcBorders>
                    <w:tl2br w:val="nil"/>
                    <w:tr2bl w:val="nil"/>
                  </w:tcBorders>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shd w:val="clear" w:color="auto" w:fill="auto"/>
                  <w:vAlign w:val="center"/>
                </w:tcPr>
                <w:p>
                  <w:pPr>
                    <w:pStyle w:val="167"/>
                    <w:jc w:val="center"/>
                    <w:rPr>
                      <w:color w:val="auto"/>
                    </w:rPr>
                  </w:pPr>
                  <w:r>
                    <w:rPr>
                      <w:color w:val="auto"/>
                    </w:rPr>
                    <w:t>5</w:t>
                  </w:r>
                </w:p>
              </w:tc>
              <w:tc>
                <w:tcPr>
                  <w:tcW w:w="2307" w:type="dxa"/>
                  <w:tcBorders>
                    <w:tl2br w:val="nil"/>
                    <w:tr2bl w:val="nil"/>
                  </w:tcBorders>
                  <w:shd w:val="clear" w:color="auto" w:fill="auto"/>
                  <w:vAlign w:val="center"/>
                </w:tcPr>
                <w:p>
                  <w:pPr>
                    <w:pStyle w:val="167"/>
                    <w:jc w:val="center"/>
                    <w:rPr>
                      <w:color w:val="auto"/>
                      <w:kern w:val="0"/>
                    </w:rPr>
                  </w:pPr>
                  <w:r>
                    <w:rPr>
                      <w:color w:val="auto"/>
                    </w:rPr>
                    <w:t>显微镜</w:t>
                  </w:r>
                </w:p>
              </w:tc>
              <w:tc>
                <w:tcPr>
                  <w:tcW w:w="3288" w:type="dxa"/>
                  <w:tcBorders>
                    <w:tl2br w:val="nil"/>
                    <w:tr2bl w:val="nil"/>
                  </w:tcBorders>
                  <w:shd w:val="clear" w:color="auto" w:fill="auto"/>
                  <w:vAlign w:val="center"/>
                </w:tcPr>
                <w:p>
                  <w:pPr>
                    <w:pStyle w:val="167"/>
                    <w:jc w:val="center"/>
                    <w:rPr>
                      <w:color w:val="auto"/>
                    </w:rPr>
                  </w:pPr>
                  <w:r>
                    <w:rPr>
                      <w:color w:val="auto"/>
                      <w:kern w:val="0"/>
                      <w:szCs w:val="21"/>
                    </w:rPr>
                    <w:t>德国徕卡DM500</w:t>
                  </w:r>
                </w:p>
              </w:tc>
              <w:tc>
                <w:tcPr>
                  <w:tcW w:w="816" w:type="dxa"/>
                  <w:tcBorders>
                    <w:tl2br w:val="nil"/>
                    <w:tr2bl w:val="nil"/>
                  </w:tcBorders>
                  <w:shd w:val="clear" w:color="auto" w:fill="auto"/>
                  <w:vAlign w:val="center"/>
                </w:tcPr>
                <w:p>
                  <w:pPr>
                    <w:pStyle w:val="167"/>
                    <w:jc w:val="center"/>
                    <w:rPr>
                      <w:color w:val="auto"/>
                    </w:rPr>
                  </w:pPr>
                  <w:r>
                    <w:rPr>
                      <w:rFonts w:hint="eastAsia"/>
                      <w:color w:val="auto"/>
                    </w:rPr>
                    <w:t>1</w:t>
                  </w:r>
                </w:p>
              </w:tc>
              <w:tc>
                <w:tcPr>
                  <w:tcW w:w="852" w:type="dxa"/>
                  <w:tcBorders>
                    <w:tl2br w:val="nil"/>
                    <w:tr2bl w:val="nil"/>
                  </w:tcBorders>
                  <w:vAlign w:val="center"/>
                </w:tcPr>
                <w:p>
                  <w:pPr>
                    <w:pStyle w:val="167"/>
                    <w:jc w:val="center"/>
                    <w:rPr>
                      <w:color w:val="auto"/>
                    </w:rPr>
                  </w:pPr>
                  <w:r>
                    <w:rPr>
                      <w:color w:val="auto"/>
                    </w:rPr>
                    <w:t>台</w:t>
                  </w:r>
                </w:p>
              </w:tc>
              <w:tc>
                <w:tcPr>
                  <w:tcW w:w="811" w:type="dxa"/>
                  <w:tcBorders>
                    <w:tl2br w:val="nil"/>
                    <w:tr2bl w:val="nil"/>
                  </w:tcBorders>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shd w:val="clear" w:color="auto" w:fill="auto"/>
                  <w:vAlign w:val="center"/>
                </w:tcPr>
                <w:p>
                  <w:pPr>
                    <w:pStyle w:val="167"/>
                    <w:jc w:val="center"/>
                    <w:rPr>
                      <w:color w:val="auto"/>
                    </w:rPr>
                  </w:pPr>
                  <w:r>
                    <w:rPr>
                      <w:color w:val="auto"/>
                    </w:rPr>
                    <w:t>6</w:t>
                  </w:r>
                </w:p>
              </w:tc>
              <w:tc>
                <w:tcPr>
                  <w:tcW w:w="2307" w:type="dxa"/>
                  <w:tcBorders>
                    <w:tl2br w:val="nil"/>
                    <w:tr2bl w:val="nil"/>
                  </w:tcBorders>
                  <w:shd w:val="clear" w:color="auto" w:fill="auto"/>
                  <w:vAlign w:val="center"/>
                </w:tcPr>
                <w:p>
                  <w:pPr>
                    <w:pStyle w:val="167"/>
                    <w:jc w:val="center"/>
                    <w:rPr>
                      <w:color w:val="auto"/>
                    </w:rPr>
                  </w:pPr>
                  <w:r>
                    <w:rPr>
                      <w:color w:val="auto"/>
                      <w:kern w:val="0"/>
                      <w:szCs w:val="21"/>
                    </w:rPr>
                    <w:t>血气分析仪</w:t>
                  </w:r>
                </w:p>
              </w:tc>
              <w:tc>
                <w:tcPr>
                  <w:tcW w:w="3288" w:type="dxa"/>
                  <w:tcBorders>
                    <w:tl2br w:val="nil"/>
                    <w:tr2bl w:val="nil"/>
                  </w:tcBorders>
                  <w:shd w:val="clear" w:color="auto" w:fill="auto"/>
                  <w:vAlign w:val="center"/>
                </w:tcPr>
                <w:p>
                  <w:pPr>
                    <w:pStyle w:val="167"/>
                    <w:jc w:val="center"/>
                    <w:rPr>
                      <w:color w:val="auto"/>
                    </w:rPr>
                  </w:pPr>
                  <w:r>
                    <w:rPr>
                      <w:color w:val="auto"/>
                      <w:kern w:val="0"/>
                      <w:szCs w:val="21"/>
                    </w:rPr>
                    <w:t>雅培300</w:t>
                  </w:r>
                </w:p>
              </w:tc>
              <w:tc>
                <w:tcPr>
                  <w:tcW w:w="816" w:type="dxa"/>
                  <w:tcBorders>
                    <w:tl2br w:val="nil"/>
                    <w:tr2bl w:val="nil"/>
                  </w:tcBorders>
                  <w:shd w:val="clear" w:color="auto" w:fill="auto"/>
                  <w:vAlign w:val="center"/>
                </w:tcPr>
                <w:p>
                  <w:pPr>
                    <w:pStyle w:val="167"/>
                    <w:jc w:val="center"/>
                    <w:rPr>
                      <w:color w:val="auto"/>
                    </w:rPr>
                  </w:pPr>
                  <w:r>
                    <w:rPr>
                      <w:rFonts w:hint="eastAsia"/>
                      <w:color w:val="auto"/>
                    </w:rPr>
                    <w:t>1</w:t>
                  </w:r>
                </w:p>
              </w:tc>
              <w:tc>
                <w:tcPr>
                  <w:tcW w:w="852" w:type="dxa"/>
                  <w:tcBorders>
                    <w:tl2br w:val="nil"/>
                    <w:tr2bl w:val="nil"/>
                  </w:tcBorders>
                  <w:shd w:val="clear" w:color="auto" w:fill="auto"/>
                  <w:vAlign w:val="center"/>
                </w:tcPr>
                <w:p>
                  <w:pPr>
                    <w:pStyle w:val="167"/>
                    <w:jc w:val="center"/>
                    <w:rPr>
                      <w:color w:val="auto"/>
                    </w:rPr>
                  </w:pPr>
                  <w:r>
                    <w:rPr>
                      <w:color w:val="auto"/>
                    </w:rPr>
                    <w:t>台</w:t>
                  </w:r>
                </w:p>
              </w:tc>
              <w:tc>
                <w:tcPr>
                  <w:tcW w:w="811" w:type="dxa"/>
                  <w:tcBorders>
                    <w:tl2br w:val="nil"/>
                    <w:tr2bl w:val="nil"/>
                  </w:tcBorders>
                  <w:shd w:val="clear" w:color="auto" w:fill="auto"/>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shd w:val="clear" w:color="auto" w:fill="auto"/>
                  <w:vAlign w:val="center"/>
                </w:tcPr>
                <w:p>
                  <w:pPr>
                    <w:pStyle w:val="167"/>
                    <w:jc w:val="center"/>
                    <w:rPr>
                      <w:color w:val="auto"/>
                    </w:rPr>
                  </w:pPr>
                  <w:r>
                    <w:rPr>
                      <w:color w:val="auto"/>
                    </w:rPr>
                    <w:t>7</w:t>
                  </w:r>
                </w:p>
              </w:tc>
              <w:tc>
                <w:tcPr>
                  <w:tcW w:w="2307" w:type="dxa"/>
                  <w:tcBorders>
                    <w:tl2br w:val="nil"/>
                    <w:tr2bl w:val="nil"/>
                  </w:tcBorders>
                  <w:shd w:val="clear" w:color="auto" w:fill="auto"/>
                  <w:vAlign w:val="center"/>
                </w:tcPr>
                <w:p>
                  <w:pPr>
                    <w:pStyle w:val="167"/>
                    <w:jc w:val="center"/>
                    <w:rPr>
                      <w:color w:val="auto"/>
                    </w:rPr>
                  </w:pPr>
                  <w:r>
                    <w:rPr>
                      <w:color w:val="auto"/>
                      <w:szCs w:val="21"/>
                    </w:rPr>
                    <w:t>高速离心机</w:t>
                  </w:r>
                </w:p>
              </w:tc>
              <w:tc>
                <w:tcPr>
                  <w:tcW w:w="3288" w:type="dxa"/>
                  <w:tcBorders>
                    <w:tl2br w:val="nil"/>
                    <w:tr2bl w:val="nil"/>
                  </w:tcBorders>
                  <w:shd w:val="clear" w:color="auto" w:fill="auto"/>
                  <w:vAlign w:val="center"/>
                </w:tcPr>
                <w:p>
                  <w:pPr>
                    <w:pStyle w:val="167"/>
                    <w:jc w:val="center"/>
                    <w:rPr>
                      <w:color w:val="auto"/>
                    </w:rPr>
                  </w:pPr>
                  <w:r>
                    <w:rPr>
                      <w:rFonts w:hint="eastAsia"/>
                      <w:color w:val="auto"/>
                      <w:kern w:val="0"/>
                      <w:szCs w:val="21"/>
                    </w:rPr>
                    <w:t>尚普</w:t>
                  </w:r>
                  <w:r>
                    <w:rPr>
                      <w:color w:val="auto"/>
                      <w:kern w:val="0"/>
                      <w:szCs w:val="21"/>
                    </w:rPr>
                    <w:t>S</w:t>
                  </w:r>
                  <w:r>
                    <w:rPr>
                      <w:rFonts w:hint="eastAsia"/>
                      <w:color w:val="auto"/>
                      <w:kern w:val="0"/>
                      <w:szCs w:val="21"/>
                    </w:rPr>
                    <w:t>x-lsc-2</w:t>
                  </w:r>
                </w:p>
              </w:tc>
              <w:tc>
                <w:tcPr>
                  <w:tcW w:w="816" w:type="dxa"/>
                  <w:tcBorders>
                    <w:tl2br w:val="nil"/>
                    <w:tr2bl w:val="nil"/>
                  </w:tcBorders>
                  <w:shd w:val="clear" w:color="auto" w:fill="auto"/>
                  <w:vAlign w:val="center"/>
                </w:tcPr>
                <w:p>
                  <w:pPr>
                    <w:pStyle w:val="167"/>
                    <w:jc w:val="center"/>
                    <w:rPr>
                      <w:color w:val="auto"/>
                    </w:rPr>
                  </w:pPr>
                  <w:r>
                    <w:rPr>
                      <w:rFonts w:hint="eastAsia"/>
                      <w:color w:val="auto"/>
                    </w:rPr>
                    <w:t>1</w:t>
                  </w:r>
                </w:p>
              </w:tc>
              <w:tc>
                <w:tcPr>
                  <w:tcW w:w="852" w:type="dxa"/>
                  <w:tcBorders>
                    <w:tl2br w:val="nil"/>
                    <w:tr2bl w:val="nil"/>
                  </w:tcBorders>
                  <w:shd w:val="clear" w:color="auto" w:fill="auto"/>
                  <w:vAlign w:val="center"/>
                </w:tcPr>
                <w:p>
                  <w:pPr>
                    <w:pStyle w:val="167"/>
                    <w:jc w:val="center"/>
                    <w:rPr>
                      <w:color w:val="auto"/>
                    </w:rPr>
                  </w:pPr>
                  <w:r>
                    <w:rPr>
                      <w:color w:val="auto"/>
                    </w:rPr>
                    <w:t>台</w:t>
                  </w:r>
                </w:p>
              </w:tc>
              <w:tc>
                <w:tcPr>
                  <w:tcW w:w="811" w:type="dxa"/>
                  <w:tcBorders>
                    <w:tl2br w:val="nil"/>
                    <w:tr2bl w:val="nil"/>
                  </w:tcBorders>
                  <w:shd w:val="clear" w:color="auto" w:fill="auto"/>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shd w:val="clear" w:color="auto" w:fill="auto"/>
                  <w:vAlign w:val="center"/>
                </w:tcPr>
                <w:p>
                  <w:pPr>
                    <w:pStyle w:val="167"/>
                    <w:jc w:val="center"/>
                    <w:rPr>
                      <w:color w:val="auto"/>
                    </w:rPr>
                  </w:pPr>
                  <w:r>
                    <w:rPr>
                      <w:color w:val="auto"/>
                    </w:rPr>
                    <w:t>8</w:t>
                  </w:r>
                </w:p>
              </w:tc>
              <w:tc>
                <w:tcPr>
                  <w:tcW w:w="2307" w:type="dxa"/>
                  <w:tcBorders>
                    <w:tl2br w:val="nil"/>
                    <w:tr2bl w:val="nil"/>
                  </w:tcBorders>
                  <w:shd w:val="clear" w:color="auto" w:fill="auto"/>
                  <w:vAlign w:val="center"/>
                </w:tcPr>
                <w:p>
                  <w:pPr>
                    <w:pStyle w:val="167"/>
                    <w:jc w:val="center"/>
                    <w:rPr>
                      <w:color w:val="auto"/>
                    </w:rPr>
                  </w:pPr>
                  <w:r>
                    <w:rPr>
                      <w:color w:val="auto"/>
                      <w:szCs w:val="21"/>
                    </w:rPr>
                    <w:t>尿检仪</w:t>
                  </w:r>
                </w:p>
              </w:tc>
              <w:tc>
                <w:tcPr>
                  <w:tcW w:w="3288" w:type="dxa"/>
                  <w:tcBorders>
                    <w:tl2br w:val="nil"/>
                    <w:tr2bl w:val="nil"/>
                  </w:tcBorders>
                  <w:shd w:val="clear" w:color="auto" w:fill="auto"/>
                  <w:vAlign w:val="center"/>
                </w:tcPr>
                <w:p>
                  <w:pPr>
                    <w:pStyle w:val="167"/>
                    <w:jc w:val="center"/>
                    <w:rPr>
                      <w:color w:val="auto"/>
                    </w:rPr>
                  </w:pPr>
                  <w:r>
                    <w:rPr>
                      <w:color w:val="auto"/>
                      <w:kern w:val="0"/>
                      <w:szCs w:val="21"/>
                    </w:rPr>
                    <w:t>ATC尿比重仪</w:t>
                  </w:r>
                </w:p>
              </w:tc>
              <w:tc>
                <w:tcPr>
                  <w:tcW w:w="816" w:type="dxa"/>
                  <w:tcBorders>
                    <w:tl2br w:val="nil"/>
                    <w:tr2bl w:val="nil"/>
                  </w:tcBorders>
                  <w:shd w:val="clear" w:color="auto" w:fill="auto"/>
                  <w:vAlign w:val="center"/>
                </w:tcPr>
                <w:p>
                  <w:pPr>
                    <w:pStyle w:val="167"/>
                    <w:jc w:val="center"/>
                    <w:rPr>
                      <w:color w:val="auto"/>
                    </w:rPr>
                  </w:pPr>
                  <w:r>
                    <w:rPr>
                      <w:rFonts w:hint="eastAsia"/>
                      <w:color w:val="auto"/>
                    </w:rPr>
                    <w:t>1</w:t>
                  </w:r>
                </w:p>
              </w:tc>
              <w:tc>
                <w:tcPr>
                  <w:tcW w:w="852" w:type="dxa"/>
                  <w:tcBorders>
                    <w:tl2br w:val="nil"/>
                    <w:tr2bl w:val="nil"/>
                  </w:tcBorders>
                  <w:shd w:val="clear" w:color="auto" w:fill="auto"/>
                  <w:vAlign w:val="center"/>
                </w:tcPr>
                <w:p>
                  <w:pPr>
                    <w:pStyle w:val="167"/>
                    <w:jc w:val="center"/>
                    <w:rPr>
                      <w:color w:val="auto"/>
                    </w:rPr>
                  </w:pPr>
                  <w:r>
                    <w:rPr>
                      <w:color w:val="auto"/>
                    </w:rPr>
                    <w:t>台</w:t>
                  </w:r>
                </w:p>
              </w:tc>
              <w:tc>
                <w:tcPr>
                  <w:tcW w:w="811" w:type="dxa"/>
                  <w:tcBorders>
                    <w:tl2br w:val="nil"/>
                    <w:tr2bl w:val="nil"/>
                  </w:tcBorders>
                  <w:shd w:val="clear" w:color="auto" w:fill="auto"/>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shd w:val="clear" w:color="auto" w:fill="auto"/>
                  <w:vAlign w:val="center"/>
                </w:tcPr>
                <w:p>
                  <w:pPr>
                    <w:pStyle w:val="167"/>
                    <w:jc w:val="center"/>
                    <w:rPr>
                      <w:color w:val="auto"/>
                    </w:rPr>
                  </w:pPr>
                  <w:r>
                    <w:rPr>
                      <w:color w:val="auto"/>
                    </w:rPr>
                    <w:t>9</w:t>
                  </w:r>
                </w:p>
              </w:tc>
              <w:tc>
                <w:tcPr>
                  <w:tcW w:w="2307" w:type="dxa"/>
                  <w:tcBorders>
                    <w:tl2br w:val="nil"/>
                    <w:tr2bl w:val="nil"/>
                  </w:tcBorders>
                  <w:shd w:val="clear" w:color="auto" w:fill="auto"/>
                  <w:vAlign w:val="center"/>
                </w:tcPr>
                <w:p>
                  <w:pPr>
                    <w:pStyle w:val="167"/>
                    <w:jc w:val="center"/>
                    <w:rPr>
                      <w:color w:val="auto"/>
                    </w:rPr>
                  </w:pPr>
                  <w:r>
                    <w:rPr>
                      <w:color w:val="auto"/>
                      <w:kern w:val="0"/>
                      <w:szCs w:val="21"/>
                    </w:rPr>
                    <w:t>ICU重症监护仓</w:t>
                  </w:r>
                </w:p>
              </w:tc>
              <w:tc>
                <w:tcPr>
                  <w:tcW w:w="3288" w:type="dxa"/>
                  <w:tcBorders>
                    <w:tl2br w:val="nil"/>
                    <w:tr2bl w:val="nil"/>
                  </w:tcBorders>
                  <w:shd w:val="clear" w:color="auto" w:fill="auto"/>
                  <w:vAlign w:val="center"/>
                </w:tcPr>
                <w:p>
                  <w:pPr>
                    <w:pStyle w:val="167"/>
                    <w:jc w:val="center"/>
                    <w:rPr>
                      <w:color w:val="auto"/>
                    </w:rPr>
                  </w:pPr>
                  <w:r>
                    <w:rPr>
                      <w:rFonts w:hint="eastAsia"/>
                      <w:color w:val="auto"/>
                    </w:rPr>
                    <w:t>莱弗特LEILONGXS</w:t>
                  </w:r>
                </w:p>
              </w:tc>
              <w:tc>
                <w:tcPr>
                  <w:tcW w:w="816" w:type="dxa"/>
                  <w:tcBorders>
                    <w:tl2br w:val="nil"/>
                    <w:tr2bl w:val="nil"/>
                  </w:tcBorders>
                  <w:shd w:val="clear" w:color="auto" w:fill="auto"/>
                  <w:vAlign w:val="center"/>
                </w:tcPr>
                <w:p>
                  <w:pPr>
                    <w:pStyle w:val="167"/>
                    <w:jc w:val="center"/>
                    <w:rPr>
                      <w:color w:val="auto"/>
                    </w:rPr>
                  </w:pPr>
                  <w:r>
                    <w:rPr>
                      <w:rFonts w:hint="eastAsia"/>
                      <w:color w:val="auto"/>
                    </w:rPr>
                    <w:t>1</w:t>
                  </w:r>
                </w:p>
              </w:tc>
              <w:tc>
                <w:tcPr>
                  <w:tcW w:w="852" w:type="dxa"/>
                  <w:tcBorders>
                    <w:tl2br w:val="nil"/>
                    <w:tr2bl w:val="nil"/>
                  </w:tcBorders>
                  <w:shd w:val="clear" w:color="auto" w:fill="auto"/>
                  <w:vAlign w:val="center"/>
                </w:tcPr>
                <w:p>
                  <w:pPr>
                    <w:pStyle w:val="167"/>
                    <w:jc w:val="center"/>
                    <w:rPr>
                      <w:color w:val="auto"/>
                    </w:rPr>
                  </w:pPr>
                  <w:r>
                    <w:rPr>
                      <w:color w:val="auto"/>
                    </w:rPr>
                    <w:t>台</w:t>
                  </w:r>
                </w:p>
              </w:tc>
              <w:tc>
                <w:tcPr>
                  <w:tcW w:w="811" w:type="dxa"/>
                  <w:tcBorders>
                    <w:tl2br w:val="nil"/>
                    <w:tr2bl w:val="nil"/>
                  </w:tcBorders>
                  <w:shd w:val="clear" w:color="auto" w:fill="auto"/>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shd w:val="clear" w:color="auto" w:fill="auto"/>
                  <w:vAlign w:val="center"/>
                </w:tcPr>
                <w:p>
                  <w:pPr>
                    <w:pStyle w:val="167"/>
                    <w:jc w:val="center"/>
                    <w:rPr>
                      <w:color w:val="auto"/>
                    </w:rPr>
                  </w:pPr>
                  <w:r>
                    <w:rPr>
                      <w:color w:val="auto"/>
                    </w:rPr>
                    <w:t>10</w:t>
                  </w:r>
                </w:p>
              </w:tc>
              <w:tc>
                <w:tcPr>
                  <w:tcW w:w="2307" w:type="dxa"/>
                  <w:tcBorders>
                    <w:tl2br w:val="nil"/>
                    <w:tr2bl w:val="nil"/>
                  </w:tcBorders>
                  <w:shd w:val="clear" w:color="auto" w:fill="auto"/>
                  <w:vAlign w:val="center"/>
                </w:tcPr>
                <w:p>
                  <w:pPr>
                    <w:pStyle w:val="167"/>
                    <w:jc w:val="center"/>
                    <w:rPr>
                      <w:color w:val="auto"/>
                      <w:kern w:val="0"/>
                      <w:szCs w:val="21"/>
                    </w:rPr>
                  </w:pPr>
                  <w:r>
                    <w:rPr>
                      <w:rFonts w:hint="eastAsia"/>
                      <w:color w:val="auto"/>
                      <w:kern w:val="0"/>
                      <w:szCs w:val="21"/>
                    </w:rPr>
                    <w:t>彩超机</w:t>
                  </w:r>
                </w:p>
              </w:tc>
              <w:tc>
                <w:tcPr>
                  <w:tcW w:w="3288" w:type="dxa"/>
                  <w:tcBorders>
                    <w:tl2br w:val="nil"/>
                    <w:tr2bl w:val="nil"/>
                  </w:tcBorders>
                  <w:shd w:val="clear" w:color="auto" w:fill="auto"/>
                  <w:vAlign w:val="center"/>
                </w:tcPr>
                <w:p>
                  <w:pPr>
                    <w:pStyle w:val="167"/>
                    <w:jc w:val="center"/>
                    <w:rPr>
                      <w:color w:val="auto"/>
                      <w:kern w:val="0"/>
                      <w:szCs w:val="21"/>
                    </w:rPr>
                  </w:pPr>
                  <w:r>
                    <w:rPr>
                      <w:rFonts w:hint="eastAsia"/>
                      <w:color w:val="auto"/>
                      <w:kern w:val="0"/>
                      <w:szCs w:val="21"/>
                    </w:rPr>
                    <w:t>/</w:t>
                  </w:r>
                </w:p>
              </w:tc>
              <w:tc>
                <w:tcPr>
                  <w:tcW w:w="816" w:type="dxa"/>
                  <w:tcBorders>
                    <w:tl2br w:val="nil"/>
                    <w:tr2bl w:val="nil"/>
                  </w:tcBorders>
                  <w:shd w:val="clear" w:color="auto" w:fill="auto"/>
                  <w:vAlign w:val="center"/>
                </w:tcPr>
                <w:p>
                  <w:pPr>
                    <w:pStyle w:val="167"/>
                    <w:jc w:val="center"/>
                    <w:rPr>
                      <w:color w:val="auto"/>
                      <w:kern w:val="0"/>
                      <w:szCs w:val="21"/>
                    </w:rPr>
                  </w:pPr>
                  <w:r>
                    <w:rPr>
                      <w:rFonts w:hint="eastAsia"/>
                      <w:color w:val="auto"/>
                    </w:rPr>
                    <w:t>1</w:t>
                  </w:r>
                </w:p>
              </w:tc>
              <w:tc>
                <w:tcPr>
                  <w:tcW w:w="852" w:type="dxa"/>
                  <w:tcBorders>
                    <w:tl2br w:val="nil"/>
                    <w:tr2bl w:val="nil"/>
                  </w:tcBorders>
                  <w:shd w:val="clear" w:color="auto" w:fill="auto"/>
                  <w:vAlign w:val="center"/>
                </w:tcPr>
                <w:p>
                  <w:pPr>
                    <w:pStyle w:val="167"/>
                    <w:jc w:val="center"/>
                    <w:rPr>
                      <w:color w:val="auto"/>
                    </w:rPr>
                  </w:pPr>
                  <w:r>
                    <w:rPr>
                      <w:color w:val="auto"/>
                    </w:rPr>
                    <w:t>台</w:t>
                  </w:r>
                </w:p>
              </w:tc>
              <w:tc>
                <w:tcPr>
                  <w:tcW w:w="811" w:type="dxa"/>
                  <w:tcBorders>
                    <w:tl2br w:val="nil"/>
                    <w:tr2bl w:val="nil"/>
                  </w:tcBorders>
                  <w:shd w:val="clear" w:color="auto" w:fill="auto"/>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shd w:val="clear" w:color="auto" w:fill="auto"/>
                  <w:vAlign w:val="center"/>
                </w:tcPr>
                <w:p>
                  <w:pPr>
                    <w:pStyle w:val="167"/>
                    <w:jc w:val="center"/>
                    <w:rPr>
                      <w:color w:val="auto"/>
                    </w:rPr>
                  </w:pPr>
                  <w:r>
                    <w:rPr>
                      <w:color w:val="auto"/>
                    </w:rPr>
                    <w:t>11</w:t>
                  </w:r>
                </w:p>
              </w:tc>
              <w:tc>
                <w:tcPr>
                  <w:tcW w:w="2307" w:type="dxa"/>
                  <w:tcBorders>
                    <w:tl2br w:val="nil"/>
                    <w:tr2bl w:val="nil"/>
                  </w:tcBorders>
                  <w:shd w:val="clear" w:color="auto" w:fill="auto"/>
                  <w:vAlign w:val="center"/>
                </w:tcPr>
                <w:p>
                  <w:pPr>
                    <w:pStyle w:val="167"/>
                    <w:jc w:val="center"/>
                    <w:rPr>
                      <w:color w:val="auto"/>
                    </w:rPr>
                  </w:pPr>
                  <w:r>
                    <w:rPr>
                      <w:rFonts w:hint="eastAsia"/>
                      <w:color w:val="auto"/>
                    </w:rPr>
                    <w:t>平板探测器（DR机）</w:t>
                  </w:r>
                </w:p>
              </w:tc>
              <w:tc>
                <w:tcPr>
                  <w:tcW w:w="3288" w:type="dxa"/>
                  <w:tcBorders>
                    <w:tl2br w:val="nil"/>
                    <w:tr2bl w:val="nil"/>
                  </w:tcBorders>
                  <w:shd w:val="clear" w:color="auto" w:fill="auto"/>
                  <w:vAlign w:val="center"/>
                </w:tcPr>
                <w:p>
                  <w:pPr>
                    <w:pStyle w:val="167"/>
                    <w:jc w:val="center"/>
                    <w:rPr>
                      <w:color w:val="auto"/>
                    </w:rPr>
                  </w:pPr>
                  <w:r>
                    <w:rPr>
                      <w:rFonts w:hint="eastAsia"/>
                      <w:color w:val="auto"/>
                    </w:rPr>
                    <w:t>E7843X</w:t>
                  </w:r>
                </w:p>
              </w:tc>
              <w:tc>
                <w:tcPr>
                  <w:tcW w:w="816" w:type="dxa"/>
                  <w:tcBorders>
                    <w:tl2br w:val="nil"/>
                    <w:tr2bl w:val="nil"/>
                  </w:tcBorders>
                  <w:shd w:val="clear" w:color="auto" w:fill="auto"/>
                  <w:vAlign w:val="center"/>
                </w:tcPr>
                <w:p>
                  <w:pPr>
                    <w:pStyle w:val="167"/>
                    <w:jc w:val="center"/>
                    <w:rPr>
                      <w:color w:val="auto"/>
                    </w:rPr>
                  </w:pPr>
                  <w:r>
                    <w:rPr>
                      <w:color w:val="auto"/>
                    </w:rPr>
                    <w:t>1</w:t>
                  </w:r>
                </w:p>
              </w:tc>
              <w:tc>
                <w:tcPr>
                  <w:tcW w:w="852" w:type="dxa"/>
                  <w:tcBorders>
                    <w:tl2br w:val="nil"/>
                    <w:tr2bl w:val="nil"/>
                  </w:tcBorders>
                  <w:shd w:val="clear" w:color="auto" w:fill="auto"/>
                  <w:vAlign w:val="center"/>
                </w:tcPr>
                <w:p>
                  <w:pPr>
                    <w:pStyle w:val="167"/>
                    <w:jc w:val="center"/>
                    <w:rPr>
                      <w:color w:val="auto"/>
                    </w:rPr>
                  </w:pPr>
                  <w:r>
                    <w:rPr>
                      <w:color w:val="auto"/>
                    </w:rPr>
                    <w:t>台</w:t>
                  </w:r>
                </w:p>
              </w:tc>
              <w:tc>
                <w:tcPr>
                  <w:tcW w:w="811" w:type="dxa"/>
                  <w:tcBorders>
                    <w:tl2br w:val="nil"/>
                    <w:tr2bl w:val="nil"/>
                  </w:tcBorders>
                  <w:shd w:val="clear" w:color="auto" w:fill="auto"/>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shd w:val="clear" w:color="auto" w:fill="auto"/>
                  <w:vAlign w:val="center"/>
                </w:tcPr>
                <w:p>
                  <w:pPr>
                    <w:pStyle w:val="167"/>
                    <w:jc w:val="center"/>
                    <w:rPr>
                      <w:color w:val="auto"/>
                    </w:rPr>
                  </w:pPr>
                  <w:r>
                    <w:rPr>
                      <w:color w:val="auto"/>
                    </w:rPr>
                    <w:t>12</w:t>
                  </w:r>
                </w:p>
              </w:tc>
              <w:tc>
                <w:tcPr>
                  <w:tcW w:w="2307" w:type="dxa"/>
                  <w:tcBorders>
                    <w:tl2br w:val="nil"/>
                    <w:tr2bl w:val="nil"/>
                  </w:tcBorders>
                  <w:vAlign w:val="center"/>
                </w:tcPr>
                <w:p>
                  <w:pPr>
                    <w:pStyle w:val="167"/>
                    <w:jc w:val="center"/>
                    <w:rPr>
                      <w:color w:val="auto"/>
                    </w:rPr>
                  </w:pPr>
                  <w:r>
                    <w:rPr>
                      <w:rFonts w:hint="eastAsia"/>
                      <w:color w:val="auto"/>
                    </w:rPr>
                    <w:t>伍德氏灯</w:t>
                  </w:r>
                </w:p>
              </w:tc>
              <w:tc>
                <w:tcPr>
                  <w:tcW w:w="3288" w:type="dxa"/>
                  <w:tcBorders>
                    <w:tl2br w:val="nil"/>
                    <w:tr2bl w:val="nil"/>
                  </w:tcBorders>
                  <w:vAlign w:val="center"/>
                </w:tcPr>
                <w:p>
                  <w:pPr>
                    <w:pStyle w:val="167"/>
                    <w:jc w:val="center"/>
                    <w:rPr>
                      <w:color w:val="auto"/>
                    </w:rPr>
                  </w:pPr>
                  <w:r>
                    <w:rPr>
                      <w:rFonts w:hint="eastAsia"/>
                      <w:color w:val="auto"/>
                    </w:rPr>
                    <w:t>/</w:t>
                  </w:r>
                </w:p>
              </w:tc>
              <w:tc>
                <w:tcPr>
                  <w:tcW w:w="816" w:type="dxa"/>
                  <w:tcBorders>
                    <w:tl2br w:val="nil"/>
                    <w:tr2bl w:val="nil"/>
                  </w:tcBorders>
                  <w:vAlign w:val="center"/>
                </w:tcPr>
                <w:p>
                  <w:pPr>
                    <w:pStyle w:val="167"/>
                    <w:jc w:val="center"/>
                    <w:rPr>
                      <w:color w:val="auto"/>
                    </w:rPr>
                  </w:pPr>
                  <w:r>
                    <w:rPr>
                      <w:rFonts w:hint="eastAsia"/>
                      <w:color w:val="auto"/>
                    </w:rPr>
                    <w:t>1</w:t>
                  </w:r>
                </w:p>
              </w:tc>
              <w:tc>
                <w:tcPr>
                  <w:tcW w:w="852" w:type="dxa"/>
                  <w:tcBorders>
                    <w:tl2br w:val="nil"/>
                    <w:tr2bl w:val="nil"/>
                  </w:tcBorders>
                  <w:vAlign w:val="center"/>
                </w:tcPr>
                <w:p>
                  <w:pPr>
                    <w:pStyle w:val="167"/>
                    <w:jc w:val="center"/>
                    <w:rPr>
                      <w:color w:val="auto"/>
                    </w:rPr>
                  </w:pPr>
                  <w:r>
                    <w:rPr>
                      <w:rFonts w:hint="eastAsia"/>
                      <w:color w:val="auto"/>
                    </w:rPr>
                    <w:t>台</w:t>
                  </w:r>
                </w:p>
              </w:tc>
              <w:tc>
                <w:tcPr>
                  <w:tcW w:w="811" w:type="dxa"/>
                  <w:tcBorders>
                    <w:tl2br w:val="nil"/>
                    <w:tr2bl w:val="nil"/>
                  </w:tcBorders>
                  <w:vAlign w:val="center"/>
                </w:tcPr>
                <w:p>
                  <w:pPr>
                    <w:pStyle w:val="167"/>
                    <w:jc w:val="center"/>
                    <w:rPr>
                      <w:color w:val="auto"/>
                    </w:rPr>
                  </w:pPr>
                  <w:r>
                    <w:rPr>
                      <w:rFonts w:hint="eastAsia"/>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shd w:val="clear" w:color="auto" w:fill="auto"/>
                  <w:vAlign w:val="center"/>
                </w:tcPr>
                <w:p>
                  <w:pPr>
                    <w:pStyle w:val="167"/>
                    <w:jc w:val="center"/>
                    <w:rPr>
                      <w:color w:val="auto"/>
                    </w:rPr>
                  </w:pPr>
                  <w:r>
                    <w:rPr>
                      <w:color w:val="auto"/>
                    </w:rPr>
                    <w:t>13</w:t>
                  </w:r>
                </w:p>
              </w:tc>
              <w:tc>
                <w:tcPr>
                  <w:tcW w:w="2307" w:type="dxa"/>
                  <w:tcBorders>
                    <w:tl2br w:val="nil"/>
                    <w:tr2bl w:val="nil"/>
                  </w:tcBorders>
                  <w:vAlign w:val="center"/>
                </w:tcPr>
                <w:p>
                  <w:pPr>
                    <w:pStyle w:val="167"/>
                    <w:jc w:val="center"/>
                    <w:rPr>
                      <w:color w:val="auto"/>
                      <w:kern w:val="0"/>
                    </w:rPr>
                  </w:pPr>
                  <w:r>
                    <w:rPr>
                      <w:rFonts w:hint="eastAsia"/>
                      <w:color w:val="auto"/>
                      <w:kern w:val="0"/>
                    </w:rPr>
                    <w:t>麻醉机</w:t>
                  </w:r>
                </w:p>
              </w:tc>
              <w:tc>
                <w:tcPr>
                  <w:tcW w:w="3288" w:type="dxa"/>
                  <w:tcBorders>
                    <w:tl2br w:val="nil"/>
                    <w:tr2bl w:val="nil"/>
                  </w:tcBorders>
                  <w:vAlign w:val="center"/>
                </w:tcPr>
                <w:p>
                  <w:pPr>
                    <w:pStyle w:val="167"/>
                    <w:jc w:val="center"/>
                    <w:rPr>
                      <w:color w:val="auto"/>
                      <w:kern w:val="0"/>
                    </w:rPr>
                  </w:pPr>
                  <w:r>
                    <w:rPr>
                      <w:color w:val="auto"/>
                      <w:szCs w:val="21"/>
                    </w:rPr>
                    <w:t>迈瑞Veta 5</w:t>
                  </w:r>
                </w:p>
              </w:tc>
              <w:tc>
                <w:tcPr>
                  <w:tcW w:w="816" w:type="dxa"/>
                  <w:tcBorders>
                    <w:tl2br w:val="nil"/>
                    <w:tr2bl w:val="nil"/>
                  </w:tcBorders>
                  <w:vAlign w:val="center"/>
                </w:tcPr>
                <w:p>
                  <w:pPr>
                    <w:pStyle w:val="167"/>
                    <w:jc w:val="center"/>
                    <w:rPr>
                      <w:color w:val="auto"/>
                    </w:rPr>
                  </w:pPr>
                  <w:r>
                    <w:rPr>
                      <w:rFonts w:hint="eastAsia"/>
                      <w:color w:val="auto"/>
                    </w:rPr>
                    <w:t>1</w:t>
                  </w:r>
                </w:p>
              </w:tc>
              <w:tc>
                <w:tcPr>
                  <w:tcW w:w="852" w:type="dxa"/>
                  <w:tcBorders>
                    <w:tl2br w:val="nil"/>
                    <w:tr2bl w:val="nil"/>
                  </w:tcBorders>
                  <w:vAlign w:val="center"/>
                </w:tcPr>
                <w:p>
                  <w:pPr>
                    <w:pStyle w:val="167"/>
                    <w:jc w:val="center"/>
                    <w:rPr>
                      <w:color w:val="auto"/>
                    </w:rPr>
                  </w:pPr>
                  <w:r>
                    <w:rPr>
                      <w:rFonts w:hint="eastAsia"/>
                      <w:color w:val="auto"/>
                    </w:rPr>
                    <w:t>台</w:t>
                  </w:r>
                </w:p>
              </w:tc>
              <w:tc>
                <w:tcPr>
                  <w:tcW w:w="811" w:type="dxa"/>
                  <w:tcBorders>
                    <w:tl2br w:val="nil"/>
                    <w:tr2bl w:val="nil"/>
                  </w:tcBorders>
                  <w:vAlign w:val="center"/>
                </w:tcPr>
                <w:p>
                  <w:pPr>
                    <w:pStyle w:val="167"/>
                    <w:jc w:val="center"/>
                    <w:rPr>
                      <w:color w:val="auto"/>
                    </w:rPr>
                  </w:pPr>
                  <w:r>
                    <w:rPr>
                      <w:rFonts w:hint="eastAsia"/>
                      <w:color w:val="auto"/>
                    </w:rPr>
                    <w:t>新增</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shd w:val="clear" w:color="auto" w:fill="auto"/>
                  <w:vAlign w:val="center"/>
                </w:tcPr>
                <w:p>
                  <w:pPr>
                    <w:pStyle w:val="167"/>
                    <w:jc w:val="center"/>
                    <w:rPr>
                      <w:color w:val="auto"/>
                    </w:rPr>
                  </w:pPr>
                  <w:r>
                    <w:rPr>
                      <w:color w:val="auto"/>
                    </w:rPr>
                    <w:t>14</w:t>
                  </w:r>
                </w:p>
              </w:tc>
              <w:tc>
                <w:tcPr>
                  <w:tcW w:w="2307" w:type="dxa"/>
                  <w:tcBorders>
                    <w:tl2br w:val="nil"/>
                    <w:tr2bl w:val="nil"/>
                  </w:tcBorders>
                  <w:shd w:val="clear" w:color="auto" w:fill="auto"/>
                  <w:vAlign w:val="center"/>
                </w:tcPr>
                <w:p>
                  <w:pPr>
                    <w:pStyle w:val="167"/>
                    <w:jc w:val="center"/>
                    <w:rPr>
                      <w:color w:val="auto"/>
                    </w:rPr>
                  </w:pPr>
                  <w:r>
                    <w:rPr>
                      <w:color w:val="auto"/>
                    </w:rPr>
                    <w:t>内窥镜</w:t>
                  </w:r>
                </w:p>
              </w:tc>
              <w:tc>
                <w:tcPr>
                  <w:tcW w:w="3288" w:type="dxa"/>
                  <w:tcBorders>
                    <w:tl2br w:val="nil"/>
                    <w:tr2bl w:val="nil"/>
                  </w:tcBorders>
                  <w:shd w:val="clear" w:color="auto" w:fill="auto"/>
                  <w:vAlign w:val="center"/>
                </w:tcPr>
                <w:p>
                  <w:pPr>
                    <w:pStyle w:val="167"/>
                    <w:jc w:val="center"/>
                    <w:rPr>
                      <w:color w:val="auto"/>
                    </w:rPr>
                  </w:pPr>
                  <w:r>
                    <w:rPr>
                      <w:color w:val="auto"/>
                    </w:rPr>
                    <w:t>/</w:t>
                  </w:r>
                </w:p>
              </w:tc>
              <w:tc>
                <w:tcPr>
                  <w:tcW w:w="816" w:type="dxa"/>
                  <w:tcBorders>
                    <w:tl2br w:val="nil"/>
                    <w:tr2bl w:val="nil"/>
                  </w:tcBorders>
                  <w:shd w:val="clear" w:color="auto" w:fill="auto"/>
                  <w:vAlign w:val="center"/>
                </w:tcPr>
                <w:p>
                  <w:pPr>
                    <w:pStyle w:val="167"/>
                    <w:jc w:val="center"/>
                    <w:rPr>
                      <w:color w:val="auto"/>
                    </w:rPr>
                  </w:pPr>
                  <w:r>
                    <w:rPr>
                      <w:color w:val="auto"/>
                    </w:rPr>
                    <w:t>1</w:t>
                  </w:r>
                </w:p>
              </w:tc>
              <w:tc>
                <w:tcPr>
                  <w:tcW w:w="852" w:type="dxa"/>
                  <w:tcBorders>
                    <w:tl2br w:val="nil"/>
                    <w:tr2bl w:val="nil"/>
                  </w:tcBorders>
                  <w:shd w:val="clear" w:color="auto" w:fill="auto"/>
                  <w:vAlign w:val="center"/>
                </w:tcPr>
                <w:p>
                  <w:pPr>
                    <w:pStyle w:val="167"/>
                    <w:jc w:val="center"/>
                    <w:rPr>
                      <w:color w:val="auto"/>
                    </w:rPr>
                  </w:pPr>
                  <w:r>
                    <w:rPr>
                      <w:color w:val="auto"/>
                    </w:rPr>
                    <w:t>台</w:t>
                  </w:r>
                </w:p>
              </w:tc>
              <w:tc>
                <w:tcPr>
                  <w:tcW w:w="811" w:type="dxa"/>
                  <w:tcBorders>
                    <w:tl2br w:val="nil"/>
                    <w:tr2bl w:val="nil"/>
                  </w:tcBorders>
                  <w:shd w:val="clear" w:color="auto" w:fill="auto"/>
                  <w:vAlign w:val="center"/>
                </w:tcPr>
                <w:p>
                  <w:pPr>
                    <w:pStyle w:val="167"/>
                    <w:jc w:val="center"/>
                    <w:rPr>
                      <w:color w:val="auto"/>
                    </w:rPr>
                  </w:pPr>
                  <w:r>
                    <w:rPr>
                      <w:color w:val="auto"/>
                    </w:rPr>
                    <w:t>新增</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shd w:val="clear" w:color="auto" w:fill="auto"/>
                  <w:vAlign w:val="center"/>
                </w:tcPr>
                <w:p>
                  <w:pPr>
                    <w:pStyle w:val="167"/>
                    <w:jc w:val="center"/>
                    <w:rPr>
                      <w:color w:val="auto"/>
                    </w:rPr>
                  </w:pPr>
                  <w:r>
                    <w:rPr>
                      <w:color w:val="auto"/>
                    </w:rPr>
                    <w:t>15</w:t>
                  </w:r>
                </w:p>
              </w:tc>
              <w:tc>
                <w:tcPr>
                  <w:tcW w:w="2307" w:type="dxa"/>
                  <w:tcBorders>
                    <w:tl2br w:val="nil"/>
                    <w:tr2bl w:val="nil"/>
                  </w:tcBorders>
                  <w:shd w:val="clear" w:color="auto" w:fill="auto"/>
                  <w:vAlign w:val="center"/>
                </w:tcPr>
                <w:p>
                  <w:pPr>
                    <w:pStyle w:val="167"/>
                    <w:jc w:val="center"/>
                    <w:rPr>
                      <w:color w:val="auto"/>
                    </w:rPr>
                  </w:pPr>
                  <w:r>
                    <w:rPr>
                      <w:color w:val="auto"/>
                      <w:kern w:val="0"/>
                    </w:rPr>
                    <w:t>立式压力蒸汽灭菌锅</w:t>
                  </w:r>
                </w:p>
              </w:tc>
              <w:tc>
                <w:tcPr>
                  <w:tcW w:w="3288" w:type="dxa"/>
                  <w:tcBorders>
                    <w:tl2br w:val="nil"/>
                    <w:tr2bl w:val="nil"/>
                  </w:tcBorders>
                  <w:shd w:val="clear" w:color="auto" w:fill="auto"/>
                  <w:vAlign w:val="center"/>
                </w:tcPr>
                <w:p>
                  <w:pPr>
                    <w:pStyle w:val="167"/>
                    <w:jc w:val="center"/>
                    <w:rPr>
                      <w:color w:val="auto"/>
                      <w:szCs w:val="21"/>
                    </w:rPr>
                  </w:pPr>
                  <w:r>
                    <w:rPr>
                      <w:rFonts w:hint="eastAsia"/>
                      <w:color w:val="auto"/>
                      <w:szCs w:val="21"/>
                    </w:rPr>
                    <w:t>新丰XFH-30CA</w:t>
                  </w:r>
                </w:p>
              </w:tc>
              <w:tc>
                <w:tcPr>
                  <w:tcW w:w="816" w:type="dxa"/>
                  <w:tcBorders>
                    <w:tl2br w:val="nil"/>
                    <w:tr2bl w:val="nil"/>
                  </w:tcBorders>
                  <w:shd w:val="clear" w:color="auto" w:fill="auto"/>
                  <w:vAlign w:val="center"/>
                </w:tcPr>
                <w:p>
                  <w:pPr>
                    <w:pStyle w:val="167"/>
                    <w:jc w:val="center"/>
                    <w:rPr>
                      <w:color w:val="auto"/>
                    </w:rPr>
                  </w:pPr>
                  <w:r>
                    <w:rPr>
                      <w:color w:val="auto"/>
                    </w:rPr>
                    <w:t>1</w:t>
                  </w:r>
                </w:p>
              </w:tc>
              <w:tc>
                <w:tcPr>
                  <w:tcW w:w="852" w:type="dxa"/>
                  <w:tcBorders>
                    <w:tl2br w:val="nil"/>
                    <w:tr2bl w:val="nil"/>
                  </w:tcBorders>
                  <w:shd w:val="clear" w:color="auto" w:fill="auto"/>
                  <w:vAlign w:val="center"/>
                </w:tcPr>
                <w:p>
                  <w:pPr>
                    <w:pStyle w:val="167"/>
                    <w:jc w:val="center"/>
                    <w:rPr>
                      <w:color w:val="auto"/>
                    </w:rPr>
                  </w:pPr>
                  <w:r>
                    <w:rPr>
                      <w:color w:val="auto"/>
                    </w:rPr>
                    <w:t>台</w:t>
                  </w:r>
                </w:p>
              </w:tc>
              <w:tc>
                <w:tcPr>
                  <w:tcW w:w="811" w:type="dxa"/>
                  <w:tcBorders>
                    <w:tl2br w:val="nil"/>
                    <w:tr2bl w:val="nil"/>
                  </w:tcBorders>
                  <w:shd w:val="clear" w:color="auto" w:fill="auto"/>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shd w:val="clear" w:color="auto" w:fill="auto"/>
                  <w:vAlign w:val="center"/>
                </w:tcPr>
                <w:p>
                  <w:pPr>
                    <w:pStyle w:val="167"/>
                    <w:jc w:val="center"/>
                    <w:rPr>
                      <w:color w:val="auto"/>
                    </w:rPr>
                  </w:pPr>
                  <w:r>
                    <w:rPr>
                      <w:color w:val="auto"/>
                    </w:rPr>
                    <w:t>16</w:t>
                  </w:r>
                </w:p>
              </w:tc>
              <w:tc>
                <w:tcPr>
                  <w:tcW w:w="2307" w:type="dxa"/>
                  <w:tcBorders>
                    <w:tl2br w:val="nil"/>
                    <w:tr2bl w:val="nil"/>
                  </w:tcBorders>
                  <w:shd w:val="clear" w:color="auto" w:fill="auto"/>
                  <w:vAlign w:val="center"/>
                </w:tcPr>
                <w:p>
                  <w:pPr>
                    <w:pStyle w:val="167"/>
                    <w:jc w:val="center"/>
                    <w:rPr>
                      <w:color w:val="auto"/>
                    </w:rPr>
                  </w:pPr>
                  <w:r>
                    <w:rPr>
                      <w:color w:val="auto"/>
                      <w:kern w:val="0"/>
                      <w:szCs w:val="21"/>
                    </w:rPr>
                    <w:t>手术无影灯双头</w:t>
                  </w:r>
                </w:p>
              </w:tc>
              <w:tc>
                <w:tcPr>
                  <w:tcW w:w="3288" w:type="dxa"/>
                  <w:tcBorders>
                    <w:tl2br w:val="nil"/>
                    <w:tr2bl w:val="nil"/>
                  </w:tcBorders>
                  <w:shd w:val="clear" w:color="auto" w:fill="auto"/>
                  <w:vAlign w:val="center"/>
                </w:tcPr>
                <w:p>
                  <w:pPr>
                    <w:pStyle w:val="167"/>
                    <w:jc w:val="center"/>
                    <w:rPr>
                      <w:color w:val="auto"/>
                    </w:rPr>
                  </w:pPr>
                  <w:r>
                    <w:rPr>
                      <w:color w:val="auto"/>
                      <w:szCs w:val="21"/>
                    </w:rPr>
                    <w:t>康尔健KDLED700</w:t>
                  </w:r>
                </w:p>
              </w:tc>
              <w:tc>
                <w:tcPr>
                  <w:tcW w:w="816" w:type="dxa"/>
                  <w:tcBorders>
                    <w:tl2br w:val="nil"/>
                    <w:tr2bl w:val="nil"/>
                  </w:tcBorders>
                  <w:shd w:val="clear" w:color="auto" w:fill="auto"/>
                  <w:vAlign w:val="center"/>
                </w:tcPr>
                <w:p>
                  <w:pPr>
                    <w:pStyle w:val="167"/>
                    <w:jc w:val="center"/>
                    <w:rPr>
                      <w:color w:val="auto"/>
                    </w:rPr>
                  </w:pPr>
                  <w:r>
                    <w:rPr>
                      <w:color w:val="auto"/>
                    </w:rPr>
                    <w:t>1</w:t>
                  </w:r>
                </w:p>
              </w:tc>
              <w:tc>
                <w:tcPr>
                  <w:tcW w:w="852" w:type="dxa"/>
                  <w:tcBorders>
                    <w:tl2br w:val="nil"/>
                    <w:tr2bl w:val="nil"/>
                  </w:tcBorders>
                  <w:shd w:val="clear" w:color="auto" w:fill="auto"/>
                  <w:vAlign w:val="center"/>
                </w:tcPr>
                <w:p>
                  <w:pPr>
                    <w:pStyle w:val="167"/>
                    <w:jc w:val="center"/>
                    <w:rPr>
                      <w:color w:val="auto"/>
                    </w:rPr>
                  </w:pPr>
                  <w:r>
                    <w:rPr>
                      <w:color w:val="auto"/>
                    </w:rPr>
                    <w:t>台</w:t>
                  </w:r>
                </w:p>
              </w:tc>
              <w:tc>
                <w:tcPr>
                  <w:tcW w:w="811" w:type="dxa"/>
                  <w:tcBorders>
                    <w:tl2br w:val="nil"/>
                    <w:tr2bl w:val="nil"/>
                  </w:tcBorders>
                  <w:shd w:val="clear" w:color="auto" w:fill="auto"/>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vAlign w:val="center"/>
                </w:tcPr>
                <w:p>
                  <w:pPr>
                    <w:pStyle w:val="167"/>
                    <w:jc w:val="center"/>
                    <w:rPr>
                      <w:color w:val="auto"/>
                    </w:rPr>
                  </w:pPr>
                  <w:r>
                    <w:rPr>
                      <w:rFonts w:hint="eastAsia"/>
                      <w:color w:val="auto"/>
                    </w:rPr>
                    <w:t>17</w:t>
                  </w:r>
                </w:p>
              </w:tc>
              <w:tc>
                <w:tcPr>
                  <w:tcW w:w="2307" w:type="dxa"/>
                  <w:tcBorders>
                    <w:tl2br w:val="nil"/>
                    <w:tr2bl w:val="nil"/>
                  </w:tcBorders>
                  <w:shd w:val="clear" w:color="auto" w:fill="auto"/>
                  <w:vAlign w:val="center"/>
                </w:tcPr>
                <w:p>
                  <w:pPr>
                    <w:pStyle w:val="167"/>
                    <w:jc w:val="center"/>
                    <w:rPr>
                      <w:color w:val="auto"/>
                    </w:rPr>
                  </w:pPr>
                  <w:r>
                    <w:rPr>
                      <w:color w:val="auto"/>
                      <w:kern w:val="0"/>
                      <w:szCs w:val="21"/>
                    </w:rPr>
                    <w:t>嵌入式地秤</w:t>
                  </w:r>
                </w:p>
              </w:tc>
              <w:tc>
                <w:tcPr>
                  <w:tcW w:w="3288" w:type="dxa"/>
                  <w:tcBorders>
                    <w:tl2br w:val="nil"/>
                    <w:tr2bl w:val="nil"/>
                  </w:tcBorders>
                  <w:shd w:val="clear" w:color="auto" w:fill="auto"/>
                  <w:vAlign w:val="center"/>
                </w:tcPr>
                <w:p>
                  <w:pPr>
                    <w:pStyle w:val="167"/>
                    <w:jc w:val="center"/>
                    <w:rPr>
                      <w:color w:val="auto"/>
                      <w:szCs w:val="21"/>
                    </w:rPr>
                  </w:pPr>
                  <w:r>
                    <w:rPr>
                      <w:rFonts w:hint="eastAsia"/>
                      <w:color w:val="auto"/>
                      <w:szCs w:val="21"/>
                    </w:rPr>
                    <w:t>/</w:t>
                  </w:r>
                </w:p>
              </w:tc>
              <w:tc>
                <w:tcPr>
                  <w:tcW w:w="816" w:type="dxa"/>
                  <w:tcBorders>
                    <w:tl2br w:val="nil"/>
                    <w:tr2bl w:val="nil"/>
                  </w:tcBorders>
                  <w:shd w:val="clear" w:color="auto" w:fill="auto"/>
                  <w:vAlign w:val="center"/>
                </w:tcPr>
                <w:p>
                  <w:pPr>
                    <w:pStyle w:val="167"/>
                    <w:jc w:val="center"/>
                    <w:rPr>
                      <w:color w:val="auto"/>
                    </w:rPr>
                  </w:pPr>
                  <w:r>
                    <w:rPr>
                      <w:rFonts w:hint="eastAsia"/>
                      <w:color w:val="auto"/>
                    </w:rPr>
                    <w:t>1</w:t>
                  </w:r>
                </w:p>
              </w:tc>
              <w:tc>
                <w:tcPr>
                  <w:tcW w:w="852" w:type="dxa"/>
                  <w:tcBorders>
                    <w:tl2br w:val="nil"/>
                    <w:tr2bl w:val="nil"/>
                  </w:tcBorders>
                  <w:shd w:val="clear" w:color="auto" w:fill="auto"/>
                  <w:vAlign w:val="center"/>
                </w:tcPr>
                <w:p>
                  <w:pPr>
                    <w:pStyle w:val="167"/>
                    <w:jc w:val="center"/>
                    <w:rPr>
                      <w:color w:val="auto"/>
                    </w:rPr>
                  </w:pPr>
                  <w:r>
                    <w:rPr>
                      <w:color w:val="auto"/>
                    </w:rPr>
                    <w:t>台</w:t>
                  </w:r>
                </w:p>
              </w:tc>
              <w:tc>
                <w:tcPr>
                  <w:tcW w:w="811" w:type="dxa"/>
                  <w:tcBorders>
                    <w:tl2br w:val="nil"/>
                    <w:tr2bl w:val="nil"/>
                  </w:tcBorders>
                  <w:shd w:val="clear" w:color="auto" w:fill="auto"/>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vAlign w:val="center"/>
                </w:tcPr>
                <w:p>
                  <w:pPr>
                    <w:pStyle w:val="167"/>
                    <w:jc w:val="center"/>
                    <w:rPr>
                      <w:color w:val="auto"/>
                    </w:rPr>
                  </w:pPr>
                  <w:r>
                    <w:rPr>
                      <w:rFonts w:hint="eastAsia"/>
                      <w:color w:val="auto"/>
                    </w:rPr>
                    <w:t>18</w:t>
                  </w:r>
                </w:p>
              </w:tc>
              <w:tc>
                <w:tcPr>
                  <w:tcW w:w="2307" w:type="dxa"/>
                  <w:tcBorders>
                    <w:tl2br w:val="nil"/>
                    <w:tr2bl w:val="nil"/>
                  </w:tcBorders>
                  <w:shd w:val="clear" w:color="auto" w:fill="auto"/>
                  <w:vAlign w:val="center"/>
                </w:tcPr>
                <w:p>
                  <w:pPr>
                    <w:pStyle w:val="167"/>
                    <w:jc w:val="center"/>
                    <w:rPr>
                      <w:color w:val="auto"/>
                    </w:rPr>
                  </w:pPr>
                  <w:r>
                    <w:rPr>
                      <w:color w:val="auto"/>
                      <w:kern w:val="0"/>
                      <w:szCs w:val="21"/>
                    </w:rPr>
                    <w:t>合页手术台</w:t>
                  </w:r>
                </w:p>
              </w:tc>
              <w:tc>
                <w:tcPr>
                  <w:tcW w:w="3288" w:type="dxa"/>
                  <w:tcBorders>
                    <w:tl2br w:val="nil"/>
                    <w:tr2bl w:val="nil"/>
                  </w:tcBorders>
                  <w:shd w:val="clear" w:color="auto" w:fill="auto"/>
                  <w:vAlign w:val="center"/>
                </w:tcPr>
                <w:p>
                  <w:pPr>
                    <w:pStyle w:val="167"/>
                    <w:jc w:val="center"/>
                    <w:rPr>
                      <w:color w:val="auto"/>
                    </w:rPr>
                  </w:pPr>
                  <w:r>
                    <w:rPr>
                      <w:color w:val="auto"/>
                      <w:szCs w:val="21"/>
                    </w:rPr>
                    <w:t>重庆精钢</w:t>
                  </w:r>
                  <w:r>
                    <w:rPr>
                      <w:rFonts w:hint="eastAsia"/>
                      <w:color w:val="auto"/>
                      <w:szCs w:val="21"/>
                    </w:rPr>
                    <w:t>JCH35V2-03</w:t>
                  </w:r>
                </w:p>
              </w:tc>
              <w:tc>
                <w:tcPr>
                  <w:tcW w:w="816" w:type="dxa"/>
                  <w:tcBorders>
                    <w:tl2br w:val="nil"/>
                    <w:tr2bl w:val="nil"/>
                  </w:tcBorders>
                  <w:shd w:val="clear" w:color="auto" w:fill="auto"/>
                  <w:vAlign w:val="center"/>
                </w:tcPr>
                <w:p>
                  <w:pPr>
                    <w:pStyle w:val="167"/>
                    <w:jc w:val="center"/>
                    <w:rPr>
                      <w:color w:val="auto"/>
                    </w:rPr>
                  </w:pPr>
                  <w:r>
                    <w:rPr>
                      <w:color w:val="auto"/>
                    </w:rPr>
                    <w:t>1</w:t>
                  </w:r>
                </w:p>
              </w:tc>
              <w:tc>
                <w:tcPr>
                  <w:tcW w:w="852" w:type="dxa"/>
                  <w:tcBorders>
                    <w:tl2br w:val="nil"/>
                    <w:tr2bl w:val="nil"/>
                  </w:tcBorders>
                  <w:shd w:val="clear" w:color="auto" w:fill="auto"/>
                  <w:vAlign w:val="center"/>
                </w:tcPr>
                <w:p>
                  <w:pPr>
                    <w:pStyle w:val="167"/>
                    <w:jc w:val="center"/>
                    <w:rPr>
                      <w:color w:val="auto"/>
                    </w:rPr>
                  </w:pPr>
                  <w:r>
                    <w:rPr>
                      <w:color w:val="auto"/>
                    </w:rPr>
                    <w:t>台</w:t>
                  </w:r>
                </w:p>
              </w:tc>
              <w:tc>
                <w:tcPr>
                  <w:tcW w:w="811" w:type="dxa"/>
                  <w:tcBorders>
                    <w:tl2br w:val="nil"/>
                    <w:tr2bl w:val="nil"/>
                  </w:tcBorders>
                  <w:shd w:val="clear" w:color="auto" w:fill="auto"/>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vAlign w:val="center"/>
                </w:tcPr>
                <w:p>
                  <w:pPr>
                    <w:pStyle w:val="167"/>
                    <w:jc w:val="center"/>
                    <w:rPr>
                      <w:color w:val="auto"/>
                    </w:rPr>
                  </w:pPr>
                  <w:r>
                    <w:rPr>
                      <w:rFonts w:hint="eastAsia"/>
                      <w:color w:val="auto"/>
                    </w:rPr>
                    <w:t>19</w:t>
                  </w:r>
                </w:p>
              </w:tc>
              <w:tc>
                <w:tcPr>
                  <w:tcW w:w="2307" w:type="dxa"/>
                  <w:tcBorders>
                    <w:tl2br w:val="nil"/>
                    <w:tr2bl w:val="nil"/>
                  </w:tcBorders>
                  <w:shd w:val="clear" w:color="auto" w:fill="auto"/>
                  <w:vAlign w:val="center"/>
                </w:tcPr>
                <w:p>
                  <w:pPr>
                    <w:pStyle w:val="167"/>
                    <w:jc w:val="center"/>
                    <w:rPr>
                      <w:color w:val="auto"/>
                    </w:rPr>
                  </w:pPr>
                  <w:r>
                    <w:rPr>
                      <w:color w:val="auto"/>
                      <w:szCs w:val="21"/>
                    </w:rPr>
                    <w:t>心电监护仪</w:t>
                  </w:r>
                </w:p>
              </w:tc>
              <w:tc>
                <w:tcPr>
                  <w:tcW w:w="3288" w:type="dxa"/>
                  <w:tcBorders>
                    <w:tl2br w:val="nil"/>
                    <w:tr2bl w:val="nil"/>
                  </w:tcBorders>
                  <w:shd w:val="clear" w:color="auto" w:fill="auto"/>
                  <w:vAlign w:val="center"/>
                </w:tcPr>
                <w:p>
                  <w:pPr>
                    <w:pStyle w:val="167"/>
                    <w:jc w:val="center"/>
                    <w:rPr>
                      <w:color w:val="auto"/>
                    </w:rPr>
                  </w:pPr>
                  <w:r>
                    <w:rPr>
                      <w:color w:val="auto"/>
                      <w:szCs w:val="21"/>
                    </w:rPr>
                    <w:t>迈瑞</w:t>
                  </w:r>
                  <w:r>
                    <w:rPr>
                      <w:rFonts w:hint="eastAsia"/>
                      <w:color w:val="auto"/>
                      <w:szCs w:val="21"/>
                    </w:rPr>
                    <w:t>U</w:t>
                  </w:r>
                  <w:r>
                    <w:rPr>
                      <w:color w:val="auto"/>
                      <w:szCs w:val="21"/>
                    </w:rPr>
                    <w:t>MEC</w:t>
                  </w:r>
                  <w:r>
                    <w:rPr>
                      <w:rFonts w:hint="eastAsia"/>
                      <w:color w:val="auto"/>
                      <w:szCs w:val="21"/>
                    </w:rPr>
                    <w:t>12</w:t>
                  </w:r>
                  <w:r>
                    <w:rPr>
                      <w:color w:val="auto"/>
                      <w:szCs w:val="21"/>
                    </w:rPr>
                    <w:t xml:space="preserve"> VET</w:t>
                  </w:r>
                </w:p>
              </w:tc>
              <w:tc>
                <w:tcPr>
                  <w:tcW w:w="816" w:type="dxa"/>
                  <w:tcBorders>
                    <w:tl2br w:val="nil"/>
                    <w:tr2bl w:val="nil"/>
                  </w:tcBorders>
                  <w:shd w:val="clear" w:color="auto" w:fill="auto"/>
                  <w:vAlign w:val="center"/>
                </w:tcPr>
                <w:p>
                  <w:pPr>
                    <w:pStyle w:val="167"/>
                    <w:jc w:val="center"/>
                    <w:rPr>
                      <w:color w:val="auto"/>
                    </w:rPr>
                  </w:pPr>
                  <w:r>
                    <w:rPr>
                      <w:color w:val="auto"/>
                      <w:szCs w:val="21"/>
                    </w:rPr>
                    <w:t>1</w:t>
                  </w:r>
                </w:p>
              </w:tc>
              <w:tc>
                <w:tcPr>
                  <w:tcW w:w="852" w:type="dxa"/>
                  <w:tcBorders>
                    <w:tl2br w:val="nil"/>
                    <w:tr2bl w:val="nil"/>
                  </w:tcBorders>
                  <w:shd w:val="clear" w:color="auto" w:fill="auto"/>
                  <w:vAlign w:val="center"/>
                </w:tcPr>
                <w:p>
                  <w:pPr>
                    <w:pStyle w:val="167"/>
                    <w:jc w:val="center"/>
                    <w:rPr>
                      <w:color w:val="auto"/>
                    </w:rPr>
                  </w:pPr>
                  <w:r>
                    <w:rPr>
                      <w:color w:val="auto"/>
                    </w:rPr>
                    <w:t>台</w:t>
                  </w:r>
                </w:p>
              </w:tc>
              <w:tc>
                <w:tcPr>
                  <w:tcW w:w="811" w:type="dxa"/>
                  <w:tcBorders>
                    <w:tl2br w:val="nil"/>
                    <w:tr2bl w:val="nil"/>
                  </w:tcBorders>
                  <w:shd w:val="clear" w:color="auto" w:fill="auto"/>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vAlign w:val="center"/>
                </w:tcPr>
                <w:p>
                  <w:pPr>
                    <w:pStyle w:val="167"/>
                    <w:jc w:val="center"/>
                    <w:rPr>
                      <w:color w:val="auto"/>
                    </w:rPr>
                  </w:pPr>
                  <w:r>
                    <w:rPr>
                      <w:rFonts w:hint="eastAsia"/>
                      <w:color w:val="auto"/>
                    </w:rPr>
                    <w:t>20</w:t>
                  </w:r>
                </w:p>
              </w:tc>
              <w:tc>
                <w:tcPr>
                  <w:tcW w:w="2307" w:type="dxa"/>
                  <w:tcBorders>
                    <w:tl2br w:val="nil"/>
                    <w:tr2bl w:val="nil"/>
                  </w:tcBorders>
                  <w:shd w:val="clear" w:color="auto" w:fill="auto"/>
                  <w:vAlign w:val="center"/>
                </w:tcPr>
                <w:p>
                  <w:pPr>
                    <w:pStyle w:val="167"/>
                    <w:jc w:val="center"/>
                    <w:rPr>
                      <w:color w:val="auto"/>
                    </w:rPr>
                  </w:pPr>
                  <w:r>
                    <w:rPr>
                      <w:color w:val="auto"/>
                      <w:kern w:val="0"/>
                      <w:szCs w:val="21"/>
                    </w:rPr>
                    <w:t>知心鸟心电图</w:t>
                  </w:r>
                </w:p>
              </w:tc>
              <w:tc>
                <w:tcPr>
                  <w:tcW w:w="3288" w:type="dxa"/>
                  <w:tcBorders>
                    <w:tl2br w:val="nil"/>
                    <w:tr2bl w:val="nil"/>
                  </w:tcBorders>
                  <w:shd w:val="clear" w:color="auto" w:fill="auto"/>
                  <w:vAlign w:val="center"/>
                </w:tcPr>
                <w:p>
                  <w:pPr>
                    <w:pStyle w:val="167"/>
                    <w:jc w:val="center"/>
                    <w:rPr>
                      <w:color w:val="auto"/>
                      <w:szCs w:val="21"/>
                    </w:rPr>
                  </w:pPr>
                  <w:r>
                    <w:rPr>
                      <w:rFonts w:hint="eastAsia"/>
                      <w:color w:val="auto"/>
                      <w:szCs w:val="21"/>
                    </w:rPr>
                    <w:t>/</w:t>
                  </w:r>
                </w:p>
              </w:tc>
              <w:tc>
                <w:tcPr>
                  <w:tcW w:w="816" w:type="dxa"/>
                  <w:tcBorders>
                    <w:tl2br w:val="nil"/>
                    <w:tr2bl w:val="nil"/>
                  </w:tcBorders>
                  <w:shd w:val="clear" w:color="auto" w:fill="auto"/>
                  <w:vAlign w:val="center"/>
                </w:tcPr>
                <w:p>
                  <w:pPr>
                    <w:pStyle w:val="167"/>
                    <w:jc w:val="center"/>
                    <w:rPr>
                      <w:color w:val="auto"/>
                    </w:rPr>
                  </w:pPr>
                  <w:r>
                    <w:rPr>
                      <w:color w:val="auto"/>
                      <w:szCs w:val="21"/>
                    </w:rPr>
                    <w:t>1</w:t>
                  </w:r>
                </w:p>
              </w:tc>
              <w:tc>
                <w:tcPr>
                  <w:tcW w:w="852" w:type="dxa"/>
                  <w:tcBorders>
                    <w:tl2br w:val="nil"/>
                    <w:tr2bl w:val="nil"/>
                  </w:tcBorders>
                  <w:vAlign w:val="center"/>
                </w:tcPr>
                <w:p>
                  <w:pPr>
                    <w:pStyle w:val="167"/>
                    <w:jc w:val="center"/>
                    <w:rPr>
                      <w:color w:val="auto"/>
                    </w:rPr>
                  </w:pPr>
                  <w:r>
                    <w:rPr>
                      <w:rFonts w:hint="eastAsia"/>
                      <w:color w:val="auto"/>
                    </w:rPr>
                    <w:t>台</w:t>
                  </w:r>
                </w:p>
              </w:tc>
              <w:tc>
                <w:tcPr>
                  <w:tcW w:w="811" w:type="dxa"/>
                  <w:tcBorders>
                    <w:tl2br w:val="nil"/>
                    <w:tr2bl w:val="nil"/>
                  </w:tcBorders>
                  <w:vAlign w:val="center"/>
                </w:tcPr>
                <w:p>
                  <w:pPr>
                    <w:pStyle w:val="167"/>
                    <w:jc w:val="center"/>
                    <w:rPr>
                      <w:color w:val="auto"/>
                    </w:rPr>
                  </w:pPr>
                  <w:r>
                    <w:rPr>
                      <w:rFonts w:hint="eastAsia"/>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vAlign w:val="center"/>
                </w:tcPr>
                <w:p>
                  <w:pPr>
                    <w:pStyle w:val="167"/>
                    <w:jc w:val="center"/>
                    <w:rPr>
                      <w:color w:val="auto"/>
                    </w:rPr>
                  </w:pPr>
                  <w:r>
                    <w:rPr>
                      <w:rFonts w:hint="eastAsia"/>
                      <w:color w:val="auto"/>
                    </w:rPr>
                    <w:t>21</w:t>
                  </w:r>
                </w:p>
              </w:tc>
              <w:tc>
                <w:tcPr>
                  <w:tcW w:w="2307" w:type="dxa"/>
                  <w:tcBorders>
                    <w:tl2br w:val="nil"/>
                    <w:tr2bl w:val="nil"/>
                  </w:tcBorders>
                  <w:shd w:val="clear" w:color="auto" w:fill="auto"/>
                  <w:vAlign w:val="center"/>
                </w:tcPr>
                <w:p>
                  <w:pPr>
                    <w:pStyle w:val="167"/>
                    <w:jc w:val="center"/>
                    <w:rPr>
                      <w:color w:val="auto"/>
                    </w:rPr>
                  </w:pPr>
                  <w:r>
                    <w:rPr>
                      <w:color w:val="auto"/>
                      <w:szCs w:val="21"/>
                    </w:rPr>
                    <w:t>制氧机</w:t>
                  </w:r>
                </w:p>
              </w:tc>
              <w:tc>
                <w:tcPr>
                  <w:tcW w:w="3288" w:type="dxa"/>
                  <w:tcBorders>
                    <w:tl2br w:val="nil"/>
                    <w:tr2bl w:val="nil"/>
                  </w:tcBorders>
                  <w:shd w:val="clear" w:color="auto" w:fill="auto"/>
                  <w:vAlign w:val="center"/>
                </w:tcPr>
                <w:p>
                  <w:pPr>
                    <w:pStyle w:val="167"/>
                    <w:jc w:val="center"/>
                    <w:rPr>
                      <w:color w:val="auto"/>
                    </w:rPr>
                  </w:pPr>
                  <w:r>
                    <w:rPr>
                      <w:rFonts w:hint="eastAsia"/>
                      <w:color w:val="auto"/>
                      <w:szCs w:val="21"/>
                    </w:rPr>
                    <w:t>莱弗特</w:t>
                  </w:r>
                  <w:r>
                    <w:rPr>
                      <w:color w:val="auto"/>
                      <w:szCs w:val="21"/>
                    </w:rPr>
                    <w:t>YC</w:t>
                  </w:r>
                  <w:r>
                    <w:rPr>
                      <w:rFonts w:hint="eastAsia"/>
                      <w:color w:val="auto"/>
                      <w:szCs w:val="21"/>
                    </w:rPr>
                    <w:t>03-7L</w:t>
                  </w:r>
                </w:p>
              </w:tc>
              <w:tc>
                <w:tcPr>
                  <w:tcW w:w="816" w:type="dxa"/>
                  <w:tcBorders>
                    <w:tl2br w:val="nil"/>
                    <w:tr2bl w:val="nil"/>
                  </w:tcBorders>
                  <w:shd w:val="clear" w:color="auto" w:fill="auto"/>
                  <w:vAlign w:val="center"/>
                </w:tcPr>
                <w:p>
                  <w:pPr>
                    <w:pStyle w:val="167"/>
                    <w:jc w:val="center"/>
                    <w:rPr>
                      <w:color w:val="auto"/>
                      <w:szCs w:val="21"/>
                    </w:rPr>
                  </w:pPr>
                  <w:r>
                    <w:rPr>
                      <w:rFonts w:hint="eastAsia"/>
                      <w:color w:val="auto"/>
                      <w:szCs w:val="21"/>
                    </w:rPr>
                    <w:t>1</w:t>
                  </w:r>
                </w:p>
              </w:tc>
              <w:tc>
                <w:tcPr>
                  <w:tcW w:w="852" w:type="dxa"/>
                  <w:tcBorders>
                    <w:tl2br w:val="nil"/>
                    <w:tr2bl w:val="nil"/>
                  </w:tcBorders>
                  <w:shd w:val="clear" w:color="auto" w:fill="auto"/>
                  <w:vAlign w:val="center"/>
                </w:tcPr>
                <w:p>
                  <w:pPr>
                    <w:pStyle w:val="167"/>
                    <w:jc w:val="center"/>
                    <w:rPr>
                      <w:color w:val="auto"/>
                    </w:rPr>
                  </w:pPr>
                  <w:r>
                    <w:rPr>
                      <w:rFonts w:hint="eastAsia"/>
                      <w:color w:val="auto"/>
                    </w:rPr>
                    <w:t>台</w:t>
                  </w:r>
                </w:p>
              </w:tc>
              <w:tc>
                <w:tcPr>
                  <w:tcW w:w="811" w:type="dxa"/>
                  <w:tcBorders>
                    <w:tl2br w:val="nil"/>
                    <w:tr2bl w:val="nil"/>
                  </w:tcBorders>
                  <w:shd w:val="clear" w:color="auto" w:fill="auto"/>
                  <w:vAlign w:val="center"/>
                </w:tcPr>
                <w:p>
                  <w:pPr>
                    <w:pStyle w:val="167"/>
                    <w:jc w:val="center"/>
                    <w:rPr>
                      <w:color w:val="auto"/>
                    </w:rPr>
                  </w:pPr>
                  <w:r>
                    <w:rPr>
                      <w:rFonts w:hint="eastAsia"/>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vAlign w:val="center"/>
                </w:tcPr>
                <w:p>
                  <w:pPr>
                    <w:pStyle w:val="167"/>
                    <w:jc w:val="center"/>
                    <w:rPr>
                      <w:color w:val="auto"/>
                    </w:rPr>
                  </w:pPr>
                  <w:r>
                    <w:rPr>
                      <w:rFonts w:hint="eastAsia"/>
                      <w:color w:val="auto"/>
                    </w:rPr>
                    <w:t>22</w:t>
                  </w:r>
                </w:p>
              </w:tc>
              <w:tc>
                <w:tcPr>
                  <w:tcW w:w="2307" w:type="dxa"/>
                  <w:tcBorders>
                    <w:tl2br w:val="nil"/>
                    <w:tr2bl w:val="nil"/>
                  </w:tcBorders>
                  <w:shd w:val="clear" w:color="auto" w:fill="auto"/>
                  <w:vAlign w:val="center"/>
                </w:tcPr>
                <w:p>
                  <w:pPr>
                    <w:pStyle w:val="167"/>
                    <w:jc w:val="center"/>
                    <w:rPr>
                      <w:color w:val="auto"/>
                    </w:rPr>
                  </w:pPr>
                  <w:r>
                    <w:rPr>
                      <w:color w:val="auto"/>
                      <w:kern w:val="0"/>
                      <w:szCs w:val="21"/>
                    </w:rPr>
                    <w:t>输液泵</w:t>
                  </w:r>
                </w:p>
              </w:tc>
              <w:tc>
                <w:tcPr>
                  <w:tcW w:w="3288" w:type="dxa"/>
                  <w:tcBorders>
                    <w:tl2br w:val="nil"/>
                    <w:tr2bl w:val="nil"/>
                  </w:tcBorders>
                  <w:shd w:val="clear" w:color="auto" w:fill="auto"/>
                  <w:vAlign w:val="center"/>
                </w:tcPr>
                <w:p>
                  <w:pPr>
                    <w:pStyle w:val="167"/>
                    <w:jc w:val="center"/>
                    <w:rPr>
                      <w:color w:val="auto"/>
                    </w:rPr>
                  </w:pPr>
                  <w:r>
                    <w:rPr>
                      <w:rFonts w:hint="eastAsia"/>
                      <w:color w:val="auto"/>
                      <w:szCs w:val="21"/>
                    </w:rPr>
                    <w:t>MDKMED M125VET</w:t>
                  </w:r>
                </w:p>
              </w:tc>
              <w:tc>
                <w:tcPr>
                  <w:tcW w:w="816" w:type="dxa"/>
                  <w:tcBorders>
                    <w:tl2br w:val="nil"/>
                    <w:tr2bl w:val="nil"/>
                  </w:tcBorders>
                  <w:shd w:val="clear" w:color="auto" w:fill="auto"/>
                  <w:vAlign w:val="center"/>
                </w:tcPr>
                <w:p>
                  <w:pPr>
                    <w:pStyle w:val="167"/>
                    <w:jc w:val="center"/>
                    <w:rPr>
                      <w:color w:val="auto"/>
                    </w:rPr>
                  </w:pPr>
                  <w:r>
                    <w:rPr>
                      <w:rFonts w:hint="eastAsia"/>
                      <w:color w:val="auto"/>
                      <w:szCs w:val="21"/>
                    </w:rPr>
                    <w:t>4</w:t>
                  </w:r>
                </w:p>
              </w:tc>
              <w:tc>
                <w:tcPr>
                  <w:tcW w:w="852" w:type="dxa"/>
                  <w:tcBorders>
                    <w:tl2br w:val="nil"/>
                    <w:tr2bl w:val="nil"/>
                  </w:tcBorders>
                  <w:shd w:val="clear" w:color="auto" w:fill="auto"/>
                  <w:vAlign w:val="center"/>
                </w:tcPr>
                <w:p>
                  <w:pPr>
                    <w:pStyle w:val="167"/>
                    <w:jc w:val="center"/>
                    <w:rPr>
                      <w:color w:val="auto"/>
                    </w:rPr>
                  </w:pPr>
                  <w:r>
                    <w:rPr>
                      <w:color w:val="auto"/>
                    </w:rPr>
                    <w:t>台</w:t>
                  </w:r>
                </w:p>
              </w:tc>
              <w:tc>
                <w:tcPr>
                  <w:tcW w:w="811" w:type="dxa"/>
                  <w:tcBorders>
                    <w:tl2br w:val="nil"/>
                    <w:tr2bl w:val="nil"/>
                  </w:tcBorders>
                  <w:shd w:val="clear" w:color="auto" w:fill="auto"/>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vAlign w:val="center"/>
                </w:tcPr>
                <w:p>
                  <w:pPr>
                    <w:pStyle w:val="167"/>
                    <w:jc w:val="center"/>
                    <w:rPr>
                      <w:color w:val="auto"/>
                    </w:rPr>
                  </w:pPr>
                  <w:r>
                    <w:rPr>
                      <w:rFonts w:hint="eastAsia"/>
                      <w:color w:val="auto"/>
                    </w:rPr>
                    <w:t>23</w:t>
                  </w:r>
                </w:p>
              </w:tc>
              <w:tc>
                <w:tcPr>
                  <w:tcW w:w="2307" w:type="dxa"/>
                  <w:tcBorders>
                    <w:tl2br w:val="nil"/>
                    <w:tr2bl w:val="nil"/>
                  </w:tcBorders>
                  <w:shd w:val="clear" w:color="auto" w:fill="auto"/>
                  <w:vAlign w:val="center"/>
                </w:tcPr>
                <w:p>
                  <w:pPr>
                    <w:pStyle w:val="167"/>
                    <w:jc w:val="center"/>
                    <w:rPr>
                      <w:color w:val="auto"/>
                    </w:rPr>
                  </w:pPr>
                  <w:r>
                    <w:rPr>
                      <w:color w:val="auto"/>
                      <w:kern w:val="0"/>
                      <w:szCs w:val="21"/>
                    </w:rPr>
                    <w:t>瑞沃德-兽用喉镜灯泡型</w:t>
                  </w:r>
                </w:p>
              </w:tc>
              <w:tc>
                <w:tcPr>
                  <w:tcW w:w="3288" w:type="dxa"/>
                  <w:tcBorders>
                    <w:tl2br w:val="nil"/>
                    <w:tr2bl w:val="nil"/>
                  </w:tcBorders>
                  <w:shd w:val="clear" w:color="auto" w:fill="auto"/>
                  <w:vAlign w:val="center"/>
                </w:tcPr>
                <w:p>
                  <w:pPr>
                    <w:pStyle w:val="167"/>
                    <w:jc w:val="center"/>
                    <w:rPr>
                      <w:color w:val="auto"/>
                      <w:szCs w:val="21"/>
                    </w:rPr>
                  </w:pPr>
                  <w:r>
                    <w:rPr>
                      <w:rFonts w:hint="eastAsia"/>
                      <w:color w:val="auto"/>
                      <w:szCs w:val="21"/>
                    </w:rPr>
                    <w:t>金脑人</w:t>
                  </w:r>
                </w:p>
              </w:tc>
              <w:tc>
                <w:tcPr>
                  <w:tcW w:w="816" w:type="dxa"/>
                  <w:tcBorders>
                    <w:tl2br w:val="nil"/>
                    <w:tr2bl w:val="nil"/>
                  </w:tcBorders>
                  <w:shd w:val="clear" w:color="auto" w:fill="auto"/>
                  <w:vAlign w:val="center"/>
                </w:tcPr>
                <w:p>
                  <w:pPr>
                    <w:pStyle w:val="167"/>
                    <w:jc w:val="center"/>
                    <w:rPr>
                      <w:color w:val="auto"/>
                      <w:szCs w:val="21"/>
                    </w:rPr>
                  </w:pPr>
                  <w:r>
                    <w:rPr>
                      <w:rFonts w:hint="eastAsia"/>
                      <w:color w:val="auto"/>
                      <w:szCs w:val="21"/>
                    </w:rPr>
                    <w:t>1</w:t>
                  </w:r>
                </w:p>
              </w:tc>
              <w:tc>
                <w:tcPr>
                  <w:tcW w:w="852" w:type="dxa"/>
                  <w:tcBorders>
                    <w:tl2br w:val="nil"/>
                    <w:tr2bl w:val="nil"/>
                  </w:tcBorders>
                  <w:shd w:val="clear" w:color="auto" w:fill="auto"/>
                  <w:vAlign w:val="center"/>
                </w:tcPr>
                <w:p>
                  <w:pPr>
                    <w:pStyle w:val="167"/>
                    <w:jc w:val="center"/>
                    <w:rPr>
                      <w:color w:val="auto"/>
                    </w:rPr>
                  </w:pPr>
                  <w:r>
                    <w:rPr>
                      <w:color w:val="auto"/>
                    </w:rPr>
                    <w:t>台</w:t>
                  </w:r>
                </w:p>
              </w:tc>
              <w:tc>
                <w:tcPr>
                  <w:tcW w:w="811" w:type="dxa"/>
                  <w:tcBorders>
                    <w:tl2br w:val="nil"/>
                    <w:tr2bl w:val="nil"/>
                  </w:tcBorders>
                  <w:shd w:val="clear" w:color="auto" w:fill="auto"/>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vAlign w:val="center"/>
                </w:tcPr>
                <w:p>
                  <w:pPr>
                    <w:pStyle w:val="167"/>
                    <w:jc w:val="center"/>
                    <w:rPr>
                      <w:color w:val="auto"/>
                    </w:rPr>
                  </w:pPr>
                  <w:r>
                    <w:rPr>
                      <w:rFonts w:hint="eastAsia"/>
                      <w:color w:val="auto"/>
                    </w:rPr>
                    <w:t>24</w:t>
                  </w:r>
                </w:p>
              </w:tc>
              <w:tc>
                <w:tcPr>
                  <w:tcW w:w="2307" w:type="dxa"/>
                  <w:tcBorders>
                    <w:tl2br w:val="nil"/>
                    <w:tr2bl w:val="nil"/>
                  </w:tcBorders>
                  <w:shd w:val="clear" w:color="auto" w:fill="auto"/>
                  <w:vAlign w:val="center"/>
                </w:tcPr>
                <w:p>
                  <w:pPr>
                    <w:pStyle w:val="167"/>
                    <w:jc w:val="center"/>
                    <w:rPr>
                      <w:color w:val="auto"/>
                    </w:rPr>
                  </w:pPr>
                  <w:r>
                    <w:rPr>
                      <w:color w:val="auto"/>
                      <w:kern w:val="0"/>
                      <w:szCs w:val="21"/>
                    </w:rPr>
                    <w:t>卵巢钩</w:t>
                  </w:r>
                </w:p>
              </w:tc>
              <w:tc>
                <w:tcPr>
                  <w:tcW w:w="3288" w:type="dxa"/>
                  <w:tcBorders>
                    <w:tl2br w:val="nil"/>
                    <w:tr2bl w:val="nil"/>
                  </w:tcBorders>
                  <w:shd w:val="clear" w:color="auto" w:fill="auto"/>
                  <w:vAlign w:val="center"/>
                </w:tcPr>
                <w:p>
                  <w:pPr>
                    <w:pStyle w:val="167"/>
                    <w:jc w:val="center"/>
                    <w:rPr>
                      <w:color w:val="auto"/>
                      <w:szCs w:val="21"/>
                    </w:rPr>
                  </w:pPr>
                  <w:r>
                    <w:rPr>
                      <w:rFonts w:hint="eastAsia"/>
                      <w:color w:val="auto"/>
                      <w:szCs w:val="21"/>
                    </w:rPr>
                    <w:t>/</w:t>
                  </w:r>
                </w:p>
              </w:tc>
              <w:tc>
                <w:tcPr>
                  <w:tcW w:w="816" w:type="dxa"/>
                  <w:tcBorders>
                    <w:tl2br w:val="nil"/>
                    <w:tr2bl w:val="nil"/>
                  </w:tcBorders>
                  <w:shd w:val="clear" w:color="auto" w:fill="auto"/>
                  <w:vAlign w:val="center"/>
                </w:tcPr>
                <w:p>
                  <w:pPr>
                    <w:pStyle w:val="167"/>
                    <w:jc w:val="center"/>
                    <w:rPr>
                      <w:color w:val="auto"/>
                    </w:rPr>
                  </w:pPr>
                  <w:r>
                    <w:rPr>
                      <w:color w:val="auto"/>
                      <w:szCs w:val="21"/>
                    </w:rPr>
                    <w:t>2</w:t>
                  </w:r>
                </w:p>
              </w:tc>
              <w:tc>
                <w:tcPr>
                  <w:tcW w:w="852" w:type="dxa"/>
                  <w:tcBorders>
                    <w:tl2br w:val="nil"/>
                    <w:tr2bl w:val="nil"/>
                  </w:tcBorders>
                  <w:shd w:val="clear" w:color="auto" w:fill="auto"/>
                  <w:vAlign w:val="center"/>
                </w:tcPr>
                <w:p>
                  <w:pPr>
                    <w:pStyle w:val="167"/>
                    <w:jc w:val="center"/>
                    <w:rPr>
                      <w:color w:val="auto"/>
                    </w:rPr>
                  </w:pPr>
                  <w:r>
                    <w:rPr>
                      <w:color w:val="auto"/>
                    </w:rPr>
                    <w:t>台</w:t>
                  </w:r>
                </w:p>
              </w:tc>
              <w:tc>
                <w:tcPr>
                  <w:tcW w:w="811" w:type="dxa"/>
                  <w:tcBorders>
                    <w:tl2br w:val="nil"/>
                    <w:tr2bl w:val="nil"/>
                  </w:tcBorders>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vAlign w:val="center"/>
                </w:tcPr>
                <w:p>
                  <w:pPr>
                    <w:pStyle w:val="167"/>
                    <w:jc w:val="center"/>
                    <w:rPr>
                      <w:color w:val="auto"/>
                    </w:rPr>
                  </w:pPr>
                  <w:r>
                    <w:rPr>
                      <w:rFonts w:hint="eastAsia"/>
                      <w:color w:val="auto"/>
                    </w:rPr>
                    <w:t>25</w:t>
                  </w:r>
                </w:p>
              </w:tc>
              <w:tc>
                <w:tcPr>
                  <w:tcW w:w="2307" w:type="dxa"/>
                  <w:tcBorders>
                    <w:tl2br w:val="nil"/>
                    <w:tr2bl w:val="nil"/>
                  </w:tcBorders>
                  <w:shd w:val="clear" w:color="auto" w:fill="auto"/>
                  <w:vAlign w:val="center"/>
                </w:tcPr>
                <w:p>
                  <w:pPr>
                    <w:pStyle w:val="167"/>
                    <w:jc w:val="center"/>
                    <w:rPr>
                      <w:color w:val="auto"/>
                    </w:rPr>
                  </w:pPr>
                  <w:r>
                    <w:rPr>
                      <w:color w:val="auto"/>
                      <w:kern w:val="0"/>
                      <w:szCs w:val="21"/>
                    </w:rPr>
                    <w:t>罗卡氏钳</w:t>
                  </w:r>
                </w:p>
              </w:tc>
              <w:tc>
                <w:tcPr>
                  <w:tcW w:w="3288" w:type="dxa"/>
                  <w:tcBorders>
                    <w:tl2br w:val="nil"/>
                    <w:tr2bl w:val="nil"/>
                  </w:tcBorders>
                  <w:shd w:val="clear" w:color="auto" w:fill="auto"/>
                  <w:vAlign w:val="center"/>
                </w:tcPr>
                <w:p>
                  <w:pPr>
                    <w:pStyle w:val="167"/>
                    <w:jc w:val="center"/>
                    <w:rPr>
                      <w:color w:val="auto"/>
                      <w:szCs w:val="21"/>
                    </w:rPr>
                  </w:pPr>
                  <w:r>
                    <w:rPr>
                      <w:rFonts w:hint="eastAsia"/>
                      <w:color w:val="auto"/>
                      <w:szCs w:val="21"/>
                    </w:rPr>
                    <w:t>/</w:t>
                  </w:r>
                </w:p>
              </w:tc>
              <w:tc>
                <w:tcPr>
                  <w:tcW w:w="816" w:type="dxa"/>
                  <w:tcBorders>
                    <w:tl2br w:val="nil"/>
                    <w:tr2bl w:val="nil"/>
                  </w:tcBorders>
                  <w:shd w:val="clear" w:color="auto" w:fill="auto"/>
                  <w:vAlign w:val="center"/>
                </w:tcPr>
                <w:p>
                  <w:pPr>
                    <w:pStyle w:val="167"/>
                    <w:jc w:val="center"/>
                    <w:rPr>
                      <w:color w:val="auto"/>
                    </w:rPr>
                  </w:pPr>
                  <w:r>
                    <w:rPr>
                      <w:rFonts w:hint="eastAsia"/>
                      <w:color w:val="auto"/>
                    </w:rPr>
                    <w:t>5</w:t>
                  </w:r>
                </w:p>
              </w:tc>
              <w:tc>
                <w:tcPr>
                  <w:tcW w:w="852" w:type="dxa"/>
                  <w:tcBorders>
                    <w:tl2br w:val="nil"/>
                    <w:tr2bl w:val="nil"/>
                  </w:tcBorders>
                  <w:shd w:val="clear" w:color="auto" w:fill="auto"/>
                  <w:vAlign w:val="center"/>
                </w:tcPr>
                <w:p>
                  <w:pPr>
                    <w:pStyle w:val="167"/>
                    <w:jc w:val="center"/>
                    <w:rPr>
                      <w:color w:val="auto"/>
                    </w:rPr>
                  </w:pPr>
                  <w:r>
                    <w:rPr>
                      <w:color w:val="auto"/>
                    </w:rPr>
                    <w:t>台</w:t>
                  </w:r>
                </w:p>
              </w:tc>
              <w:tc>
                <w:tcPr>
                  <w:tcW w:w="811" w:type="dxa"/>
                  <w:tcBorders>
                    <w:tl2br w:val="nil"/>
                    <w:tr2bl w:val="nil"/>
                  </w:tcBorders>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vAlign w:val="center"/>
                </w:tcPr>
                <w:p>
                  <w:pPr>
                    <w:pStyle w:val="167"/>
                    <w:jc w:val="center"/>
                    <w:rPr>
                      <w:color w:val="auto"/>
                    </w:rPr>
                  </w:pPr>
                  <w:r>
                    <w:rPr>
                      <w:rFonts w:hint="eastAsia"/>
                      <w:color w:val="auto"/>
                    </w:rPr>
                    <w:t>26</w:t>
                  </w:r>
                </w:p>
              </w:tc>
              <w:tc>
                <w:tcPr>
                  <w:tcW w:w="2307" w:type="dxa"/>
                  <w:tcBorders>
                    <w:tl2br w:val="nil"/>
                    <w:tr2bl w:val="nil"/>
                  </w:tcBorders>
                  <w:shd w:val="clear" w:color="auto" w:fill="auto"/>
                  <w:vAlign w:val="center"/>
                </w:tcPr>
                <w:p>
                  <w:pPr>
                    <w:pStyle w:val="167"/>
                    <w:jc w:val="center"/>
                    <w:rPr>
                      <w:color w:val="auto"/>
                    </w:rPr>
                  </w:pPr>
                  <w:r>
                    <w:rPr>
                      <w:color w:val="auto"/>
                      <w:kern w:val="0"/>
                      <w:szCs w:val="21"/>
                    </w:rPr>
                    <w:t>听诊器</w:t>
                  </w:r>
                </w:p>
              </w:tc>
              <w:tc>
                <w:tcPr>
                  <w:tcW w:w="3288" w:type="dxa"/>
                  <w:tcBorders>
                    <w:tl2br w:val="nil"/>
                    <w:tr2bl w:val="nil"/>
                  </w:tcBorders>
                  <w:shd w:val="clear" w:color="auto" w:fill="auto"/>
                  <w:vAlign w:val="center"/>
                </w:tcPr>
                <w:p>
                  <w:pPr>
                    <w:pStyle w:val="167"/>
                    <w:jc w:val="center"/>
                    <w:rPr>
                      <w:color w:val="auto"/>
                      <w:szCs w:val="21"/>
                    </w:rPr>
                  </w:pPr>
                  <w:r>
                    <w:rPr>
                      <w:rFonts w:hint="eastAsia"/>
                      <w:color w:val="auto"/>
                      <w:szCs w:val="21"/>
                    </w:rPr>
                    <w:t>鱼跃</w:t>
                  </w:r>
                </w:p>
              </w:tc>
              <w:tc>
                <w:tcPr>
                  <w:tcW w:w="816" w:type="dxa"/>
                  <w:tcBorders>
                    <w:tl2br w:val="nil"/>
                    <w:tr2bl w:val="nil"/>
                  </w:tcBorders>
                  <w:shd w:val="clear" w:color="auto" w:fill="auto"/>
                  <w:vAlign w:val="center"/>
                </w:tcPr>
                <w:p>
                  <w:pPr>
                    <w:pStyle w:val="167"/>
                    <w:jc w:val="center"/>
                    <w:rPr>
                      <w:color w:val="auto"/>
                    </w:rPr>
                  </w:pPr>
                  <w:r>
                    <w:rPr>
                      <w:rFonts w:hint="eastAsia"/>
                      <w:color w:val="auto"/>
                      <w:szCs w:val="21"/>
                    </w:rPr>
                    <w:t>3</w:t>
                  </w:r>
                </w:p>
              </w:tc>
              <w:tc>
                <w:tcPr>
                  <w:tcW w:w="852" w:type="dxa"/>
                  <w:tcBorders>
                    <w:tl2br w:val="nil"/>
                    <w:tr2bl w:val="nil"/>
                  </w:tcBorders>
                  <w:shd w:val="clear" w:color="auto" w:fill="auto"/>
                  <w:vAlign w:val="center"/>
                </w:tcPr>
                <w:p>
                  <w:pPr>
                    <w:pStyle w:val="167"/>
                    <w:jc w:val="center"/>
                    <w:rPr>
                      <w:color w:val="auto"/>
                    </w:rPr>
                  </w:pPr>
                  <w:r>
                    <w:rPr>
                      <w:color w:val="auto"/>
                    </w:rPr>
                    <w:t>台</w:t>
                  </w:r>
                </w:p>
              </w:tc>
              <w:tc>
                <w:tcPr>
                  <w:tcW w:w="811" w:type="dxa"/>
                  <w:tcBorders>
                    <w:tl2br w:val="nil"/>
                    <w:tr2bl w:val="nil"/>
                  </w:tcBorders>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vAlign w:val="center"/>
                </w:tcPr>
                <w:p>
                  <w:pPr>
                    <w:pStyle w:val="167"/>
                    <w:jc w:val="center"/>
                    <w:rPr>
                      <w:color w:val="auto"/>
                    </w:rPr>
                  </w:pPr>
                  <w:r>
                    <w:rPr>
                      <w:rFonts w:hint="eastAsia"/>
                      <w:color w:val="auto"/>
                    </w:rPr>
                    <w:t>27</w:t>
                  </w:r>
                </w:p>
              </w:tc>
              <w:tc>
                <w:tcPr>
                  <w:tcW w:w="2307" w:type="dxa"/>
                  <w:tcBorders>
                    <w:tl2br w:val="nil"/>
                    <w:tr2bl w:val="nil"/>
                  </w:tcBorders>
                  <w:shd w:val="clear" w:color="auto" w:fill="auto"/>
                  <w:vAlign w:val="center"/>
                </w:tcPr>
                <w:p>
                  <w:pPr>
                    <w:pStyle w:val="167"/>
                    <w:jc w:val="center"/>
                    <w:rPr>
                      <w:color w:val="auto"/>
                    </w:rPr>
                  </w:pPr>
                  <w:r>
                    <w:rPr>
                      <w:color w:val="auto"/>
                      <w:kern w:val="0"/>
                      <w:szCs w:val="21"/>
                    </w:rPr>
                    <w:t>牙科工作台</w:t>
                  </w:r>
                </w:p>
              </w:tc>
              <w:tc>
                <w:tcPr>
                  <w:tcW w:w="3288" w:type="dxa"/>
                  <w:tcBorders>
                    <w:tl2br w:val="nil"/>
                    <w:tr2bl w:val="nil"/>
                  </w:tcBorders>
                  <w:shd w:val="clear" w:color="auto" w:fill="auto"/>
                  <w:vAlign w:val="center"/>
                </w:tcPr>
                <w:p>
                  <w:pPr>
                    <w:pStyle w:val="167"/>
                    <w:jc w:val="center"/>
                    <w:rPr>
                      <w:color w:val="auto"/>
                      <w:szCs w:val="21"/>
                    </w:rPr>
                  </w:pPr>
                  <w:r>
                    <w:rPr>
                      <w:rFonts w:hint="eastAsia"/>
                      <w:color w:val="auto"/>
                      <w:szCs w:val="21"/>
                    </w:rPr>
                    <w:t>无型号</w:t>
                  </w:r>
                </w:p>
              </w:tc>
              <w:tc>
                <w:tcPr>
                  <w:tcW w:w="816" w:type="dxa"/>
                  <w:tcBorders>
                    <w:tl2br w:val="nil"/>
                    <w:tr2bl w:val="nil"/>
                  </w:tcBorders>
                  <w:shd w:val="clear" w:color="auto" w:fill="auto"/>
                  <w:vAlign w:val="center"/>
                </w:tcPr>
                <w:p>
                  <w:pPr>
                    <w:pStyle w:val="167"/>
                    <w:jc w:val="center"/>
                    <w:rPr>
                      <w:color w:val="auto"/>
                    </w:rPr>
                  </w:pPr>
                  <w:r>
                    <w:rPr>
                      <w:color w:val="auto"/>
                      <w:szCs w:val="21"/>
                    </w:rPr>
                    <w:t>1</w:t>
                  </w:r>
                </w:p>
              </w:tc>
              <w:tc>
                <w:tcPr>
                  <w:tcW w:w="852" w:type="dxa"/>
                  <w:tcBorders>
                    <w:tl2br w:val="nil"/>
                    <w:tr2bl w:val="nil"/>
                  </w:tcBorders>
                  <w:shd w:val="clear" w:color="auto" w:fill="auto"/>
                  <w:vAlign w:val="center"/>
                </w:tcPr>
                <w:p>
                  <w:pPr>
                    <w:pStyle w:val="167"/>
                    <w:jc w:val="center"/>
                    <w:rPr>
                      <w:color w:val="auto"/>
                    </w:rPr>
                  </w:pPr>
                  <w:r>
                    <w:rPr>
                      <w:color w:val="auto"/>
                    </w:rPr>
                    <w:t>台</w:t>
                  </w:r>
                </w:p>
              </w:tc>
              <w:tc>
                <w:tcPr>
                  <w:tcW w:w="811" w:type="dxa"/>
                  <w:tcBorders>
                    <w:tl2br w:val="nil"/>
                    <w:tr2bl w:val="nil"/>
                  </w:tcBorders>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vAlign w:val="center"/>
                </w:tcPr>
                <w:p>
                  <w:pPr>
                    <w:pStyle w:val="167"/>
                    <w:jc w:val="center"/>
                    <w:rPr>
                      <w:color w:val="auto"/>
                    </w:rPr>
                  </w:pPr>
                  <w:r>
                    <w:rPr>
                      <w:rFonts w:hint="eastAsia"/>
                      <w:color w:val="auto"/>
                    </w:rPr>
                    <w:t>28</w:t>
                  </w:r>
                </w:p>
              </w:tc>
              <w:tc>
                <w:tcPr>
                  <w:tcW w:w="2307" w:type="dxa"/>
                  <w:tcBorders>
                    <w:tl2br w:val="nil"/>
                    <w:tr2bl w:val="nil"/>
                  </w:tcBorders>
                  <w:shd w:val="clear" w:color="auto" w:fill="auto"/>
                  <w:vAlign w:val="center"/>
                </w:tcPr>
                <w:p>
                  <w:pPr>
                    <w:pStyle w:val="167"/>
                    <w:jc w:val="center"/>
                    <w:rPr>
                      <w:color w:val="auto"/>
                      <w:kern w:val="0"/>
                      <w:szCs w:val="21"/>
                    </w:rPr>
                  </w:pPr>
                  <w:r>
                    <w:rPr>
                      <w:rFonts w:hint="eastAsia"/>
                      <w:color w:val="auto"/>
                      <w:kern w:val="0"/>
                      <w:szCs w:val="21"/>
                    </w:rPr>
                    <w:t>防护服</w:t>
                  </w:r>
                </w:p>
              </w:tc>
              <w:tc>
                <w:tcPr>
                  <w:tcW w:w="3288" w:type="dxa"/>
                  <w:tcBorders>
                    <w:tl2br w:val="nil"/>
                    <w:tr2bl w:val="nil"/>
                  </w:tcBorders>
                  <w:shd w:val="clear" w:color="auto" w:fill="auto"/>
                  <w:vAlign w:val="center"/>
                </w:tcPr>
                <w:p>
                  <w:pPr>
                    <w:pStyle w:val="167"/>
                    <w:jc w:val="center"/>
                    <w:rPr>
                      <w:color w:val="auto"/>
                    </w:rPr>
                  </w:pPr>
                  <w:r>
                    <w:rPr>
                      <w:rFonts w:hint="eastAsia"/>
                      <w:color w:val="auto"/>
                      <w:szCs w:val="21"/>
                    </w:rPr>
                    <w:t>德研氏</w:t>
                  </w:r>
                </w:p>
              </w:tc>
              <w:tc>
                <w:tcPr>
                  <w:tcW w:w="816" w:type="dxa"/>
                  <w:tcBorders>
                    <w:tl2br w:val="nil"/>
                    <w:tr2bl w:val="nil"/>
                  </w:tcBorders>
                  <w:shd w:val="clear" w:color="auto" w:fill="auto"/>
                  <w:vAlign w:val="center"/>
                </w:tcPr>
                <w:p>
                  <w:pPr>
                    <w:pStyle w:val="167"/>
                    <w:jc w:val="center"/>
                    <w:rPr>
                      <w:color w:val="auto"/>
                      <w:szCs w:val="21"/>
                    </w:rPr>
                  </w:pPr>
                  <w:r>
                    <w:rPr>
                      <w:rFonts w:hint="eastAsia"/>
                      <w:color w:val="auto"/>
                      <w:szCs w:val="21"/>
                    </w:rPr>
                    <w:t>2</w:t>
                  </w:r>
                </w:p>
              </w:tc>
              <w:tc>
                <w:tcPr>
                  <w:tcW w:w="852" w:type="dxa"/>
                  <w:tcBorders>
                    <w:tl2br w:val="nil"/>
                    <w:tr2bl w:val="nil"/>
                  </w:tcBorders>
                  <w:shd w:val="clear" w:color="auto" w:fill="auto"/>
                  <w:vAlign w:val="center"/>
                </w:tcPr>
                <w:p>
                  <w:pPr>
                    <w:pStyle w:val="167"/>
                    <w:jc w:val="center"/>
                    <w:rPr>
                      <w:color w:val="auto"/>
                    </w:rPr>
                  </w:pPr>
                  <w:r>
                    <w:rPr>
                      <w:rFonts w:hint="eastAsia"/>
                      <w:color w:val="auto"/>
                    </w:rPr>
                    <w:t>套</w:t>
                  </w:r>
                </w:p>
              </w:tc>
              <w:tc>
                <w:tcPr>
                  <w:tcW w:w="811" w:type="dxa"/>
                  <w:tcBorders>
                    <w:tl2br w:val="nil"/>
                    <w:tr2bl w:val="nil"/>
                  </w:tcBorders>
                  <w:vAlign w:val="center"/>
                </w:tcPr>
                <w:p>
                  <w:pPr>
                    <w:pStyle w:val="167"/>
                    <w:jc w:val="center"/>
                    <w:rPr>
                      <w:color w:val="auto"/>
                    </w:rPr>
                  </w:pPr>
                  <w:r>
                    <w:rPr>
                      <w:color w:val="auto"/>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vAlign w:val="center"/>
                </w:tcPr>
                <w:p>
                  <w:pPr>
                    <w:pStyle w:val="167"/>
                    <w:jc w:val="center"/>
                    <w:rPr>
                      <w:rFonts w:hint="eastAsia"/>
                      <w:color w:val="auto"/>
                    </w:rPr>
                  </w:pPr>
                  <w:r>
                    <w:rPr>
                      <w:rFonts w:hint="eastAsia"/>
                      <w:color w:val="auto"/>
                    </w:rPr>
                    <w:t>29</w:t>
                  </w:r>
                </w:p>
              </w:tc>
              <w:tc>
                <w:tcPr>
                  <w:tcW w:w="2307" w:type="dxa"/>
                  <w:tcBorders>
                    <w:tl2br w:val="nil"/>
                    <w:tr2bl w:val="nil"/>
                  </w:tcBorders>
                  <w:shd w:val="clear" w:color="auto" w:fill="auto"/>
                  <w:vAlign w:val="center"/>
                </w:tcPr>
                <w:p>
                  <w:pPr>
                    <w:pStyle w:val="167"/>
                    <w:jc w:val="center"/>
                    <w:rPr>
                      <w:rFonts w:hint="default" w:eastAsia="宋体"/>
                      <w:color w:val="auto"/>
                      <w:kern w:val="0"/>
                      <w:szCs w:val="21"/>
                      <w:lang w:val="en-US" w:eastAsia="zh-CN"/>
                    </w:rPr>
                  </w:pPr>
                  <w:r>
                    <w:rPr>
                      <w:rFonts w:hint="eastAsia"/>
                      <w:color w:val="auto"/>
                      <w:kern w:val="0"/>
                      <w:szCs w:val="21"/>
                      <w:lang w:val="en-US" w:eastAsia="zh-CN"/>
                    </w:rPr>
                    <w:t>紫外线消毒灯</w:t>
                  </w:r>
                </w:p>
              </w:tc>
              <w:tc>
                <w:tcPr>
                  <w:tcW w:w="3288" w:type="dxa"/>
                  <w:tcBorders>
                    <w:tl2br w:val="nil"/>
                    <w:tr2bl w:val="nil"/>
                  </w:tcBorders>
                  <w:shd w:val="clear" w:color="auto" w:fill="auto"/>
                  <w:vAlign w:val="center"/>
                </w:tcPr>
                <w:p>
                  <w:pPr>
                    <w:pStyle w:val="167"/>
                    <w:jc w:val="center"/>
                    <w:rPr>
                      <w:rFonts w:hint="eastAsia" w:eastAsia="宋体"/>
                      <w:color w:val="auto"/>
                      <w:szCs w:val="21"/>
                      <w:lang w:val="en-US" w:eastAsia="zh-CN"/>
                    </w:rPr>
                  </w:pPr>
                  <w:r>
                    <w:rPr>
                      <w:rFonts w:hint="eastAsia"/>
                      <w:color w:val="auto"/>
                      <w:szCs w:val="21"/>
                      <w:lang w:val="en-US" w:eastAsia="zh-CN"/>
                    </w:rPr>
                    <w:t>/</w:t>
                  </w:r>
                </w:p>
              </w:tc>
              <w:tc>
                <w:tcPr>
                  <w:tcW w:w="816" w:type="dxa"/>
                  <w:tcBorders>
                    <w:tl2br w:val="nil"/>
                    <w:tr2bl w:val="nil"/>
                  </w:tcBorders>
                  <w:shd w:val="clear" w:color="auto" w:fill="auto"/>
                  <w:vAlign w:val="center"/>
                </w:tcPr>
                <w:p>
                  <w:pPr>
                    <w:pStyle w:val="167"/>
                    <w:jc w:val="center"/>
                    <w:rPr>
                      <w:rFonts w:hint="eastAsia" w:eastAsia="宋体"/>
                      <w:color w:val="auto"/>
                      <w:szCs w:val="21"/>
                      <w:lang w:val="en-US" w:eastAsia="zh-CN"/>
                    </w:rPr>
                  </w:pPr>
                  <w:r>
                    <w:rPr>
                      <w:rFonts w:hint="eastAsia"/>
                      <w:color w:val="auto"/>
                      <w:szCs w:val="21"/>
                      <w:lang w:val="en-US" w:eastAsia="zh-CN"/>
                    </w:rPr>
                    <w:t>5</w:t>
                  </w:r>
                </w:p>
              </w:tc>
              <w:tc>
                <w:tcPr>
                  <w:tcW w:w="852" w:type="dxa"/>
                  <w:tcBorders>
                    <w:tl2br w:val="nil"/>
                    <w:tr2bl w:val="nil"/>
                  </w:tcBorders>
                  <w:shd w:val="clear" w:color="auto" w:fill="auto"/>
                  <w:vAlign w:val="center"/>
                </w:tcPr>
                <w:p>
                  <w:pPr>
                    <w:pStyle w:val="167"/>
                    <w:jc w:val="center"/>
                    <w:rPr>
                      <w:rFonts w:hint="eastAsia" w:eastAsia="宋体"/>
                      <w:color w:val="auto"/>
                      <w:lang w:val="en-US" w:eastAsia="zh-CN"/>
                    </w:rPr>
                  </w:pPr>
                  <w:r>
                    <w:rPr>
                      <w:rFonts w:hint="eastAsia"/>
                      <w:color w:val="auto"/>
                      <w:lang w:val="en-US" w:eastAsia="zh-CN"/>
                    </w:rPr>
                    <w:t>台</w:t>
                  </w:r>
                </w:p>
              </w:tc>
              <w:tc>
                <w:tcPr>
                  <w:tcW w:w="811" w:type="dxa"/>
                  <w:tcBorders>
                    <w:tl2br w:val="nil"/>
                    <w:tr2bl w:val="nil"/>
                  </w:tcBorders>
                  <w:vAlign w:val="center"/>
                </w:tcPr>
                <w:p>
                  <w:pPr>
                    <w:pStyle w:val="167"/>
                    <w:jc w:val="center"/>
                    <w:rPr>
                      <w:rFonts w:hint="eastAsia" w:eastAsia="宋体"/>
                      <w:color w:val="auto"/>
                      <w:lang w:val="en-US" w:eastAsia="zh-CN"/>
                    </w:rPr>
                  </w:pPr>
                  <w:r>
                    <w:rPr>
                      <w:rFonts w:hint="eastAsia"/>
                      <w:color w:val="auto"/>
                      <w:lang w:val="en-US" w:eastAsia="zh-CN"/>
                    </w:rPr>
                    <w:t>现有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0" w:type="dxa"/>
                  <w:tcBorders>
                    <w:tl2br w:val="nil"/>
                    <w:tr2bl w:val="nil"/>
                  </w:tcBorders>
                  <w:vAlign w:val="center"/>
                </w:tcPr>
                <w:p>
                  <w:pPr>
                    <w:pStyle w:val="167"/>
                    <w:jc w:val="center"/>
                    <w:rPr>
                      <w:rFonts w:hint="default" w:eastAsia="宋体"/>
                      <w:color w:val="auto"/>
                      <w:lang w:val="en-US" w:eastAsia="zh-CN"/>
                    </w:rPr>
                  </w:pPr>
                  <w:r>
                    <w:rPr>
                      <w:rFonts w:hint="eastAsia"/>
                      <w:color w:val="auto"/>
                      <w:lang w:val="en-US" w:eastAsia="zh-CN"/>
                    </w:rPr>
                    <w:t>30</w:t>
                  </w:r>
                </w:p>
              </w:tc>
              <w:tc>
                <w:tcPr>
                  <w:tcW w:w="2307" w:type="dxa"/>
                  <w:tcBorders>
                    <w:tl2br w:val="nil"/>
                    <w:tr2bl w:val="nil"/>
                  </w:tcBorders>
                  <w:shd w:val="clear" w:color="auto" w:fill="auto"/>
                  <w:vAlign w:val="center"/>
                </w:tcPr>
                <w:p>
                  <w:pPr>
                    <w:pStyle w:val="167"/>
                    <w:jc w:val="center"/>
                    <w:rPr>
                      <w:color w:val="auto"/>
                      <w:kern w:val="0"/>
                      <w:szCs w:val="21"/>
                    </w:rPr>
                  </w:pPr>
                  <w:r>
                    <w:rPr>
                      <w:rFonts w:hint="eastAsia"/>
                      <w:color w:val="auto"/>
                      <w:kern w:val="0"/>
                      <w:szCs w:val="21"/>
                    </w:rPr>
                    <w:t>医疗废水预处理设施</w:t>
                  </w:r>
                </w:p>
              </w:tc>
              <w:tc>
                <w:tcPr>
                  <w:tcW w:w="3288" w:type="dxa"/>
                  <w:tcBorders>
                    <w:tl2br w:val="nil"/>
                    <w:tr2bl w:val="nil"/>
                  </w:tcBorders>
                  <w:shd w:val="clear" w:color="auto" w:fill="auto"/>
                  <w:vAlign w:val="center"/>
                </w:tcPr>
                <w:p>
                  <w:pPr>
                    <w:pStyle w:val="167"/>
                    <w:jc w:val="center"/>
                    <w:rPr>
                      <w:color w:val="auto"/>
                      <w:szCs w:val="21"/>
                    </w:rPr>
                  </w:pPr>
                  <w:r>
                    <w:rPr>
                      <w:rFonts w:hint="eastAsia"/>
                      <w:color w:val="auto"/>
                      <w:szCs w:val="21"/>
                    </w:rPr>
                    <w:t>0.5m</w:t>
                  </w:r>
                  <w:r>
                    <w:rPr>
                      <w:rFonts w:hint="eastAsia"/>
                      <w:color w:val="auto"/>
                      <w:szCs w:val="21"/>
                      <w:vertAlign w:val="superscript"/>
                    </w:rPr>
                    <w:t>3</w:t>
                  </w:r>
                  <w:r>
                    <w:rPr>
                      <w:rFonts w:hint="eastAsia"/>
                      <w:color w:val="auto"/>
                      <w:szCs w:val="21"/>
                    </w:rPr>
                    <w:t>/d</w:t>
                  </w:r>
                </w:p>
              </w:tc>
              <w:tc>
                <w:tcPr>
                  <w:tcW w:w="816" w:type="dxa"/>
                  <w:tcBorders>
                    <w:tl2br w:val="nil"/>
                    <w:tr2bl w:val="nil"/>
                  </w:tcBorders>
                  <w:shd w:val="clear" w:color="auto" w:fill="auto"/>
                  <w:vAlign w:val="center"/>
                </w:tcPr>
                <w:p>
                  <w:pPr>
                    <w:pStyle w:val="167"/>
                    <w:jc w:val="center"/>
                    <w:rPr>
                      <w:color w:val="auto"/>
                      <w:szCs w:val="21"/>
                    </w:rPr>
                  </w:pPr>
                  <w:r>
                    <w:rPr>
                      <w:rFonts w:hint="eastAsia"/>
                      <w:color w:val="auto"/>
                      <w:szCs w:val="21"/>
                    </w:rPr>
                    <w:t>1</w:t>
                  </w:r>
                </w:p>
              </w:tc>
              <w:tc>
                <w:tcPr>
                  <w:tcW w:w="852" w:type="dxa"/>
                  <w:tcBorders>
                    <w:tl2br w:val="nil"/>
                    <w:tr2bl w:val="nil"/>
                  </w:tcBorders>
                  <w:shd w:val="clear" w:color="auto" w:fill="auto"/>
                  <w:vAlign w:val="center"/>
                </w:tcPr>
                <w:p>
                  <w:pPr>
                    <w:pStyle w:val="167"/>
                    <w:jc w:val="center"/>
                    <w:rPr>
                      <w:rFonts w:hint="eastAsia" w:eastAsia="宋体"/>
                      <w:color w:val="auto"/>
                      <w:lang w:eastAsia="zh-CN"/>
                    </w:rPr>
                  </w:pPr>
                  <w:r>
                    <w:rPr>
                      <w:rFonts w:hint="eastAsia"/>
                      <w:color w:val="auto"/>
                      <w:lang w:val="en-US" w:eastAsia="zh-CN"/>
                    </w:rPr>
                    <w:t>套</w:t>
                  </w:r>
                </w:p>
              </w:tc>
              <w:tc>
                <w:tcPr>
                  <w:tcW w:w="811" w:type="dxa"/>
                  <w:tcBorders>
                    <w:tl2br w:val="nil"/>
                    <w:tr2bl w:val="nil"/>
                  </w:tcBorders>
                  <w:shd w:val="clear" w:color="auto" w:fill="auto"/>
                  <w:vAlign w:val="center"/>
                </w:tcPr>
                <w:p>
                  <w:pPr>
                    <w:pStyle w:val="167"/>
                    <w:jc w:val="center"/>
                    <w:rPr>
                      <w:color w:val="auto"/>
                    </w:rPr>
                  </w:pPr>
                  <w:r>
                    <w:rPr>
                      <w:color w:val="auto"/>
                    </w:rPr>
                    <w:t>现有</w:t>
                  </w:r>
                </w:p>
              </w:tc>
            </w:tr>
          </w:tbl>
          <w:p>
            <w:pPr>
              <w:adjustRightInd/>
              <w:snapToGrid/>
              <w:spacing w:before="120" w:beforeLines="50"/>
              <w:ind w:firstLine="420"/>
              <w:rPr>
                <w:color w:val="auto"/>
              </w:rPr>
            </w:pPr>
            <w:r>
              <w:rPr>
                <w:color w:val="auto"/>
              </w:rPr>
              <w:t>对照《国务院关于进一步加强淘汰落后产能工作的通知》（国发</w:t>
            </w:r>
            <w:r>
              <w:rPr>
                <w:color w:val="auto"/>
                <w:szCs w:val="21"/>
              </w:rPr>
              <w:t>〔2010〕</w:t>
            </w:r>
            <w:r>
              <w:rPr>
                <w:color w:val="auto"/>
              </w:rPr>
              <w:t>7号）、《产业结构调整指导目录（2024年本）》，项目未使用限制、落后、淘汰类仪器设备。</w:t>
            </w:r>
          </w:p>
          <w:p>
            <w:pPr>
              <w:adjustRightInd/>
              <w:snapToGrid/>
              <w:ind w:firstLine="422"/>
              <w:rPr>
                <w:b/>
                <w:color w:val="auto"/>
              </w:rPr>
            </w:pPr>
            <w:r>
              <w:rPr>
                <w:b/>
                <w:color w:val="auto"/>
              </w:rPr>
              <w:t>6、主要原辅材料</w:t>
            </w:r>
          </w:p>
          <w:p>
            <w:pPr>
              <w:adjustRightInd/>
              <w:snapToGrid/>
              <w:ind w:firstLine="420"/>
              <w:rPr>
                <w:color w:val="auto"/>
              </w:rPr>
            </w:pPr>
            <w:r>
              <w:rPr>
                <w:color w:val="auto"/>
              </w:rPr>
              <w:t>扩建项目原辅材料种类与现有项目一致，本次原辅材料、能源消耗整体统计，项目运营期能源消耗见表2-4、主要原辅材料及消耗量见表2-5。</w:t>
            </w:r>
          </w:p>
          <w:p>
            <w:pPr>
              <w:pStyle w:val="234"/>
              <w:adjustRightInd/>
              <w:snapToGrid/>
              <w:spacing w:before="120"/>
              <w:ind w:firstLine="0" w:firstLineChars="0"/>
              <w:rPr>
                <w:color w:val="auto"/>
              </w:rPr>
            </w:pPr>
            <w:r>
              <w:rPr>
                <w:color w:val="auto"/>
              </w:rPr>
              <w:t>表2-4    项目能耗一览表</w:t>
            </w:r>
          </w:p>
          <w:tbl>
            <w:tblPr>
              <w:tblStyle w:val="40"/>
              <w:tblW w:w="9020"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81"/>
              <w:gridCol w:w="2984"/>
              <w:gridCol w:w="2791"/>
              <w:gridCol w:w="206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181" w:type="dxa"/>
                  <w:tcBorders>
                    <w:tl2br w:val="nil"/>
                    <w:tr2bl w:val="nil"/>
                  </w:tcBorders>
                  <w:vAlign w:val="center"/>
                </w:tcPr>
                <w:p>
                  <w:pPr>
                    <w:pStyle w:val="167"/>
                    <w:adjustRightInd/>
                    <w:snapToGrid/>
                    <w:jc w:val="center"/>
                    <w:rPr>
                      <w:color w:val="auto"/>
                    </w:rPr>
                  </w:pPr>
                  <w:r>
                    <w:rPr>
                      <w:color w:val="auto"/>
                    </w:rPr>
                    <w:t>项目</w:t>
                  </w:r>
                </w:p>
              </w:tc>
              <w:tc>
                <w:tcPr>
                  <w:tcW w:w="2984" w:type="dxa"/>
                  <w:tcBorders>
                    <w:tl2br w:val="nil"/>
                    <w:tr2bl w:val="nil"/>
                  </w:tcBorders>
                  <w:vAlign w:val="center"/>
                </w:tcPr>
                <w:p>
                  <w:pPr>
                    <w:pStyle w:val="167"/>
                    <w:adjustRightInd/>
                    <w:snapToGrid/>
                    <w:jc w:val="center"/>
                    <w:rPr>
                      <w:color w:val="auto"/>
                    </w:rPr>
                  </w:pPr>
                  <w:r>
                    <w:rPr>
                      <w:color w:val="auto"/>
                    </w:rPr>
                    <w:t>原辅料名称</w:t>
                  </w:r>
                </w:p>
              </w:tc>
              <w:tc>
                <w:tcPr>
                  <w:tcW w:w="2791" w:type="dxa"/>
                  <w:tcBorders>
                    <w:tl2br w:val="nil"/>
                    <w:tr2bl w:val="nil"/>
                  </w:tcBorders>
                  <w:vAlign w:val="center"/>
                </w:tcPr>
                <w:p>
                  <w:pPr>
                    <w:pStyle w:val="167"/>
                    <w:adjustRightInd/>
                    <w:snapToGrid/>
                    <w:jc w:val="center"/>
                    <w:rPr>
                      <w:color w:val="auto"/>
                    </w:rPr>
                  </w:pPr>
                  <w:r>
                    <w:rPr>
                      <w:color w:val="auto"/>
                    </w:rPr>
                    <w:t>耗量</w:t>
                  </w:r>
                </w:p>
              </w:tc>
              <w:tc>
                <w:tcPr>
                  <w:tcW w:w="2064" w:type="dxa"/>
                  <w:tcBorders>
                    <w:tl2br w:val="nil"/>
                    <w:tr2bl w:val="nil"/>
                  </w:tcBorders>
                  <w:vAlign w:val="center"/>
                </w:tcPr>
                <w:p>
                  <w:pPr>
                    <w:pStyle w:val="167"/>
                    <w:adjustRightInd/>
                    <w:snapToGrid/>
                    <w:jc w:val="center"/>
                    <w:rPr>
                      <w:color w:val="auto"/>
                    </w:rPr>
                  </w:pPr>
                  <w:r>
                    <w:rPr>
                      <w:color w:val="auto"/>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181" w:type="dxa"/>
                  <w:vMerge w:val="restart"/>
                  <w:tcBorders>
                    <w:tl2br w:val="nil"/>
                    <w:tr2bl w:val="nil"/>
                  </w:tcBorders>
                  <w:vAlign w:val="center"/>
                </w:tcPr>
                <w:p>
                  <w:pPr>
                    <w:pStyle w:val="167"/>
                    <w:adjustRightInd/>
                    <w:snapToGrid/>
                    <w:jc w:val="center"/>
                    <w:rPr>
                      <w:color w:val="auto"/>
                    </w:rPr>
                  </w:pPr>
                  <w:r>
                    <w:rPr>
                      <w:color w:val="auto"/>
                    </w:rPr>
                    <w:t>能源消耗</w:t>
                  </w:r>
                </w:p>
              </w:tc>
              <w:tc>
                <w:tcPr>
                  <w:tcW w:w="2984" w:type="dxa"/>
                  <w:tcBorders>
                    <w:tl2br w:val="nil"/>
                    <w:tr2bl w:val="nil"/>
                  </w:tcBorders>
                  <w:vAlign w:val="center"/>
                </w:tcPr>
                <w:p>
                  <w:pPr>
                    <w:pStyle w:val="167"/>
                    <w:adjustRightInd/>
                    <w:snapToGrid/>
                    <w:jc w:val="center"/>
                    <w:rPr>
                      <w:color w:val="auto"/>
                    </w:rPr>
                  </w:pPr>
                  <w:r>
                    <w:rPr>
                      <w:color w:val="auto"/>
                    </w:rPr>
                    <w:t>新鲜水</w:t>
                  </w:r>
                </w:p>
              </w:tc>
              <w:tc>
                <w:tcPr>
                  <w:tcW w:w="2791" w:type="dxa"/>
                  <w:tcBorders>
                    <w:tl2br w:val="nil"/>
                    <w:tr2bl w:val="nil"/>
                  </w:tcBorders>
                  <w:vAlign w:val="center"/>
                </w:tcPr>
                <w:p>
                  <w:pPr>
                    <w:pStyle w:val="167"/>
                    <w:adjustRightInd/>
                    <w:snapToGrid/>
                    <w:jc w:val="center"/>
                    <w:rPr>
                      <w:color w:val="auto"/>
                    </w:rPr>
                  </w:pPr>
                  <w:r>
                    <w:rPr>
                      <w:rFonts w:hint="eastAsia"/>
                      <w:color w:val="auto"/>
                      <w:lang w:eastAsia="zh-CN"/>
                    </w:rPr>
                    <w:t>50</w:t>
                  </w:r>
                  <w:r>
                    <w:rPr>
                      <w:rFonts w:hint="eastAsia"/>
                      <w:color w:val="auto"/>
                      <w:lang w:val="en-US" w:eastAsia="zh-CN"/>
                    </w:rPr>
                    <w:t>4.179</w:t>
                  </w:r>
                  <w:r>
                    <w:rPr>
                      <w:color w:val="auto"/>
                    </w:rPr>
                    <w:t>m</w:t>
                  </w:r>
                  <w:r>
                    <w:rPr>
                      <w:color w:val="auto"/>
                      <w:vertAlign w:val="superscript"/>
                    </w:rPr>
                    <w:t>3</w:t>
                  </w:r>
                  <w:r>
                    <w:rPr>
                      <w:color w:val="auto"/>
                    </w:rPr>
                    <w:t>/a</w:t>
                  </w:r>
                </w:p>
              </w:tc>
              <w:tc>
                <w:tcPr>
                  <w:tcW w:w="2064" w:type="dxa"/>
                  <w:vMerge w:val="restart"/>
                  <w:tcBorders>
                    <w:tl2br w:val="nil"/>
                    <w:tr2bl w:val="nil"/>
                  </w:tcBorders>
                  <w:vAlign w:val="center"/>
                </w:tcPr>
                <w:p>
                  <w:pPr>
                    <w:pStyle w:val="167"/>
                    <w:adjustRightInd/>
                    <w:snapToGrid/>
                    <w:jc w:val="center"/>
                    <w:rPr>
                      <w:color w:val="auto"/>
                    </w:rPr>
                  </w:pPr>
                  <w:r>
                    <w:rPr>
                      <w:color w:val="auto"/>
                    </w:rPr>
                    <w:t>市政供给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181" w:type="dxa"/>
                  <w:vMerge w:val="continue"/>
                  <w:tcBorders>
                    <w:tl2br w:val="nil"/>
                    <w:tr2bl w:val="nil"/>
                  </w:tcBorders>
                  <w:vAlign w:val="center"/>
                </w:tcPr>
                <w:p>
                  <w:pPr>
                    <w:pStyle w:val="167"/>
                    <w:adjustRightInd/>
                    <w:snapToGrid/>
                    <w:jc w:val="center"/>
                    <w:rPr>
                      <w:color w:val="auto"/>
                    </w:rPr>
                  </w:pPr>
                </w:p>
              </w:tc>
              <w:tc>
                <w:tcPr>
                  <w:tcW w:w="2984" w:type="dxa"/>
                  <w:tcBorders>
                    <w:tl2br w:val="nil"/>
                    <w:tr2bl w:val="nil"/>
                  </w:tcBorders>
                  <w:vAlign w:val="center"/>
                </w:tcPr>
                <w:p>
                  <w:pPr>
                    <w:pStyle w:val="167"/>
                    <w:adjustRightInd/>
                    <w:snapToGrid/>
                    <w:jc w:val="center"/>
                    <w:rPr>
                      <w:color w:val="auto"/>
                    </w:rPr>
                  </w:pPr>
                  <w:r>
                    <w:rPr>
                      <w:color w:val="auto"/>
                    </w:rPr>
                    <w:t>电</w:t>
                  </w:r>
                </w:p>
              </w:tc>
              <w:tc>
                <w:tcPr>
                  <w:tcW w:w="2791" w:type="dxa"/>
                  <w:tcBorders>
                    <w:tl2br w:val="nil"/>
                    <w:tr2bl w:val="nil"/>
                  </w:tcBorders>
                  <w:vAlign w:val="center"/>
                </w:tcPr>
                <w:p>
                  <w:pPr>
                    <w:pStyle w:val="167"/>
                    <w:adjustRightInd/>
                    <w:snapToGrid/>
                    <w:jc w:val="center"/>
                    <w:rPr>
                      <w:color w:val="auto"/>
                    </w:rPr>
                  </w:pPr>
                  <w:r>
                    <w:rPr>
                      <w:color w:val="auto"/>
                      <w:kern w:val="0"/>
                    </w:rPr>
                    <w:t>1万</w:t>
                  </w:r>
                  <w:r>
                    <w:rPr>
                      <w:color w:val="auto"/>
                    </w:rPr>
                    <w:t>kwh/a</w:t>
                  </w:r>
                </w:p>
              </w:tc>
              <w:tc>
                <w:tcPr>
                  <w:tcW w:w="2064" w:type="dxa"/>
                  <w:vMerge w:val="continue"/>
                  <w:tcBorders>
                    <w:tl2br w:val="nil"/>
                    <w:tr2bl w:val="nil"/>
                  </w:tcBorders>
                  <w:vAlign w:val="center"/>
                </w:tcPr>
                <w:p>
                  <w:pPr>
                    <w:pStyle w:val="167"/>
                    <w:adjustRightInd/>
                    <w:snapToGrid/>
                    <w:jc w:val="center"/>
                    <w:rPr>
                      <w:color w:val="auto"/>
                    </w:rPr>
                  </w:pPr>
                </w:p>
              </w:tc>
            </w:tr>
          </w:tbl>
          <w:p>
            <w:pPr>
              <w:pStyle w:val="234"/>
              <w:adjustRightInd/>
              <w:snapToGrid/>
              <w:spacing w:before="120"/>
              <w:ind w:firstLine="0" w:firstLineChars="0"/>
              <w:rPr>
                <w:color w:val="auto"/>
              </w:rPr>
            </w:pPr>
            <w:r>
              <w:rPr>
                <w:color w:val="auto"/>
              </w:rPr>
              <w:t xml:space="preserve">表2-5    项目主要原辅材料及消耗量一览表    </w:t>
            </w:r>
          </w:p>
          <w:tbl>
            <w:tblPr>
              <w:tblStyle w:val="40"/>
              <w:tblW w:w="9013"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1981"/>
              <w:gridCol w:w="1651"/>
              <w:gridCol w:w="1794"/>
              <w:gridCol w:w="196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2" w:type="dxa"/>
                  <w:tcBorders>
                    <w:tl2br w:val="nil"/>
                    <w:tr2bl w:val="nil"/>
                  </w:tcBorders>
                  <w:shd w:val="clear" w:color="auto" w:fill="auto"/>
                  <w:vAlign w:val="center"/>
                </w:tcPr>
                <w:p>
                  <w:pPr>
                    <w:pStyle w:val="167"/>
                    <w:jc w:val="center"/>
                    <w:rPr>
                      <w:color w:val="auto"/>
                    </w:rPr>
                  </w:pPr>
                  <w:r>
                    <w:rPr>
                      <w:color w:val="auto"/>
                    </w:rPr>
                    <w:t>类别</w:t>
                  </w:r>
                </w:p>
              </w:tc>
              <w:tc>
                <w:tcPr>
                  <w:tcW w:w="1981" w:type="dxa"/>
                  <w:tcBorders>
                    <w:tl2br w:val="nil"/>
                    <w:tr2bl w:val="nil"/>
                  </w:tcBorders>
                  <w:shd w:val="clear" w:color="auto" w:fill="auto"/>
                  <w:vAlign w:val="center"/>
                </w:tcPr>
                <w:p>
                  <w:pPr>
                    <w:pStyle w:val="167"/>
                    <w:jc w:val="center"/>
                    <w:rPr>
                      <w:color w:val="auto"/>
                    </w:rPr>
                  </w:pPr>
                  <w:r>
                    <w:rPr>
                      <w:color w:val="auto"/>
                    </w:rPr>
                    <w:t>名称</w:t>
                  </w:r>
                </w:p>
              </w:tc>
              <w:tc>
                <w:tcPr>
                  <w:tcW w:w="1651" w:type="dxa"/>
                  <w:tcBorders>
                    <w:tl2br w:val="nil"/>
                    <w:tr2bl w:val="nil"/>
                  </w:tcBorders>
                  <w:shd w:val="clear" w:color="auto" w:fill="auto"/>
                  <w:vAlign w:val="center"/>
                </w:tcPr>
                <w:p>
                  <w:pPr>
                    <w:pStyle w:val="167"/>
                    <w:jc w:val="center"/>
                    <w:rPr>
                      <w:color w:val="auto"/>
                    </w:rPr>
                  </w:pPr>
                  <w:r>
                    <w:rPr>
                      <w:color w:val="auto"/>
                    </w:rPr>
                    <w:t>年消耗量</w:t>
                  </w:r>
                </w:p>
              </w:tc>
              <w:tc>
                <w:tcPr>
                  <w:tcW w:w="1794" w:type="dxa"/>
                  <w:tcBorders>
                    <w:tl2br w:val="nil"/>
                    <w:tr2bl w:val="nil"/>
                  </w:tcBorders>
                  <w:shd w:val="clear" w:color="auto" w:fill="auto"/>
                  <w:vAlign w:val="center"/>
                </w:tcPr>
                <w:p>
                  <w:pPr>
                    <w:pStyle w:val="167"/>
                    <w:jc w:val="center"/>
                    <w:rPr>
                      <w:color w:val="auto"/>
                    </w:rPr>
                  </w:pPr>
                  <w:r>
                    <w:rPr>
                      <w:color w:val="auto"/>
                    </w:rPr>
                    <w:t>最大储存量</w:t>
                  </w:r>
                </w:p>
              </w:tc>
              <w:tc>
                <w:tcPr>
                  <w:tcW w:w="1965" w:type="dxa"/>
                  <w:tcBorders>
                    <w:tl2br w:val="nil"/>
                    <w:tr2bl w:val="nil"/>
                  </w:tcBorders>
                  <w:shd w:val="clear" w:color="auto" w:fill="auto"/>
                  <w:vAlign w:val="center"/>
                </w:tcPr>
                <w:p>
                  <w:pPr>
                    <w:pStyle w:val="167"/>
                    <w:jc w:val="center"/>
                    <w:rPr>
                      <w:color w:val="auto"/>
                    </w:rPr>
                  </w:pPr>
                  <w:r>
                    <w:rPr>
                      <w:color w:val="auto"/>
                    </w:rPr>
                    <w:t>备注</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2" w:type="dxa"/>
                  <w:vMerge w:val="restart"/>
                  <w:tcBorders>
                    <w:tl2br w:val="nil"/>
                    <w:tr2bl w:val="nil"/>
                  </w:tcBorders>
                  <w:shd w:val="clear" w:color="auto" w:fill="auto"/>
                  <w:vAlign w:val="center"/>
                </w:tcPr>
                <w:p>
                  <w:pPr>
                    <w:pStyle w:val="167"/>
                    <w:jc w:val="center"/>
                    <w:rPr>
                      <w:color w:val="auto"/>
                    </w:rPr>
                  </w:pPr>
                  <w:r>
                    <w:rPr>
                      <w:color w:val="auto"/>
                    </w:rPr>
                    <w:t>医疗器械</w:t>
                  </w:r>
                </w:p>
              </w:tc>
              <w:tc>
                <w:tcPr>
                  <w:tcW w:w="1981" w:type="dxa"/>
                  <w:tcBorders>
                    <w:tl2br w:val="nil"/>
                    <w:tr2bl w:val="nil"/>
                  </w:tcBorders>
                  <w:shd w:val="clear" w:color="auto" w:fill="auto"/>
                  <w:vAlign w:val="center"/>
                </w:tcPr>
                <w:p>
                  <w:pPr>
                    <w:pStyle w:val="167"/>
                    <w:jc w:val="center"/>
                    <w:rPr>
                      <w:color w:val="auto"/>
                    </w:rPr>
                  </w:pPr>
                  <w:r>
                    <w:rPr>
                      <w:color w:val="auto"/>
                    </w:rPr>
                    <w:t>一次性注射器</w:t>
                  </w:r>
                </w:p>
              </w:tc>
              <w:tc>
                <w:tcPr>
                  <w:tcW w:w="1651" w:type="dxa"/>
                  <w:tcBorders>
                    <w:tl2br w:val="nil"/>
                    <w:tr2bl w:val="nil"/>
                  </w:tcBorders>
                  <w:shd w:val="clear" w:color="auto" w:fill="auto"/>
                  <w:vAlign w:val="center"/>
                </w:tcPr>
                <w:p>
                  <w:pPr>
                    <w:pStyle w:val="167"/>
                    <w:jc w:val="center"/>
                    <w:rPr>
                      <w:color w:val="auto"/>
                    </w:rPr>
                  </w:pPr>
                  <w:r>
                    <w:rPr>
                      <w:color w:val="auto"/>
                    </w:rPr>
                    <w:t>5000支</w:t>
                  </w:r>
                </w:p>
              </w:tc>
              <w:tc>
                <w:tcPr>
                  <w:tcW w:w="1794" w:type="dxa"/>
                  <w:tcBorders>
                    <w:tl2br w:val="nil"/>
                    <w:tr2bl w:val="nil"/>
                  </w:tcBorders>
                  <w:shd w:val="clear" w:color="auto" w:fill="auto"/>
                  <w:vAlign w:val="center"/>
                </w:tcPr>
                <w:p>
                  <w:pPr>
                    <w:pStyle w:val="167"/>
                    <w:jc w:val="center"/>
                    <w:rPr>
                      <w:color w:val="auto"/>
                    </w:rPr>
                  </w:pPr>
                  <w:r>
                    <w:rPr>
                      <w:rFonts w:hint="eastAsia"/>
                      <w:color w:val="auto"/>
                    </w:rPr>
                    <w:t>500</w:t>
                  </w:r>
                  <w:r>
                    <w:rPr>
                      <w:color w:val="auto"/>
                    </w:rPr>
                    <w:t>支</w:t>
                  </w:r>
                </w:p>
              </w:tc>
              <w:tc>
                <w:tcPr>
                  <w:tcW w:w="1965" w:type="dxa"/>
                  <w:tcBorders>
                    <w:tl2br w:val="nil"/>
                    <w:tr2bl w:val="nil"/>
                  </w:tcBorders>
                  <w:shd w:val="clear" w:color="auto" w:fill="auto"/>
                  <w:vAlign w:val="center"/>
                </w:tcPr>
                <w:p>
                  <w:pPr>
                    <w:pStyle w:val="167"/>
                    <w:jc w:val="center"/>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2" w:type="dxa"/>
                  <w:vMerge w:val="continue"/>
                  <w:tcBorders>
                    <w:tl2br w:val="nil"/>
                    <w:tr2bl w:val="nil"/>
                  </w:tcBorders>
                  <w:shd w:val="clear" w:color="auto" w:fill="auto"/>
                  <w:vAlign w:val="center"/>
                </w:tcPr>
                <w:p>
                  <w:pPr>
                    <w:pStyle w:val="167"/>
                    <w:jc w:val="center"/>
                    <w:rPr>
                      <w:color w:val="auto"/>
                    </w:rPr>
                  </w:pPr>
                </w:p>
              </w:tc>
              <w:tc>
                <w:tcPr>
                  <w:tcW w:w="1981" w:type="dxa"/>
                  <w:tcBorders>
                    <w:tl2br w:val="nil"/>
                    <w:tr2bl w:val="nil"/>
                  </w:tcBorders>
                  <w:shd w:val="clear" w:color="auto" w:fill="auto"/>
                  <w:vAlign w:val="center"/>
                </w:tcPr>
                <w:p>
                  <w:pPr>
                    <w:pStyle w:val="167"/>
                    <w:jc w:val="center"/>
                    <w:rPr>
                      <w:color w:val="auto"/>
                    </w:rPr>
                  </w:pPr>
                  <w:r>
                    <w:rPr>
                      <w:color w:val="auto"/>
                    </w:rPr>
                    <w:t>一次性输液器</w:t>
                  </w:r>
                </w:p>
              </w:tc>
              <w:tc>
                <w:tcPr>
                  <w:tcW w:w="1651" w:type="dxa"/>
                  <w:tcBorders>
                    <w:tl2br w:val="nil"/>
                    <w:tr2bl w:val="nil"/>
                  </w:tcBorders>
                  <w:shd w:val="clear" w:color="auto" w:fill="auto"/>
                  <w:vAlign w:val="center"/>
                </w:tcPr>
                <w:p>
                  <w:pPr>
                    <w:pStyle w:val="167"/>
                    <w:jc w:val="center"/>
                    <w:rPr>
                      <w:color w:val="auto"/>
                    </w:rPr>
                  </w:pPr>
                  <w:r>
                    <w:rPr>
                      <w:rFonts w:hint="eastAsia"/>
                      <w:color w:val="auto"/>
                    </w:rPr>
                    <w:t>1500</w:t>
                  </w:r>
                  <w:r>
                    <w:rPr>
                      <w:color w:val="auto"/>
                    </w:rPr>
                    <w:t>支</w:t>
                  </w:r>
                </w:p>
              </w:tc>
              <w:tc>
                <w:tcPr>
                  <w:tcW w:w="1794" w:type="dxa"/>
                  <w:tcBorders>
                    <w:tl2br w:val="nil"/>
                    <w:tr2bl w:val="nil"/>
                  </w:tcBorders>
                  <w:shd w:val="clear" w:color="auto" w:fill="auto"/>
                  <w:vAlign w:val="center"/>
                </w:tcPr>
                <w:p>
                  <w:pPr>
                    <w:pStyle w:val="167"/>
                    <w:jc w:val="center"/>
                    <w:rPr>
                      <w:color w:val="auto"/>
                    </w:rPr>
                  </w:pPr>
                  <w:r>
                    <w:rPr>
                      <w:rFonts w:hint="eastAsia"/>
                      <w:color w:val="auto"/>
                    </w:rPr>
                    <w:t>150</w:t>
                  </w:r>
                  <w:r>
                    <w:rPr>
                      <w:color w:val="auto"/>
                    </w:rPr>
                    <w:t>支</w:t>
                  </w:r>
                </w:p>
              </w:tc>
              <w:tc>
                <w:tcPr>
                  <w:tcW w:w="1965" w:type="dxa"/>
                  <w:tcBorders>
                    <w:tl2br w:val="nil"/>
                    <w:tr2bl w:val="nil"/>
                  </w:tcBorders>
                  <w:shd w:val="clear" w:color="auto" w:fill="auto"/>
                  <w:vAlign w:val="center"/>
                </w:tcPr>
                <w:p>
                  <w:pPr>
                    <w:pStyle w:val="167"/>
                    <w:jc w:val="center"/>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2" w:type="dxa"/>
                  <w:vMerge w:val="continue"/>
                  <w:tcBorders>
                    <w:tl2br w:val="nil"/>
                    <w:tr2bl w:val="nil"/>
                  </w:tcBorders>
                  <w:shd w:val="clear" w:color="auto" w:fill="auto"/>
                  <w:vAlign w:val="center"/>
                </w:tcPr>
                <w:p>
                  <w:pPr>
                    <w:pStyle w:val="167"/>
                    <w:jc w:val="center"/>
                    <w:rPr>
                      <w:color w:val="auto"/>
                    </w:rPr>
                  </w:pPr>
                </w:p>
              </w:tc>
              <w:tc>
                <w:tcPr>
                  <w:tcW w:w="1981" w:type="dxa"/>
                  <w:tcBorders>
                    <w:tl2br w:val="nil"/>
                    <w:tr2bl w:val="nil"/>
                  </w:tcBorders>
                  <w:shd w:val="clear" w:color="auto" w:fill="auto"/>
                  <w:vAlign w:val="center"/>
                </w:tcPr>
                <w:p>
                  <w:pPr>
                    <w:pStyle w:val="167"/>
                    <w:jc w:val="center"/>
                    <w:rPr>
                      <w:color w:val="auto"/>
                    </w:rPr>
                  </w:pPr>
                  <w:r>
                    <w:rPr>
                      <w:color w:val="auto"/>
                    </w:rPr>
                    <w:t>一次性手套</w:t>
                  </w:r>
                </w:p>
              </w:tc>
              <w:tc>
                <w:tcPr>
                  <w:tcW w:w="1651" w:type="dxa"/>
                  <w:tcBorders>
                    <w:tl2br w:val="nil"/>
                    <w:tr2bl w:val="nil"/>
                  </w:tcBorders>
                  <w:shd w:val="clear" w:color="auto" w:fill="auto"/>
                  <w:vAlign w:val="center"/>
                </w:tcPr>
                <w:p>
                  <w:pPr>
                    <w:pStyle w:val="167"/>
                    <w:jc w:val="center"/>
                    <w:rPr>
                      <w:color w:val="auto"/>
                    </w:rPr>
                  </w:pPr>
                  <w:r>
                    <w:rPr>
                      <w:rFonts w:hint="eastAsia"/>
                      <w:color w:val="auto"/>
                    </w:rPr>
                    <w:t>10000</w:t>
                  </w:r>
                  <w:r>
                    <w:rPr>
                      <w:color w:val="auto"/>
                    </w:rPr>
                    <w:t>双</w:t>
                  </w:r>
                </w:p>
              </w:tc>
              <w:tc>
                <w:tcPr>
                  <w:tcW w:w="1794" w:type="dxa"/>
                  <w:tcBorders>
                    <w:tl2br w:val="nil"/>
                    <w:tr2bl w:val="nil"/>
                  </w:tcBorders>
                  <w:shd w:val="clear" w:color="auto" w:fill="auto"/>
                  <w:vAlign w:val="center"/>
                </w:tcPr>
                <w:p>
                  <w:pPr>
                    <w:pStyle w:val="167"/>
                    <w:jc w:val="center"/>
                    <w:rPr>
                      <w:color w:val="auto"/>
                    </w:rPr>
                  </w:pPr>
                  <w:r>
                    <w:rPr>
                      <w:rFonts w:hint="eastAsia"/>
                      <w:color w:val="auto"/>
                    </w:rPr>
                    <w:t>2000</w:t>
                  </w:r>
                  <w:r>
                    <w:rPr>
                      <w:color w:val="auto"/>
                    </w:rPr>
                    <w:t>双</w:t>
                  </w:r>
                </w:p>
              </w:tc>
              <w:tc>
                <w:tcPr>
                  <w:tcW w:w="1965" w:type="dxa"/>
                  <w:tcBorders>
                    <w:tl2br w:val="nil"/>
                    <w:tr2bl w:val="nil"/>
                  </w:tcBorders>
                  <w:shd w:val="clear" w:color="auto" w:fill="auto"/>
                  <w:vAlign w:val="center"/>
                </w:tcPr>
                <w:p>
                  <w:pPr>
                    <w:pStyle w:val="167"/>
                    <w:jc w:val="center"/>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2" w:type="dxa"/>
                  <w:vMerge w:val="continue"/>
                  <w:tcBorders>
                    <w:tl2br w:val="nil"/>
                    <w:tr2bl w:val="nil"/>
                  </w:tcBorders>
                  <w:shd w:val="clear" w:color="auto" w:fill="auto"/>
                  <w:vAlign w:val="center"/>
                </w:tcPr>
                <w:p>
                  <w:pPr>
                    <w:pStyle w:val="167"/>
                    <w:jc w:val="center"/>
                    <w:rPr>
                      <w:color w:val="auto"/>
                    </w:rPr>
                  </w:pPr>
                </w:p>
              </w:tc>
              <w:tc>
                <w:tcPr>
                  <w:tcW w:w="1981" w:type="dxa"/>
                  <w:tcBorders>
                    <w:tl2br w:val="nil"/>
                    <w:tr2bl w:val="nil"/>
                  </w:tcBorders>
                  <w:shd w:val="clear" w:color="auto" w:fill="auto"/>
                  <w:vAlign w:val="center"/>
                </w:tcPr>
                <w:p>
                  <w:pPr>
                    <w:pStyle w:val="167"/>
                    <w:jc w:val="center"/>
                    <w:rPr>
                      <w:color w:val="auto"/>
                    </w:rPr>
                  </w:pPr>
                  <w:r>
                    <w:rPr>
                      <w:color w:val="auto"/>
                    </w:rPr>
                    <w:t>一次性中单、小单</w:t>
                  </w:r>
                </w:p>
              </w:tc>
              <w:tc>
                <w:tcPr>
                  <w:tcW w:w="1651" w:type="dxa"/>
                  <w:tcBorders>
                    <w:tl2br w:val="nil"/>
                    <w:tr2bl w:val="nil"/>
                  </w:tcBorders>
                  <w:shd w:val="clear" w:color="auto" w:fill="auto"/>
                  <w:vAlign w:val="center"/>
                </w:tcPr>
                <w:p>
                  <w:pPr>
                    <w:pStyle w:val="167"/>
                    <w:jc w:val="center"/>
                    <w:rPr>
                      <w:color w:val="auto"/>
                    </w:rPr>
                  </w:pPr>
                  <w:r>
                    <w:rPr>
                      <w:rFonts w:hint="eastAsia"/>
                      <w:color w:val="auto"/>
                    </w:rPr>
                    <w:t>4000</w:t>
                  </w:r>
                  <w:r>
                    <w:rPr>
                      <w:color w:val="auto"/>
                    </w:rPr>
                    <w:t>张</w:t>
                  </w:r>
                </w:p>
              </w:tc>
              <w:tc>
                <w:tcPr>
                  <w:tcW w:w="1794" w:type="dxa"/>
                  <w:tcBorders>
                    <w:tl2br w:val="nil"/>
                    <w:tr2bl w:val="nil"/>
                  </w:tcBorders>
                  <w:shd w:val="clear" w:color="auto" w:fill="auto"/>
                  <w:vAlign w:val="center"/>
                </w:tcPr>
                <w:p>
                  <w:pPr>
                    <w:pStyle w:val="167"/>
                    <w:jc w:val="center"/>
                    <w:rPr>
                      <w:color w:val="auto"/>
                    </w:rPr>
                  </w:pPr>
                  <w:r>
                    <w:rPr>
                      <w:rFonts w:hint="eastAsia"/>
                      <w:color w:val="auto"/>
                    </w:rPr>
                    <w:t>50</w:t>
                  </w:r>
                  <w:r>
                    <w:rPr>
                      <w:color w:val="auto"/>
                    </w:rPr>
                    <w:t>张</w:t>
                  </w:r>
                </w:p>
              </w:tc>
              <w:tc>
                <w:tcPr>
                  <w:tcW w:w="1965" w:type="dxa"/>
                  <w:tcBorders>
                    <w:tl2br w:val="nil"/>
                    <w:tr2bl w:val="nil"/>
                  </w:tcBorders>
                  <w:shd w:val="clear" w:color="auto" w:fill="auto"/>
                  <w:vAlign w:val="center"/>
                </w:tcPr>
                <w:p>
                  <w:pPr>
                    <w:pStyle w:val="167"/>
                    <w:jc w:val="center"/>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2" w:type="dxa"/>
                  <w:vMerge w:val="continue"/>
                  <w:tcBorders>
                    <w:tl2br w:val="nil"/>
                    <w:tr2bl w:val="nil"/>
                  </w:tcBorders>
                  <w:shd w:val="clear" w:color="auto" w:fill="auto"/>
                  <w:vAlign w:val="center"/>
                </w:tcPr>
                <w:p>
                  <w:pPr>
                    <w:pStyle w:val="167"/>
                    <w:jc w:val="center"/>
                    <w:rPr>
                      <w:color w:val="auto"/>
                    </w:rPr>
                  </w:pPr>
                </w:p>
              </w:tc>
              <w:tc>
                <w:tcPr>
                  <w:tcW w:w="1981" w:type="dxa"/>
                  <w:tcBorders>
                    <w:tl2br w:val="nil"/>
                    <w:tr2bl w:val="nil"/>
                  </w:tcBorders>
                  <w:shd w:val="clear" w:color="auto" w:fill="auto"/>
                  <w:vAlign w:val="center"/>
                </w:tcPr>
                <w:p>
                  <w:pPr>
                    <w:pStyle w:val="167"/>
                    <w:jc w:val="center"/>
                    <w:rPr>
                      <w:color w:val="auto"/>
                    </w:rPr>
                  </w:pPr>
                  <w:r>
                    <w:rPr>
                      <w:color w:val="auto"/>
                    </w:rPr>
                    <w:t>一次性尿袋、尿管</w:t>
                  </w:r>
                </w:p>
              </w:tc>
              <w:tc>
                <w:tcPr>
                  <w:tcW w:w="1651" w:type="dxa"/>
                  <w:tcBorders>
                    <w:tl2br w:val="nil"/>
                    <w:tr2bl w:val="nil"/>
                  </w:tcBorders>
                  <w:shd w:val="clear" w:color="auto" w:fill="auto"/>
                  <w:vAlign w:val="center"/>
                </w:tcPr>
                <w:p>
                  <w:pPr>
                    <w:pStyle w:val="167"/>
                    <w:jc w:val="center"/>
                    <w:rPr>
                      <w:color w:val="auto"/>
                    </w:rPr>
                  </w:pPr>
                  <w:r>
                    <w:rPr>
                      <w:rFonts w:hint="eastAsia"/>
                      <w:color w:val="auto"/>
                    </w:rPr>
                    <w:t>600</w:t>
                  </w:r>
                  <w:r>
                    <w:rPr>
                      <w:color w:val="auto"/>
                    </w:rPr>
                    <w:t>个</w:t>
                  </w:r>
                </w:p>
              </w:tc>
              <w:tc>
                <w:tcPr>
                  <w:tcW w:w="1794" w:type="dxa"/>
                  <w:tcBorders>
                    <w:tl2br w:val="nil"/>
                    <w:tr2bl w:val="nil"/>
                  </w:tcBorders>
                  <w:shd w:val="clear" w:color="auto" w:fill="auto"/>
                  <w:vAlign w:val="center"/>
                </w:tcPr>
                <w:p>
                  <w:pPr>
                    <w:pStyle w:val="167"/>
                    <w:jc w:val="center"/>
                    <w:rPr>
                      <w:color w:val="auto"/>
                    </w:rPr>
                  </w:pPr>
                  <w:r>
                    <w:rPr>
                      <w:rFonts w:hint="eastAsia"/>
                      <w:color w:val="auto"/>
                    </w:rPr>
                    <w:t>15</w:t>
                  </w:r>
                  <w:r>
                    <w:rPr>
                      <w:color w:val="auto"/>
                    </w:rPr>
                    <w:t>个</w:t>
                  </w:r>
                </w:p>
              </w:tc>
              <w:tc>
                <w:tcPr>
                  <w:tcW w:w="1965" w:type="dxa"/>
                  <w:tcBorders>
                    <w:tl2br w:val="nil"/>
                    <w:tr2bl w:val="nil"/>
                  </w:tcBorders>
                  <w:shd w:val="clear" w:color="auto" w:fill="auto"/>
                  <w:vAlign w:val="center"/>
                </w:tcPr>
                <w:p>
                  <w:pPr>
                    <w:pStyle w:val="167"/>
                    <w:jc w:val="center"/>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2" w:type="dxa"/>
                  <w:vMerge w:val="restart"/>
                  <w:tcBorders>
                    <w:tl2br w:val="nil"/>
                    <w:tr2bl w:val="nil"/>
                  </w:tcBorders>
                  <w:shd w:val="clear" w:color="auto" w:fill="auto"/>
                  <w:vAlign w:val="center"/>
                </w:tcPr>
                <w:p>
                  <w:pPr>
                    <w:pStyle w:val="167"/>
                    <w:jc w:val="center"/>
                    <w:rPr>
                      <w:color w:val="auto"/>
                    </w:rPr>
                  </w:pPr>
                  <w:r>
                    <w:rPr>
                      <w:color w:val="auto"/>
                    </w:rPr>
                    <w:t>药品</w:t>
                  </w:r>
                </w:p>
              </w:tc>
              <w:tc>
                <w:tcPr>
                  <w:tcW w:w="1981" w:type="dxa"/>
                  <w:tcBorders>
                    <w:tl2br w:val="nil"/>
                    <w:tr2bl w:val="nil"/>
                  </w:tcBorders>
                  <w:shd w:val="clear" w:color="auto" w:fill="auto"/>
                  <w:vAlign w:val="center"/>
                </w:tcPr>
                <w:p>
                  <w:pPr>
                    <w:pStyle w:val="167"/>
                    <w:jc w:val="center"/>
                    <w:rPr>
                      <w:color w:val="auto"/>
                    </w:rPr>
                  </w:pPr>
                  <w:r>
                    <w:rPr>
                      <w:color w:val="auto"/>
                    </w:rPr>
                    <w:t>针剂药品</w:t>
                  </w:r>
                </w:p>
              </w:tc>
              <w:tc>
                <w:tcPr>
                  <w:tcW w:w="1651" w:type="dxa"/>
                  <w:tcBorders>
                    <w:tl2br w:val="nil"/>
                    <w:tr2bl w:val="nil"/>
                  </w:tcBorders>
                  <w:shd w:val="clear" w:color="auto" w:fill="auto"/>
                  <w:vAlign w:val="center"/>
                </w:tcPr>
                <w:p>
                  <w:pPr>
                    <w:pStyle w:val="167"/>
                    <w:jc w:val="center"/>
                    <w:rPr>
                      <w:color w:val="auto"/>
                    </w:rPr>
                  </w:pPr>
                  <w:r>
                    <w:rPr>
                      <w:rFonts w:hint="eastAsia"/>
                      <w:color w:val="auto"/>
                    </w:rPr>
                    <w:t>500盒</w:t>
                  </w:r>
                </w:p>
              </w:tc>
              <w:tc>
                <w:tcPr>
                  <w:tcW w:w="1794" w:type="dxa"/>
                  <w:tcBorders>
                    <w:tl2br w:val="nil"/>
                    <w:tr2bl w:val="nil"/>
                  </w:tcBorders>
                  <w:shd w:val="clear" w:color="auto" w:fill="auto"/>
                  <w:vAlign w:val="center"/>
                </w:tcPr>
                <w:p>
                  <w:pPr>
                    <w:pStyle w:val="167"/>
                    <w:jc w:val="center"/>
                    <w:rPr>
                      <w:color w:val="auto"/>
                    </w:rPr>
                  </w:pPr>
                  <w:r>
                    <w:rPr>
                      <w:rFonts w:hint="eastAsia"/>
                      <w:color w:val="auto"/>
                    </w:rPr>
                    <w:t>50盒</w:t>
                  </w:r>
                </w:p>
              </w:tc>
              <w:tc>
                <w:tcPr>
                  <w:tcW w:w="1965" w:type="dxa"/>
                  <w:tcBorders>
                    <w:tl2br w:val="nil"/>
                    <w:tr2bl w:val="nil"/>
                  </w:tcBorders>
                  <w:shd w:val="clear" w:color="auto" w:fill="auto"/>
                  <w:vAlign w:val="center"/>
                </w:tcPr>
                <w:p>
                  <w:pPr>
                    <w:pStyle w:val="167"/>
                    <w:rPr>
                      <w:color w:val="auto"/>
                    </w:rPr>
                  </w:pPr>
                  <w:r>
                    <w:rPr>
                      <w:color w:val="auto"/>
                    </w:rPr>
                    <w:t>包括美洛昔康、地塞米松、碳酸氢钠、硫酸卡那霉素、赛瑞宁等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2" w:type="dxa"/>
                  <w:vMerge w:val="continue"/>
                  <w:tcBorders>
                    <w:tl2br w:val="nil"/>
                    <w:tr2bl w:val="nil"/>
                  </w:tcBorders>
                  <w:shd w:val="clear" w:color="auto" w:fill="auto"/>
                  <w:vAlign w:val="center"/>
                </w:tcPr>
                <w:p>
                  <w:pPr>
                    <w:pStyle w:val="167"/>
                    <w:jc w:val="center"/>
                    <w:rPr>
                      <w:color w:val="auto"/>
                    </w:rPr>
                  </w:pPr>
                </w:p>
              </w:tc>
              <w:tc>
                <w:tcPr>
                  <w:tcW w:w="1981" w:type="dxa"/>
                  <w:tcBorders>
                    <w:tl2br w:val="nil"/>
                    <w:tr2bl w:val="nil"/>
                  </w:tcBorders>
                  <w:shd w:val="clear" w:color="auto" w:fill="auto"/>
                  <w:vAlign w:val="center"/>
                </w:tcPr>
                <w:p>
                  <w:pPr>
                    <w:pStyle w:val="167"/>
                    <w:jc w:val="center"/>
                    <w:rPr>
                      <w:color w:val="auto"/>
                    </w:rPr>
                  </w:pPr>
                  <w:r>
                    <w:rPr>
                      <w:color w:val="auto"/>
                    </w:rPr>
                    <w:t>口服药剂</w:t>
                  </w:r>
                </w:p>
              </w:tc>
              <w:tc>
                <w:tcPr>
                  <w:tcW w:w="1651" w:type="dxa"/>
                  <w:tcBorders>
                    <w:tl2br w:val="nil"/>
                    <w:tr2bl w:val="nil"/>
                  </w:tcBorders>
                  <w:shd w:val="clear" w:color="auto" w:fill="auto"/>
                  <w:vAlign w:val="center"/>
                </w:tcPr>
                <w:p>
                  <w:pPr>
                    <w:pStyle w:val="167"/>
                    <w:jc w:val="center"/>
                    <w:rPr>
                      <w:color w:val="auto"/>
                    </w:rPr>
                  </w:pPr>
                  <w:r>
                    <w:rPr>
                      <w:rFonts w:hint="eastAsia"/>
                      <w:color w:val="auto"/>
                    </w:rPr>
                    <w:t>200盒</w:t>
                  </w:r>
                </w:p>
              </w:tc>
              <w:tc>
                <w:tcPr>
                  <w:tcW w:w="1794" w:type="dxa"/>
                  <w:tcBorders>
                    <w:tl2br w:val="nil"/>
                    <w:tr2bl w:val="nil"/>
                  </w:tcBorders>
                  <w:shd w:val="clear" w:color="auto" w:fill="auto"/>
                  <w:vAlign w:val="center"/>
                </w:tcPr>
                <w:p>
                  <w:pPr>
                    <w:pStyle w:val="167"/>
                    <w:jc w:val="center"/>
                    <w:rPr>
                      <w:color w:val="auto"/>
                    </w:rPr>
                  </w:pPr>
                  <w:r>
                    <w:rPr>
                      <w:rFonts w:hint="eastAsia"/>
                      <w:color w:val="auto"/>
                    </w:rPr>
                    <w:t>40盒</w:t>
                  </w:r>
                </w:p>
              </w:tc>
              <w:tc>
                <w:tcPr>
                  <w:tcW w:w="1965" w:type="dxa"/>
                  <w:tcBorders>
                    <w:tl2br w:val="nil"/>
                    <w:tr2bl w:val="nil"/>
                  </w:tcBorders>
                  <w:shd w:val="clear" w:color="auto" w:fill="auto"/>
                  <w:vAlign w:val="center"/>
                </w:tcPr>
                <w:p>
                  <w:pPr>
                    <w:pStyle w:val="167"/>
                    <w:rPr>
                      <w:color w:val="auto"/>
                    </w:rPr>
                  </w:pPr>
                  <w:r>
                    <w:rPr>
                      <w:color w:val="auto"/>
                    </w:rPr>
                    <w:t>包括博莱恩、福来恩、麻弗美味片等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2" w:type="dxa"/>
                  <w:vMerge w:val="continue"/>
                  <w:tcBorders>
                    <w:tl2br w:val="nil"/>
                    <w:tr2bl w:val="nil"/>
                  </w:tcBorders>
                  <w:shd w:val="clear" w:color="auto" w:fill="auto"/>
                  <w:vAlign w:val="center"/>
                </w:tcPr>
                <w:p>
                  <w:pPr>
                    <w:pStyle w:val="167"/>
                    <w:jc w:val="center"/>
                    <w:rPr>
                      <w:color w:val="auto"/>
                    </w:rPr>
                  </w:pPr>
                </w:p>
              </w:tc>
              <w:tc>
                <w:tcPr>
                  <w:tcW w:w="1981" w:type="dxa"/>
                  <w:tcBorders>
                    <w:tl2br w:val="nil"/>
                    <w:tr2bl w:val="nil"/>
                  </w:tcBorders>
                  <w:shd w:val="clear" w:color="auto" w:fill="auto"/>
                  <w:vAlign w:val="center"/>
                </w:tcPr>
                <w:p>
                  <w:pPr>
                    <w:pStyle w:val="167"/>
                    <w:jc w:val="center"/>
                    <w:rPr>
                      <w:color w:val="auto"/>
                    </w:rPr>
                  </w:pPr>
                  <w:r>
                    <w:rPr>
                      <w:color w:val="auto"/>
                    </w:rPr>
                    <w:t>普通方剂用药</w:t>
                  </w:r>
                </w:p>
              </w:tc>
              <w:tc>
                <w:tcPr>
                  <w:tcW w:w="1651" w:type="dxa"/>
                  <w:tcBorders>
                    <w:tl2br w:val="nil"/>
                    <w:tr2bl w:val="nil"/>
                  </w:tcBorders>
                  <w:shd w:val="clear" w:color="auto" w:fill="auto"/>
                  <w:vAlign w:val="center"/>
                </w:tcPr>
                <w:p>
                  <w:pPr>
                    <w:pStyle w:val="167"/>
                    <w:jc w:val="center"/>
                    <w:rPr>
                      <w:color w:val="auto"/>
                    </w:rPr>
                  </w:pPr>
                  <w:r>
                    <w:rPr>
                      <w:rFonts w:hint="eastAsia"/>
                      <w:color w:val="auto"/>
                    </w:rPr>
                    <w:t>200盒</w:t>
                  </w:r>
                </w:p>
              </w:tc>
              <w:tc>
                <w:tcPr>
                  <w:tcW w:w="1794" w:type="dxa"/>
                  <w:tcBorders>
                    <w:tl2br w:val="nil"/>
                    <w:tr2bl w:val="nil"/>
                  </w:tcBorders>
                  <w:shd w:val="clear" w:color="auto" w:fill="auto"/>
                  <w:vAlign w:val="center"/>
                </w:tcPr>
                <w:p>
                  <w:pPr>
                    <w:pStyle w:val="167"/>
                    <w:jc w:val="center"/>
                    <w:rPr>
                      <w:color w:val="auto"/>
                    </w:rPr>
                  </w:pPr>
                  <w:r>
                    <w:rPr>
                      <w:rFonts w:hint="eastAsia"/>
                      <w:color w:val="auto"/>
                    </w:rPr>
                    <w:t>40盒</w:t>
                  </w:r>
                </w:p>
              </w:tc>
              <w:tc>
                <w:tcPr>
                  <w:tcW w:w="1965" w:type="dxa"/>
                  <w:tcBorders>
                    <w:tl2br w:val="nil"/>
                    <w:tr2bl w:val="nil"/>
                  </w:tcBorders>
                  <w:shd w:val="clear" w:color="auto" w:fill="auto"/>
                  <w:vAlign w:val="center"/>
                </w:tcPr>
                <w:p>
                  <w:pPr>
                    <w:pStyle w:val="167"/>
                    <w:rPr>
                      <w:color w:val="auto"/>
                    </w:rPr>
                  </w:pPr>
                  <w:r>
                    <w:rPr>
                      <w:color w:val="auto"/>
                    </w:rPr>
                    <w:t>包括大宠爱、利达宁、耳康、醋酸氟轻松等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2" w:type="dxa"/>
                  <w:vMerge w:val="restart"/>
                  <w:tcBorders>
                    <w:tl2br w:val="nil"/>
                    <w:tr2bl w:val="nil"/>
                  </w:tcBorders>
                  <w:shd w:val="clear" w:color="auto" w:fill="auto"/>
                  <w:vAlign w:val="center"/>
                </w:tcPr>
                <w:p>
                  <w:pPr>
                    <w:pStyle w:val="167"/>
                    <w:jc w:val="center"/>
                    <w:rPr>
                      <w:color w:val="auto"/>
                    </w:rPr>
                  </w:pPr>
                  <w:r>
                    <w:rPr>
                      <w:rFonts w:hint="eastAsia"/>
                      <w:color w:val="auto"/>
                    </w:rPr>
                    <w:t>检验试剂</w:t>
                  </w:r>
                </w:p>
              </w:tc>
              <w:tc>
                <w:tcPr>
                  <w:tcW w:w="1981" w:type="dxa"/>
                  <w:tcBorders>
                    <w:tl2br w:val="nil"/>
                    <w:tr2bl w:val="nil"/>
                  </w:tcBorders>
                  <w:shd w:val="clear" w:color="auto" w:fill="auto"/>
                  <w:vAlign w:val="center"/>
                </w:tcPr>
                <w:p>
                  <w:pPr>
                    <w:pStyle w:val="167"/>
                    <w:jc w:val="center"/>
                    <w:rPr>
                      <w:color w:val="auto"/>
                    </w:rPr>
                  </w:pPr>
                  <w:r>
                    <w:rPr>
                      <w:rFonts w:hint="eastAsia"/>
                      <w:color w:val="auto"/>
                    </w:rPr>
                    <w:t>染剂</w:t>
                  </w:r>
                </w:p>
              </w:tc>
              <w:tc>
                <w:tcPr>
                  <w:tcW w:w="1651" w:type="dxa"/>
                  <w:tcBorders>
                    <w:tl2br w:val="nil"/>
                    <w:tr2bl w:val="nil"/>
                  </w:tcBorders>
                  <w:shd w:val="clear" w:color="auto" w:fill="auto"/>
                  <w:vAlign w:val="center"/>
                </w:tcPr>
                <w:p>
                  <w:pPr>
                    <w:pStyle w:val="167"/>
                    <w:ind w:firstLine="0" w:firstLineChars="0"/>
                    <w:jc w:val="both"/>
                    <w:rPr>
                      <w:rFonts w:ascii="Times New Roman" w:hAnsi="Times New Roman" w:eastAsia="宋体" w:cs="Times New Roman"/>
                      <w:color w:val="auto"/>
                      <w:kern w:val="2"/>
                      <w:sz w:val="21"/>
                      <w:szCs w:val="24"/>
                      <w:lang w:val="en-US" w:eastAsia="zh-CN" w:bidi="ar-SA"/>
                    </w:rPr>
                  </w:pPr>
                  <w:r>
                    <w:rPr>
                      <w:rFonts w:hint="eastAsia"/>
                      <w:color w:val="auto"/>
                    </w:rPr>
                    <w:t>12瓶（250ml/瓶）</w:t>
                  </w:r>
                </w:p>
              </w:tc>
              <w:tc>
                <w:tcPr>
                  <w:tcW w:w="1794" w:type="dxa"/>
                  <w:tcBorders>
                    <w:tl2br w:val="nil"/>
                    <w:tr2bl w:val="nil"/>
                  </w:tcBorders>
                  <w:shd w:val="clear" w:color="auto" w:fill="auto"/>
                  <w:vAlign w:val="center"/>
                </w:tcPr>
                <w:p>
                  <w:pPr>
                    <w:pStyle w:val="167"/>
                    <w:jc w:val="center"/>
                    <w:rPr>
                      <w:color w:val="auto"/>
                    </w:rPr>
                  </w:pPr>
                  <w:r>
                    <w:rPr>
                      <w:rFonts w:hint="eastAsia"/>
                      <w:color w:val="auto"/>
                    </w:rPr>
                    <w:t>3瓶</w:t>
                  </w:r>
                </w:p>
              </w:tc>
              <w:tc>
                <w:tcPr>
                  <w:tcW w:w="1965" w:type="dxa"/>
                  <w:tcBorders>
                    <w:tl2br w:val="nil"/>
                    <w:tr2bl w:val="nil"/>
                  </w:tcBorders>
                  <w:shd w:val="clear" w:color="auto" w:fill="auto"/>
                  <w:vAlign w:val="center"/>
                </w:tcPr>
                <w:p>
                  <w:pPr>
                    <w:pStyle w:val="167"/>
                    <w:rPr>
                      <w:color w:val="auto"/>
                    </w:rPr>
                  </w:pPr>
                  <w:r>
                    <w:rPr>
                      <w:rFonts w:hint="eastAsia"/>
                      <w:color w:val="auto"/>
                    </w:rPr>
                    <w:t>迪夫快速染色液、瑞氏吉姆染色液等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2" w:type="dxa"/>
                  <w:vMerge w:val="continue"/>
                  <w:tcBorders>
                    <w:tl2br w:val="nil"/>
                    <w:tr2bl w:val="nil"/>
                  </w:tcBorders>
                  <w:shd w:val="clear" w:color="auto" w:fill="auto"/>
                  <w:vAlign w:val="center"/>
                </w:tcPr>
                <w:p>
                  <w:pPr>
                    <w:pStyle w:val="167"/>
                    <w:jc w:val="center"/>
                    <w:rPr>
                      <w:color w:val="auto"/>
                    </w:rPr>
                  </w:pPr>
                </w:p>
              </w:tc>
              <w:tc>
                <w:tcPr>
                  <w:tcW w:w="1981" w:type="dxa"/>
                  <w:tcBorders>
                    <w:tl2br w:val="nil"/>
                    <w:tr2bl w:val="nil"/>
                  </w:tcBorders>
                  <w:shd w:val="clear" w:color="auto" w:fill="auto"/>
                  <w:vAlign w:val="center"/>
                </w:tcPr>
                <w:p>
                  <w:pPr>
                    <w:pStyle w:val="167"/>
                    <w:jc w:val="center"/>
                    <w:rPr>
                      <w:color w:val="auto"/>
                    </w:rPr>
                  </w:pPr>
                  <w:r>
                    <w:rPr>
                      <w:rFonts w:hint="eastAsia"/>
                      <w:color w:val="auto"/>
                    </w:rPr>
                    <w:t>试纸</w:t>
                  </w:r>
                </w:p>
              </w:tc>
              <w:tc>
                <w:tcPr>
                  <w:tcW w:w="1651" w:type="dxa"/>
                  <w:tcBorders>
                    <w:tl2br w:val="nil"/>
                    <w:tr2bl w:val="nil"/>
                  </w:tcBorders>
                  <w:shd w:val="clear" w:color="auto" w:fill="auto"/>
                  <w:vAlign w:val="center"/>
                </w:tcPr>
                <w:p>
                  <w:pPr>
                    <w:pStyle w:val="167"/>
                    <w:jc w:val="center"/>
                    <w:rPr>
                      <w:color w:val="auto"/>
                    </w:rPr>
                  </w:pPr>
                  <w:r>
                    <w:rPr>
                      <w:rFonts w:hint="eastAsia"/>
                      <w:color w:val="auto"/>
                    </w:rPr>
                    <w:t>1000片</w:t>
                  </w:r>
                </w:p>
              </w:tc>
              <w:tc>
                <w:tcPr>
                  <w:tcW w:w="1794" w:type="dxa"/>
                  <w:tcBorders>
                    <w:tl2br w:val="nil"/>
                    <w:tr2bl w:val="nil"/>
                  </w:tcBorders>
                  <w:shd w:val="clear" w:color="auto" w:fill="auto"/>
                  <w:vAlign w:val="center"/>
                </w:tcPr>
                <w:p>
                  <w:pPr>
                    <w:pStyle w:val="167"/>
                    <w:jc w:val="center"/>
                    <w:rPr>
                      <w:color w:val="auto"/>
                    </w:rPr>
                  </w:pPr>
                  <w:r>
                    <w:rPr>
                      <w:rFonts w:hint="eastAsia"/>
                      <w:color w:val="auto"/>
                    </w:rPr>
                    <w:t>100片</w:t>
                  </w:r>
                </w:p>
              </w:tc>
              <w:tc>
                <w:tcPr>
                  <w:tcW w:w="1965" w:type="dxa"/>
                  <w:tcBorders>
                    <w:tl2br w:val="nil"/>
                    <w:tr2bl w:val="nil"/>
                  </w:tcBorders>
                  <w:shd w:val="clear" w:color="auto" w:fill="auto"/>
                  <w:vAlign w:val="center"/>
                </w:tcPr>
                <w:p>
                  <w:pPr>
                    <w:pStyle w:val="167"/>
                    <w:jc w:val="center"/>
                    <w:rPr>
                      <w:color w:val="auto"/>
                    </w:rPr>
                  </w:pPr>
                  <w:r>
                    <w:rPr>
                      <w:rFonts w:hint="eastAsia"/>
                      <w:color w:val="auto"/>
                    </w:rPr>
                    <w:t>干式生化试剂片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2" w:type="dxa"/>
                  <w:vMerge w:val="restart"/>
                  <w:tcBorders>
                    <w:tl2br w:val="nil"/>
                    <w:tr2bl w:val="nil"/>
                  </w:tcBorders>
                  <w:shd w:val="clear" w:color="auto" w:fill="auto"/>
                  <w:vAlign w:val="center"/>
                </w:tcPr>
                <w:p>
                  <w:pPr>
                    <w:pStyle w:val="167"/>
                    <w:jc w:val="center"/>
                    <w:rPr>
                      <w:color w:val="auto"/>
                    </w:rPr>
                  </w:pPr>
                  <w:r>
                    <w:rPr>
                      <w:color w:val="auto"/>
                    </w:rPr>
                    <w:t>消毒剂</w:t>
                  </w:r>
                </w:p>
              </w:tc>
              <w:tc>
                <w:tcPr>
                  <w:tcW w:w="1981" w:type="dxa"/>
                  <w:tcBorders>
                    <w:tl2br w:val="nil"/>
                    <w:tr2bl w:val="nil"/>
                  </w:tcBorders>
                  <w:shd w:val="clear" w:color="auto" w:fill="auto"/>
                  <w:vAlign w:val="center"/>
                </w:tcPr>
                <w:p>
                  <w:pPr>
                    <w:pStyle w:val="167"/>
                    <w:jc w:val="center"/>
                    <w:rPr>
                      <w:color w:val="auto"/>
                    </w:rPr>
                  </w:pPr>
                  <w:r>
                    <w:rPr>
                      <w:color w:val="auto"/>
                    </w:rPr>
                    <w:t>医用酒精（75%）</w:t>
                  </w:r>
                </w:p>
              </w:tc>
              <w:tc>
                <w:tcPr>
                  <w:tcW w:w="1651" w:type="dxa"/>
                  <w:tcBorders>
                    <w:tl2br w:val="nil"/>
                    <w:tr2bl w:val="nil"/>
                  </w:tcBorders>
                  <w:shd w:val="clear" w:color="auto" w:fill="auto"/>
                  <w:vAlign w:val="center"/>
                </w:tcPr>
                <w:p>
                  <w:pPr>
                    <w:pStyle w:val="167"/>
                    <w:jc w:val="center"/>
                    <w:rPr>
                      <w:color w:val="auto"/>
                    </w:rPr>
                  </w:pPr>
                  <w:r>
                    <w:rPr>
                      <w:rFonts w:hint="eastAsia"/>
                      <w:color w:val="auto"/>
                    </w:rPr>
                    <w:t>120瓶</w:t>
                  </w:r>
                </w:p>
              </w:tc>
              <w:tc>
                <w:tcPr>
                  <w:tcW w:w="1794" w:type="dxa"/>
                  <w:tcBorders>
                    <w:tl2br w:val="nil"/>
                    <w:tr2bl w:val="nil"/>
                  </w:tcBorders>
                  <w:shd w:val="clear" w:color="auto" w:fill="auto"/>
                  <w:vAlign w:val="center"/>
                </w:tcPr>
                <w:p>
                  <w:pPr>
                    <w:pStyle w:val="167"/>
                    <w:jc w:val="center"/>
                    <w:rPr>
                      <w:color w:val="auto"/>
                    </w:rPr>
                  </w:pPr>
                  <w:r>
                    <w:rPr>
                      <w:rFonts w:hint="eastAsia"/>
                      <w:color w:val="auto"/>
                    </w:rPr>
                    <w:t>6</w:t>
                  </w:r>
                  <w:r>
                    <w:rPr>
                      <w:color w:val="auto"/>
                    </w:rPr>
                    <w:t>瓶（500ml/瓶）</w:t>
                  </w:r>
                </w:p>
              </w:tc>
              <w:tc>
                <w:tcPr>
                  <w:tcW w:w="1965" w:type="dxa"/>
                  <w:vMerge w:val="restart"/>
                  <w:tcBorders>
                    <w:tl2br w:val="nil"/>
                    <w:tr2bl w:val="nil"/>
                  </w:tcBorders>
                  <w:shd w:val="clear" w:color="auto" w:fill="auto"/>
                  <w:vAlign w:val="center"/>
                </w:tcPr>
                <w:p>
                  <w:pPr>
                    <w:pStyle w:val="167"/>
                    <w:jc w:val="center"/>
                    <w:rPr>
                      <w:color w:val="auto"/>
                    </w:rPr>
                  </w:pPr>
                  <w:r>
                    <w:rPr>
                      <w:color w:val="auto"/>
                    </w:rPr>
                    <w:t>动物皮肤伤口消毒</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2" w:type="dxa"/>
                  <w:vMerge w:val="continue"/>
                  <w:tcBorders>
                    <w:tl2br w:val="nil"/>
                    <w:tr2bl w:val="nil"/>
                  </w:tcBorders>
                  <w:shd w:val="clear" w:color="auto" w:fill="auto"/>
                  <w:vAlign w:val="center"/>
                </w:tcPr>
                <w:p>
                  <w:pPr>
                    <w:pStyle w:val="167"/>
                    <w:jc w:val="center"/>
                    <w:rPr>
                      <w:color w:val="auto"/>
                    </w:rPr>
                  </w:pPr>
                </w:p>
              </w:tc>
              <w:tc>
                <w:tcPr>
                  <w:tcW w:w="1981" w:type="dxa"/>
                  <w:tcBorders>
                    <w:tl2br w:val="nil"/>
                    <w:tr2bl w:val="nil"/>
                  </w:tcBorders>
                  <w:shd w:val="clear" w:color="auto" w:fill="auto"/>
                  <w:vAlign w:val="center"/>
                </w:tcPr>
                <w:p>
                  <w:pPr>
                    <w:pStyle w:val="167"/>
                    <w:jc w:val="center"/>
                    <w:rPr>
                      <w:color w:val="auto"/>
                    </w:rPr>
                  </w:pPr>
                  <w:r>
                    <w:rPr>
                      <w:color w:val="auto"/>
                    </w:rPr>
                    <w:t>碘伏</w:t>
                  </w:r>
                </w:p>
              </w:tc>
              <w:tc>
                <w:tcPr>
                  <w:tcW w:w="1651" w:type="dxa"/>
                  <w:tcBorders>
                    <w:tl2br w:val="nil"/>
                    <w:tr2bl w:val="nil"/>
                  </w:tcBorders>
                  <w:shd w:val="clear" w:color="auto" w:fill="auto"/>
                  <w:vAlign w:val="center"/>
                </w:tcPr>
                <w:p>
                  <w:pPr>
                    <w:pStyle w:val="167"/>
                    <w:jc w:val="center"/>
                    <w:rPr>
                      <w:color w:val="auto"/>
                    </w:rPr>
                  </w:pPr>
                  <w:r>
                    <w:rPr>
                      <w:rFonts w:hint="eastAsia"/>
                      <w:color w:val="auto"/>
                    </w:rPr>
                    <w:t>120瓶</w:t>
                  </w:r>
                </w:p>
              </w:tc>
              <w:tc>
                <w:tcPr>
                  <w:tcW w:w="1794" w:type="dxa"/>
                  <w:tcBorders>
                    <w:tl2br w:val="nil"/>
                    <w:tr2bl w:val="nil"/>
                  </w:tcBorders>
                  <w:shd w:val="clear" w:color="auto" w:fill="auto"/>
                  <w:vAlign w:val="center"/>
                </w:tcPr>
                <w:p>
                  <w:pPr>
                    <w:pStyle w:val="167"/>
                    <w:jc w:val="center"/>
                    <w:rPr>
                      <w:color w:val="auto"/>
                    </w:rPr>
                  </w:pPr>
                  <w:r>
                    <w:rPr>
                      <w:rFonts w:hint="eastAsia"/>
                      <w:color w:val="auto"/>
                    </w:rPr>
                    <w:t>6</w:t>
                  </w:r>
                  <w:r>
                    <w:rPr>
                      <w:color w:val="auto"/>
                    </w:rPr>
                    <w:t>瓶（500ml/瓶）</w:t>
                  </w:r>
                </w:p>
              </w:tc>
              <w:tc>
                <w:tcPr>
                  <w:tcW w:w="1965" w:type="dxa"/>
                  <w:vMerge w:val="continue"/>
                  <w:tcBorders>
                    <w:tl2br w:val="nil"/>
                    <w:tr2bl w:val="nil"/>
                  </w:tcBorders>
                  <w:shd w:val="clear" w:color="auto" w:fill="auto"/>
                  <w:vAlign w:val="center"/>
                </w:tcPr>
                <w:p>
                  <w:pPr>
                    <w:pStyle w:val="167"/>
                    <w:jc w:val="center"/>
                    <w:rPr>
                      <w:color w:val="auto"/>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2" w:type="dxa"/>
                  <w:vMerge w:val="continue"/>
                  <w:tcBorders>
                    <w:tl2br w:val="nil"/>
                    <w:tr2bl w:val="nil"/>
                  </w:tcBorders>
                  <w:shd w:val="clear" w:color="auto" w:fill="auto"/>
                  <w:vAlign w:val="center"/>
                </w:tcPr>
                <w:p>
                  <w:pPr>
                    <w:pStyle w:val="167"/>
                    <w:jc w:val="center"/>
                    <w:rPr>
                      <w:color w:val="auto"/>
                    </w:rPr>
                  </w:pPr>
                </w:p>
              </w:tc>
              <w:tc>
                <w:tcPr>
                  <w:tcW w:w="1981" w:type="dxa"/>
                  <w:tcBorders>
                    <w:tl2br w:val="nil"/>
                    <w:tr2bl w:val="nil"/>
                  </w:tcBorders>
                  <w:shd w:val="clear" w:color="auto" w:fill="auto"/>
                  <w:vAlign w:val="center"/>
                </w:tcPr>
                <w:p>
                  <w:pPr>
                    <w:pStyle w:val="167"/>
                    <w:jc w:val="center"/>
                    <w:rPr>
                      <w:color w:val="auto"/>
                    </w:rPr>
                  </w:pPr>
                  <w:r>
                    <w:rPr>
                      <w:color w:val="auto"/>
                    </w:rPr>
                    <w:t>新洁尔灭</w:t>
                  </w:r>
                </w:p>
              </w:tc>
              <w:tc>
                <w:tcPr>
                  <w:tcW w:w="1651" w:type="dxa"/>
                  <w:tcBorders>
                    <w:tl2br w:val="nil"/>
                    <w:tr2bl w:val="nil"/>
                  </w:tcBorders>
                  <w:shd w:val="clear" w:color="auto" w:fill="auto"/>
                  <w:vAlign w:val="center"/>
                </w:tcPr>
                <w:p>
                  <w:pPr>
                    <w:pStyle w:val="167"/>
                    <w:jc w:val="center"/>
                    <w:rPr>
                      <w:color w:val="auto"/>
                    </w:rPr>
                  </w:pPr>
                  <w:r>
                    <w:rPr>
                      <w:rFonts w:hint="eastAsia"/>
                      <w:color w:val="auto"/>
                    </w:rPr>
                    <w:t>12瓶</w:t>
                  </w:r>
                </w:p>
              </w:tc>
              <w:tc>
                <w:tcPr>
                  <w:tcW w:w="1794" w:type="dxa"/>
                  <w:tcBorders>
                    <w:tl2br w:val="nil"/>
                    <w:tr2bl w:val="nil"/>
                  </w:tcBorders>
                  <w:shd w:val="clear" w:color="auto" w:fill="auto"/>
                  <w:vAlign w:val="center"/>
                </w:tcPr>
                <w:p>
                  <w:pPr>
                    <w:pStyle w:val="167"/>
                    <w:jc w:val="center"/>
                    <w:rPr>
                      <w:color w:val="auto"/>
                    </w:rPr>
                  </w:pPr>
                  <w:r>
                    <w:rPr>
                      <w:rFonts w:hint="eastAsia"/>
                      <w:color w:val="auto"/>
                    </w:rPr>
                    <w:t>3</w:t>
                  </w:r>
                  <w:r>
                    <w:rPr>
                      <w:color w:val="auto"/>
                    </w:rPr>
                    <w:t>瓶（500ml/瓶）</w:t>
                  </w:r>
                </w:p>
              </w:tc>
              <w:tc>
                <w:tcPr>
                  <w:tcW w:w="1965" w:type="dxa"/>
                  <w:tcBorders>
                    <w:tl2br w:val="nil"/>
                    <w:tr2bl w:val="nil"/>
                  </w:tcBorders>
                  <w:shd w:val="clear" w:color="auto" w:fill="auto"/>
                  <w:vAlign w:val="center"/>
                </w:tcPr>
                <w:p>
                  <w:pPr>
                    <w:pStyle w:val="167"/>
                    <w:jc w:val="center"/>
                    <w:rPr>
                      <w:color w:val="auto"/>
                    </w:rPr>
                  </w:pPr>
                  <w:r>
                    <w:rPr>
                      <w:color w:val="auto"/>
                    </w:rPr>
                    <w:t>手术器械专用</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2" w:type="dxa"/>
                  <w:vMerge w:val="continue"/>
                  <w:tcBorders>
                    <w:tl2br w:val="nil"/>
                    <w:tr2bl w:val="nil"/>
                  </w:tcBorders>
                  <w:shd w:val="clear" w:color="auto" w:fill="auto"/>
                  <w:vAlign w:val="center"/>
                </w:tcPr>
                <w:p>
                  <w:pPr>
                    <w:pStyle w:val="167"/>
                    <w:jc w:val="center"/>
                    <w:rPr>
                      <w:color w:val="auto"/>
                    </w:rPr>
                  </w:pPr>
                </w:p>
              </w:tc>
              <w:tc>
                <w:tcPr>
                  <w:tcW w:w="1981" w:type="dxa"/>
                  <w:tcBorders>
                    <w:tl2br w:val="nil"/>
                    <w:tr2bl w:val="nil"/>
                  </w:tcBorders>
                  <w:shd w:val="clear" w:color="auto" w:fill="auto"/>
                  <w:vAlign w:val="center"/>
                </w:tcPr>
                <w:p>
                  <w:pPr>
                    <w:pStyle w:val="167"/>
                    <w:jc w:val="center"/>
                    <w:rPr>
                      <w:color w:val="auto"/>
                    </w:rPr>
                  </w:pPr>
                  <w:r>
                    <w:rPr>
                      <w:color w:val="auto"/>
                    </w:rPr>
                    <w:t>84消毒剂</w:t>
                  </w:r>
                </w:p>
              </w:tc>
              <w:tc>
                <w:tcPr>
                  <w:tcW w:w="1651" w:type="dxa"/>
                  <w:tcBorders>
                    <w:tl2br w:val="nil"/>
                    <w:tr2bl w:val="nil"/>
                  </w:tcBorders>
                  <w:shd w:val="clear" w:color="auto" w:fill="auto"/>
                  <w:vAlign w:val="center"/>
                </w:tcPr>
                <w:p>
                  <w:pPr>
                    <w:pStyle w:val="167"/>
                    <w:jc w:val="center"/>
                    <w:rPr>
                      <w:color w:val="auto"/>
                    </w:rPr>
                  </w:pPr>
                  <w:r>
                    <w:rPr>
                      <w:rFonts w:hint="eastAsia"/>
                      <w:color w:val="auto"/>
                    </w:rPr>
                    <w:t>24瓶</w:t>
                  </w:r>
                </w:p>
              </w:tc>
              <w:tc>
                <w:tcPr>
                  <w:tcW w:w="1794" w:type="dxa"/>
                  <w:tcBorders>
                    <w:tl2br w:val="nil"/>
                    <w:tr2bl w:val="nil"/>
                  </w:tcBorders>
                  <w:shd w:val="clear" w:color="auto" w:fill="auto"/>
                  <w:vAlign w:val="center"/>
                </w:tcPr>
                <w:p>
                  <w:pPr>
                    <w:pStyle w:val="167"/>
                    <w:jc w:val="center"/>
                    <w:rPr>
                      <w:color w:val="auto"/>
                    </w:rPr>
                  </w:pPr>
                  <w:r>
                    <w:rPr>
                      <w:rFonts w:hint="eastAsia"/>
                      <w:color w:val="auto"/>
                    </w:rPr>
                    <w:t>2</w:t>
                  </w:r>
                  <w:r>
                    <w:rPr>
                      <w:color w:val="auto"/>
                    </w:rPr>
                    <w:t>瓶（480ml/瓶）</w:t>
                  </w:r>
                </w:p>
              </w:tc>
              <w:tc>
                <w:tcPr>
                  <w:tcW w:w="1965" w:type="dxa"/>
                  <w:tcBorders>
                    <w:tl2br w:val="nil"/>
                    <w:tr2bl w:val="nil"/>
                  </w:tcBorders>
                  <w:shd w:val="clear" w:color="auto" w:fill="auto"/>
                  <w:vAlign w:val="center"/>
                </w:tcPr>
                <w:p>
                  <w:pPr>
                    <w:pStyle w:val="167"/>
                    <w:jc w:val="center"/>
                    <w:rPr>
                      <w:color w:val="auto"/>
                    </w:rPr>
                  </w:pPr>
                  <w:r>
                    <w:rPr>
                      <w:color w:val="auto"/>
                    </w:rPr>
                    <w:t>喷洒消毒</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2" w:type="dxa"/>
                  <w:vMerge w:val="continue"/>
                  <w:tcBorders>
                    <w:tl2br w:val="nil"/>
                    <w:tr2bl w:val="nil"/>
                  </w:tcBorders>
                  <w:shd w:val="clear" w:color="auto" w:fill="auto"/>
                  <w:vAlign w:val="center"/>
                </w:tcPr>
                <w:p>
                  <w:pPr>
                    <w:pStyle w:val="167"/>
                    <w:jc w:val="center"/>
                    <w:rPr>
                      <w:color w:val="auto"/>
                    </w:rPr>
                  </w:pPr>
                </w:p>
              </w:tc>
              <w:tc>
                <w:tcPr>
                  <w:tcW w:w="1981" w:type="dxa"/>
                  <w:tcBorders>
                    <w:tl2br w:val="nil"/>
                    <w:tr2bl w:val="nil"/>
                  </w:tcBorders>
                  <w:shd w:val="clear" w:color="auto" w:fill="auto"/>
                  <w:vAlign w:val="center"/>
                </w:tcPr>
                <w:p>
                  <w:pPr>
                    <w:pStyle w:val="167"/>
                    <w:jc w:val="center"/>
                    <w:rPr>
                      <w:color w:val="auto"/>
                    </w:rPr>
                  </w:pPr>
                  <w:r>
                    <w:rPr>
                      <w:color w:val="auto"/>
                    </w:rPr>
                    <w:t>二氧化氯消毒片</w:t>
                  </w:r>
                </w:p>
              </w:tc>
              <w:tc>
                <w:tcPr>
                  <w:tcW w:w="1651" w:type="dxa"/>
                  <w:tcBorders>
                    <w:tl2br w:val="nil"/>
                    <w:tr2bl w:val="nil"/>
                  </w:tcBorders>
                  <w:shd w:val="clear" w:color="auto" w:fill="auto"/>
                  <w:vAlign w:val="center"/>
                </w:tcPr>
                <w:p>
                  <w:pPr>
                    <w:pStyle w:val="167"/>
                    <w:jc w:val="center"/>
                    <w:rPr>
                      <w:color w:val="auto"/>
                    </w:rPr>
                  </w:pPr>
                  <w:r>
                    <w:rPr>
                      <w:color w:val="auto"/>
                    </w:rPr>
                    <w:t>20kg</w:t>
                  </w:r>
                </w:p>
              </w:tc>
              <w:tc>
                <w:tcPr>
                  <w:tcW w:w="1794" w:type="dxa"/>
                  <w:tcBorders>
                    <w:tl2br w:val="nil"/>
                    <w:tr2bl w:val="nil"/>
                  </w:tcBorders>
                  <w:shd w:val="clear" w:color="auto" w:fill="auto"/>
                  <w:vAlign w:val="center"/>
                </w:tcPr>
                <w:p>
                  <w:pPr>
                    <w:pStyle w:val="167"/>
                    <w:jc w:val="center"/>
                    <w:rPr>
                      <w:color w:val="auto"/>
                    </w:rPr>
                  </w:pPr>
                  <w:r>
                    <w:rPr>
                      <w:color w:val="auto"/>
                    </w:rPr>
                    <w:t>10kg</w:t>
                  </w:r>
                </w:p>
              </w:tc>
              <w:tc>
                <w:tcPr>
                  <w:tcW w:w="1965" w:type="dxa"/>
                  <w:tcBorders>
                    <w:tl2br w:val="nil"/>
                    <w:tr2bl w:val="nil"/>
                  </w:tcBorders>
                  <w:shd w:val="clear" w:color="auto" w:fill="auto"/>
                  <w:vAlign w:val="center"/>
                </w:tcPr>
                <w:p>
                  <w:pPr>
                    <w:pStyle w:val="167"/>
                    <w:jc w:val="center"/>
                    <w:rPr>
                      <w:color w:val="auto"/>
                    </w:rPr>
                  </w:pPr>
                  <w:r>
                    <w:rPr>
                      <w:color w:val="auto"/>
                    </w:rPr>
                    <w:t>医疗废水消毒</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2" w:type="dxa"/>
                  <w:tcBorders>
                    <w:tl2br w:val="nil"/>
                    <w:tr2bl w:val="nil"/>
                  </w:tcBorders>
                  <w:shd w:val="clear" w:color="auto" w:fill="auto"/>
                  <w:vAlign w:val="center"/>
                </w:tcPr>
                <w:p>
                  <w:pPr>
                    <w:pStyle w:val="167"/>
                    <w:jc w:val="center"/>
                    <w:rPr>
                      <w:color w:val="auto"/>
                    </w:rPr>
                  </w:pPr>
                  <w:r>
                    <w:rPr>
                      <w:color w:val="auto"/>
                    </w:rPr>
                    <w:t>住院猫类使用</w:t>
                  </w:r>
                </w:p>
              </w:tc>
              <w:tc>
                <w:tcPr>
                  <w:tcW w:w="1981" w:type="dxa"/>
                  <w:tcBorders>
                    <w:tl2br w:val="nil"/>
                    <w:tr2bl w:val="nil"/>
                  </w:tcBorders>
                  <w:shd w:val="clear" w:color="auto" w:fill="auto"/>
                  <w:vAlign w:val="center"/>
                </w:tcPr>
                <w:p>
                  <w:pPr>
                    <w:pStyle w:val="167"/>
                    <w:jc w:val="center"/>
                    <w:rPr>
                      <w:color w:val="auto"/>
                    </w:rPr>
                  </w:pPr>
                  <w:r>
                    <w:rPr>
                      <w:color w:val="auto"/>
                    </w:rPr>
                    <w:t>猫砂</w:t>
                  </w:r>
                </w:p>
              </w:tc>
              <w:tc>
                <w:tcPr>
                  <w:tcW w:w="1651" w:type="dxa"/>
                  <w:tcBorders>
                    <w:tl2br w:val="nil"/>
                    <w:tr2bl w:val="nil"/>
                  </w:tcBorders>
                  <w:shd w:val="clear" w:color="auto" w:fill="auto"/>
                  <w:vAlign w:val="center"/>
                </w:tcPr>
                <w:p>
                  <w:pPr>
                    <w:pStyle w:val="167"/>
                    <w:jc w:val="center"/>
                    <w:rPr>
                      <w:color w:val="auto"/>
                    </w:rPr>
                  </w:pPr>
                  <w:r>
                    <w:rPr>
                      <w:rFonts w:hint="eastAsia"/>
                      <w:color w:val="auto"/>
                    </w:rPr>
                    <w:t>700</w:t>
                  </w:r>
                  <w:r>
                    <w:rPr>
                      <w:color w:val="auto"/>
                    </w:rPr>
                    <w:t>L</w:t>
                  </w:r>
                </w:p>
              </w:tc>
              <w:tc>
                <w:tcPr>
                  <w:tcW w:w="1794" w:type="dxa"/>
                  <w:tcBorders>
                    <w:tl2br w:val="nil"/>
                    <w:tr2bl w:val="nil"/>
                  </w:tcBorders>
                  <w:shd w:val="clear" w:color="auto" w:fill="auto"/>
                  <w:vAlign w:val="center"/>
                </w:tcPr>
                <w:p>
                  <w:pPr>
                    <w:pStyle w:val="167"/>
                    <w:jc w:val="center"/>
                    <w:rPr>
                      <w:color w:val="auto"/>
                    </w:rPr>
                  </w:pPr>
                  <w:r>
                    <w:rPr>
                      <w:color w:val="auto"/>
                    </w:rPr>
                    <w:t>50L</w:t>
                  </w:r>
                </w:p>
              </w:tc>
              <w:tc>
                <w:tcPr>
                  <w:tcW w:w="1965" w:type="dxa"/>
                  <w:tcBorders>
                    <w:tl2br w:val="nil"/>
                    <w:tr2bl w:val="nil"/>
                  </w:tcBorders>
                  <w:shd w:val="clear" w:color="auto" w:fill="auto"/>
                  <w:vAlign w:val="center"/>
                </w:tcPr>
                <w:p>
                  <w:pPr>
                    <w:pStyle w:val="167"/>
                    <w:jc w:val="center"/>
                    <w:rPr>
                      <w:color w:val="auto"/>
                    </w:rPr>
                  </w:pPr>
                  <w:r>
                    <w:rPr>
                      <w:color w:val="auto"/>
                    </w:rPr>
                    <w:t>收集粪便</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2" w:type="dxa"/>
                  <w:vMerge w:val="restart"/>
                  <w:tcBorders>
                    <w:tl2br w:val="nil"/>
                    <w:tr2bl w:val="nil"/>
                  </w:tcBorders>
                  <w:shd w:val="clear" w:color="auto" w:fill="auto"/>
                  <w:vAlign w:val="center"/>
                </w:tcPr>
                <w:p>
                  <w:pPr>
                    <w:pStyle w:val="167"/>
                    <w:jc w:val="center"/>
                    <w:rPr>
                      <w:color w:val="auto"/>
                    </w:rPr>
                  </w:pPr>
                  <w:r>
                    <w:rPr>
                      <w:color w:val="auto"/>
                    </w:rPr>
                    <w:t>住院动物饮食</w:t>
                  </w:r>
                </w:p>
              </w:tc>
              <w:tc>
                <w:tcPr>
                  <w:tcW w:w="1981" w:type="dxa"/>
                  <w:tcBorders>
                    <w:tl2br w:val="nil"/>
                    <w:tr2bl w:val="nil"/>
                  </w:tcBorders>
                  <w:shd w:val="clear" w:color="auto" w:fill="auto"/>
                  <w:vAlign w:val="center"/>
                </w:tcPr>
                <w:p>
                  <w:pPr>
                    <w:pStyle w:val="167"/>
                    <w:jc w:val="center"/>
                    <w:rPr>
                      <w:color w:val="auto"/>
                    </w:rPr>
                  </w:pPr>
                  <w:r>
                    <w:rPr>
                      <w:color w:val="auto"/>
                    </w:rPr>
                    <w:t>猫粮</w:t>
                  </w:r>
                </w:p>
              </w:tc>
              <w:tc>
                <w:tcPr>
                  <w:tcW w:w="1651" w:type="dxa"/>
                  <w:tcBorders>
                    <w:tl2br w:val="nil"/>
                    <w:tr2bl w:val="nil"/>
                  </w:tcBorders>
                  <w:shd w:val="clear" w:color="auto" w:fill="auto"/>
                  <w:vAlign w:val="center"/>
                </w:tcPr>
                <w:p>
                  <w:pPr>
                    <w:pStyle w:val="167"/>
                    <w:jc w:val="center"/>
                    <w:rPr>
                      <w:color w:val="auto"/>
                    </w:rPr>
                  </w:pPr>
                  <w:r>
                    <w:rPr>
                      <w:rFonts w:hint="eastAsia"/>
                      <w:color w:val="auto"/>
                    </w:rPr>
                    <w:t>50</w:t>
                  </w:r>
                  <w:r>
                    <w:rPr>
                      <w:color w:val="auto"/>
                    </w:rPr>
                    <w:t>kg</w:t>
                  </w:r>
                </w:p>
              </w:tc>
              <w:tc>
                <w:tcPr>
                  <w:tcW w:w="1794" w:type="dxa"/>
                  <w:tcBorders>
                    <w:tl2br w:val="nil"/>
                    <w:tr2bl w:val="nil"/>
                  </w:tcBorders>
                  <w:shd w:val="clear" w:color="auto" w:fill="auto"/>
                  <w:vAlign w:val="center"/>
                </w:tcPr>
                <w:p>
                  <w:pPr>
                    <w:pStyle w:val="167"/>
                    <w:jc w:val="center"/>
                    <w:rPr>
                      <w:color w:val="auto"/>
                    </w:rPr>
                  </w:pPr>
                  <w:r>
                    <w:rPr>
                      <w:color w:val="auto"/>
                    </w:rPr>
                    <w:t>20kg</w:t>
                  </w:r>
                </w:p>
              </w:tc>
              <w:tc>
                <w:tcPr>
                  <w:tcW w:w="1965" w:type="dxa"/>
                  <w:tcBorders>
                    <w:tl2br w:val="nil"/>
                    <w:tr2bl w:val="nil"/>
                  </w:tcBorders>
                  <w:shd w:val="clear" w:color="auto" w:fill="auto"/>
                  <w:vAlign w:val="center"/>
                </w:tcPr>
                <w:p>
                  <w:pPr>
                    <w:pStyle w:val="167"/>
                    <w:jc w:val="center"/>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2" w:type="dxa"/>
                  <w:vMerge w:val="continue"/>
                  <w:tcBorders>
                    <w:tl2br w:val="nil"/>
                    <w:tr2bl w:val="nil"/>
                  </w:tcBorders>
                  <w:shd w:val="clear" w:color="auto" w:fill="auto"/>
                  <w:vAlign w:val="center"/>
                </w:tcPr>
                <w:p>
                  <w:pPr>
                    <w:pStyle w:val="167"/>
                    <w:jc w:val="center"/>
                    <w:rPr>
                      <w:color w:val="auto"/>
                    </w:rPr>
                  </w:pPr>
                </w:p>
              </w:tc>
              <w:tc>
                <w:tcPr>
                  <w:tcW w:w="1981" w:type="dxa"/>
                  <w:tcBorders>
                    <w:tl2br w:val="nil"/>
                    <w:tr2bl w:val="nil"/>
                  </w:tcBorders>
                  <w:shd w:val="clear" w:color="auto" w:fill="auto"/>
                  <w:vAlign w:val="center"/>
                </w:tcPr>
                <w:p>
                  <w:pPr>
                    <w:pStyle w:val="167"/>
                    <w:jc w:val="center"/>
                    <w:rPr>
                      <w:color w:val="auto"/>
                    </w:rPr>
                  </w:pPr>
                  <w:r>
                    <w:rPr>
                      <w:color w:val="auto"/>
                    </w:rPr>
                    <w:t>狗粮</w:t>
                  </w:r>
                </w:p>
              </w:tc>
              <w:tc>
                <w:tcPr>
                  <w:tcW w:w="1651" w:type="dxa"/>
                  <w:tcBorders>
                    <w:tl2br w:val="nil"/>
                    <w:tr2bl w:val="nil"/>
                  </w:tcBorders>
                  <w:shd w:val="clear" w:color="auto" w:fill="auto"/>
                  <w:vAlign w:val="center"/>
                </w:tcPr>
                <w:p>
                  <w:pPr>
                    <w:pStyle w:val="167"/>
                    <w:jc w:val="center"/>
                    <w:rPr>
                      <w:color w:val="auto"/>
                    </w:rPr>
                  </w:pPr>
                  <w:r>
                    <w:rPr>
                      <w:rFonts w:hint="eastAsia"/>
                      <w:color w:val="auto"/>
                    </w:rPr>
                    <w:t>50</w:t>
                  </w:r>
                  <w:r>
                    <w:rPr>
                      <w:color w:val="auto"/>
                    </w:rPr>
                    <w:t>kg</w:t>
                  </w:r>
                </w:p>
              </w:tc>
              <w:tc>
                <w:tcPr>
                  <w:tcW w:w="1794" w:type="dxa"/>
                  <w:tcBorders>
                    <w:tl2br w:val="nil"/>
                    <w:tr2bl w:val="nil"/>
                  </w:tcBorders>
                  <w:shd w:val="clear" w:color="auto" w:fill="auto"/>
                  <w:vAlign w:val="center"/>
                </w:tcPr>
                <w:p>
                  <w:pPr>
                    <w:pStyle w:val="167"/>
                    <w:jc w:val="center"/>
                    <w:rPr>
                      <w:color w:val="auto"/>
                    </w:rPr>
                  </w:pPr>
                  <w:r>
                    <w:rPr>
                      <w:color w:val="auto"/>
                    </w:rPr>
                    <w:t>20kg</w:t>
                  </w:r>
                </w:p>
              </w:tc>
              <w:tc>
                <w:tcPr>
                  <w:tcW w:w="1965" w:type="dxa"/>
                  <w:tcBorders>
                    <w:tl2br w:val="nil"/>
                    <w:tr2bl w:val="nil"/>
                  </w:tcBorders>
                  <w:shd w:val="clear" w:color="auto" w:fill="auto"/>
                  <w:vAlign w:val="center"/>
                </w:tcPr>
                <w:p>
                  <w:pPr>
                    <w:pStyle w:val="167"/>
                    <w:jc w:val="center"/>
                    <w:rPr>
                      <w:color w:val="auto"/>
                    </w:rPr>
                  </w:pPr>
                  <w:r>
                    <w:rPr>
                      <w:color w:val="auto"/>
                    </w:rPr>
                    <w:t>/</w:t>
                  </w:r>
                </w:p>
              </w:tc>
            </w:tr>
          </w:tbl>
          <w:p>
            <w:pPr>
              <w:pStyle w:val="234"/>
              <w:adjustRightInd/>
              <w:snapToGrid/>
              <w:spacing w:before="120"/>
              <w:ind w:firstLine="0" w:firstLineChars="0"/>
              <w:rPr>
                <w:color w:val="auto"/>
              </w:rPr>
            </w:pPr>
            <w:r>
              <w:rPr>
                <w:color w:val="auto"/>
              </w:rPr>
              <w:t>表2-6 原辅材料主要成分及理化性质</w:t>
            </w:r>
          </w:p>
          <w:tbl>
            <w:tblPr>
              <w:tblStyle w:val="41"/>
              <w:tblW w:w="9015"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77"/>
              <w:gridCol w:w="763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185"/>
                    <w:rPr>
                      <w:color w:val="auto"/>
                      <w:sz w:val="21"/>
                      <w:szCs w:val="21"/>
                    </w:rPr>
                  </w:pPr>
                  <w:r>
                    <w:rPr>
                      <w:color w:val="auto"/>
                      <w:sz w:val="21"/>
                      <w:szCs w:val="21"/>
                    </w:rPr>
                    <w:t>名称</w:t>
                  </w:r>
                </w:p>
              </w:tc>
              <w:tc>
                <w:tcPr>
                  <w:tcW w:w="7638" w:type="dxa"/>
                  <w:tcBorders>
                    <w:tl2br w:val="nil"/>
                    <w:tr2bl w:val="nil"/>
                  </w:tcBorders>
                  <w:vAlign w:val="center"/>
                </w:tcPr>
                <w:p>
                  <w:pPr>
                    <w:pStyle w:val="185"/>
                    <w:rPr>
                      <w:color w:val="auto"/>
                      <w:sz w:val="21"/>
                      <w:szCs w:val="21"/>
                    </w:rPr>
                  </w:pPr>
                  <w:r>
                    <w:rPr>
                      <w:color w:val="auto"/>
                      <w:sz w:val="21"/>
                      <w:szCs w:val="21"/>
                    </w:rPr>
                    <w:t>理化性质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185"/>
                    <w:rPr>
                      <w:color w:val="auto"/>
                      <w:sz w:val="21"/>
                      <w:szCs w:val="21"/>
                    </w:rPr>
                  </w:pPr>
                  <w:r>
                    <w:rPr>
                      <w:color w:val="auto"/>
                      <w:sz w:val="21"/>
                      <w:szCs w:val="21"/>
                    </w:rPr>
                    <w:t>75%酒精</w:t>
                  </w:r>
                </w:p>
              </w:tc>
              <w:tc>
                <w:tcPr>
                  <w:tcW w:w="7638" w:type="dxa"/>
                  <w:tcBorders>
                    <w:tl2br w:val="nil"/>
                    <w:tr2bl w:val="nil"/>
                  </w:tcBorders>
                  <w:vAlign w:val="center"/>
                </w:tcPr>
                <w:p>
                  <w:pPr>
                    <w:pStyle w:val="185"/>
                    <w:spacing w:line="240" w:lineRule="auto"/>
                    <w:jc w:val="both"/>
                    <w:rPr>
                      <w:color w:val="auto"/>
                      <w:sz w:val="21"/>
                      <w:szCs w:val="21"/>
                    </w:rPr>
                  </w:pPr>
                  <w:r>
                    <w:rPr>
                      <w:color w:val="auto"/>
                      <w:sz w:val="21"/>
                      <w:szCs w:val="21"/>
                    </w:rPr>
                    <w:t>主要成分为乙醇，乙醇在常温常压下是一种易挥发的无色透明液体，低毒性，纯液体不可直接饮用。乙醇的水溶液具有酒香的气味，并略带刺激性，味甘。乙醇易燃，其蒸气能与空气形成爆炸性混合物。乙醇能与水以任意比互溶，医疗上体积分数为75%的乙醇水溶液一般作为消毒剂使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185"/>
                    <w:rPr>
                      <w:color w:val="auto"/>
                      <w:sz w:val="21"/>
                      <w:szCs w:val="21"/>
                    </w:rPr>
                  </w:pPr>
                  <w:r>
                    <w:rPr>
                      <w:color w:val="auto"/>
                      <w:sz w:val="21"/>
                      <w:szCs w:val="21"/>
                    </w:rPr>
                    <w:t>碘伏</w:t>
                  </w:r>
                </w:p>
              </w:tc>
              <w:tc>
                <w:tcPr>
                  <w:tcW w:w="7638" w:type="dxa"/>
                  <w:tcBorders>
                    <w:tl2br w:val="nil"/>
                    <w:tr2bl w:val="nil"/>
                  </w:tcBorders>
                  <w:vAlign w:val="center"/>
                </w:tcPr>
                <w:p>
                  <w:pPr>
                    <w:pStyle w:val="185"/>
                    <w:spacing w:line="240" w:lineRule="auto"/>
                    <w:jc w:val="both"/>
                    <w:rPr>
                      <w:color w:val="auto"/>
                      <w:sz w:val="21"/>
                      <w:szCs w:val="21"/>
                    </w:rPr>
                  </w:pPr>
                  <w:r>
                    <w:rPr>
                      <w:color w:val="auto"/>
                      <w:sz w:val="21"/>
                      <w:szCs w:val="21"/>
                    </w:rPr>
                    <w:t>碘伏是单质碘与聚乙烯吡咯烷酮的不定型结合物。医用碘伏通常浓度较低（1%或以下），呈现浅棕色。碘伏具有广谱杀菌作用，可杀灭细菌繁殖体、真菌、原虫和部分病毒。在医疗上用作杀菌消毒剂，可用于皮肤、粘膜的消毒，可用于手术前和其它皮肤的消毒、各种注射部位皮肤消毒、器械浸泡消毒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185"/>
                    <w:rPr>
                      <w:color w:val="auto"/>
                      <w:sz w:val="21"/>
                      <w:szCs w:val="21"/>
                    </w:rPr>
                  </w:pPr>
                  <w:r>
                    <w:rPr>
                      <w:color w:val="auto"/>
                      <w:sz w:val="21"/>
                      <w:szCs w:val="21"/>
                    </w:rPr>
                    <w:t>新洁尔灭</w:t>
                  </w:r>
                </w:p>
              </w:tc>
              <w:tc>
                <w:tcPr>
                  <w:tcW w:w="7638" w:type="dxa"/>
                  <w:tcBorders>
                    <w:tl2br w:val="nil"/>
                    <w:tr2bl w:val="nil"/>
                  </w:tcBorders>
                  <w:vAlign w:val="center"/>
                </w:tcPr>
                <w:p>
                  <w:pPr>
                    <w:pStyle w:val="185"/>
                    <w:spacing w:line="240" w:lineRule="auto"/>
                    <w:jc w:val="both"/>
                    <w:rPr>
                      <w:color w:val="auto"/>
                      <w:sz w:val="21"/>
                      <w:szCs w:val="21"/>
                    </w:rPr>
                  </w:pPr>
                  <w:r>
                    <w:rPr>
                      <w:color w:val="auto"/>
                      <w:sz w:val="21"/>
                      <w:szCs w:val="21"/>
                    </w:rPr>
                    <w:t>白色腊状固体或黄色胶状体。熔点46-48°C，闪点大于110°C，易溶于水或乙醇，有芳香味，味极苦。强力振摇时产生大量泡沫。新洁尔灭用途：常用的季铵盐阳离子表面活性剂，具有优异的杀菌力和去污力。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185"/>
                    <w:rPr>
                      <w:color w:val="auto"/>
                      <w:sz w:val="21"/>
                      <w:szCs w:val="21"/>
                    </w:rPr>
                  </w:pPr>
                  <w:r>
                    <w:rPr>
                      <w:color w:val="auto"/>
                      <w:sz w:val="21"/>
                      <w:szCs w:val="21"/>
                    </w:rPr>
                    <w:t>84消毒液</w:t>
                  </w:r>
                </w:p>
              </w:tc>
              <w:tc>
                <w:tcPr>
                  <w:tcW w:w="7638" w:type="dxa"/>
                  <w:tcBorders>
                    <w:tl2br w:val="nil"/>
                    <w:tr2bl w:val="nil"/>
                  </w:tcBorders>
                  <w:vAlign w:val="center"/>
                </w:tcPr>
                <w:p>
                  <w:pPr>
                    <w:pStyle w:val="185"/>
                    <w:spacing w:line="240" w:lineRule="auto"/>
                    <w:jc w:val="both"/>
                    <w:rPr>
                      <w:color w:val="auto"/>
                      <w:sz w:val="21"/>
                      <w:szCs w:val="21"/>
                    </w:rPr>
                  </w:pPr>
                  <w:r>
                    <w:rPr>
                      <w:color w:val="auto"/>
                      <w:sz w:val="21"/>
                      <w:szCs w:val="21"/>
                    </w:rPr>
                    <w:t>淡黄绿色、液态、刺激性气味、能溶于水。可用于餐饮具、环境物体表面消毒。84消毒液消毒的机理主要在于次氯酸的氧化作用。84消毒液在水中形成的次氯酸不仅可与细胞壁发生作用，且因分子小不带电荷，故容易侵入细胞内与蛋白质发生氧化作用或破坏其磷酸脱氢酶，使糖代谢失调而致细胞死亡，次氯酸分解形成新生态氧可将菌体蛋白质氧化。其中所含的氯对蛋白质起氯化作用，使细胞膜通透性发生变化，促使细胞内向外渗出，杀死微生物。84消毒液具有较强的挥发性，放置过久，尤其是稀释后的使用液，有效成分会挥发或降解，逐渐失去对微生物的杀灭作用，直至失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185"/>
                    <w:rPr>
                      <w:color w:val="auto"/>
                      <w:sz w:val="21"/>
                      <w:szCs w:val="21"/>
                    </w:rPr>
                  </w:pPr>
                  <w:r>
                    <w:rPr>
                      <w:color w:val="auto"/>
                      <w:sz w:val="21"/>
                      <w:szCs w:val="21"/>
                    </w:rPr>
                    <w:t>二氧化氯</w:t>
                  </w:r>
                </w:p>
              </w:tc>
              <w:tc>
                <w:tcPr>
                  <w:tcW w:w="7638" w:type="dxa"/>
                  <w:tcBorders>
                    <w:tl2br w:val="nil"/>
                    <w:tr2bl w:val="nil"/>
                  </w:tcBorders>
                  <w:vAlign w:val="center"/>
                </w:tcPr>
                <w:p>
                  <w:pPr>
                    <w:pStyle w:val="185"/>
                    <w:spacing w:line="240" w:lineRule="auto"/>
                    <w:jc w:val="both"/>
                    <w:rPr>
                      <w:color w:val="auto"/>
                      <w:sz w:val="21"/>
                      <w:szCs w:val="21"/>
                    </w:rPr>
                  </w:pPr>
                  <w:r>
                    <w:rPr>
                      <w:color w:val="auto"/>
                      <w:sz w:val="21"/>
                      <w:szCs w:val="21"/>
                    </w:rPr>
                    <w:t>二氧化氯溶于水后，基本不与水发生化学反应，也不以二聚或多聚状态存在。它在水中的扩散速度与渗透能力都比氯快，特别在低浓度时更突出。当细菌浓度在105</w:t>
                  </w:r>
                  <w:r>
                    <w:rPr>
                      <w:rFonts w:hint="eastAsia"/>
                      <w:color w:val="auto"/>
                      <w:sz w:val="21"/>
                      <w:szCs w:val="21"/>
                      <w:lang w:eastAsia="zh-CN"/>
                    </w:rPr>
                    <w:t>～</w:t>
                  </w:r>
                  <w:r>
                    <w:rPr>
                      <w:color w:val="auto"/>
                      <w:sz w:val="21"/>
                      <w:szCs w:val="21"/>
                    </w:rPr>
                    <w:t>106个/mL时，0.5ppm的ClO</w:t>
                  </w:r>
                  <w:r>
                    <w:rPr>
                      <w:color w:val="auto"/>
                      <w:sz w:val="21"/>
                      <w:szCs w:val="21"/>
                      <w:vertAlign w:val="subscript"/>
                    </w:rPr>
                    <w:t>2</w:t>
                  </w:r>
                  <w:r>
                    <w:rPr>
                      <w:color w:val="auto"/>
                      <w:sz w:val="21"/>
                      <w:szCs w:val="21"/>
                    </w:rPr>
                    <w:t>作用5分钟后即可杀灭99%以上的异养菌；而0.5ppm的Cl</w:t>
                  </w:r>
                  <w:r>
                    <w:rPr>
                      <w:color w:val="auto"/>
                      <w:sz w:val="21"/>
                      <w:szCs w:val="21"/>
                      <w:vertAlign w:val="subscript"/>
                    </w:rPr>
                    <w:t>2</w:t>
                  </w:r>
                  <w:r>
                    <w:rPr>
                      <w:color w:val="auto"/>
                      <w:sz w:val="21"/>
                      <w:szCs w:val="21"/>
                    </w:rPr>
                    <w:t>的杀菌率最高只能达到75%，试验表明，0.5ppm的ClO</w:t>
                  </w:r>
                  <w:r>
                    <w:rPr>
                      <w:color w:val="auto"/>
                      <w:sz w:val="21"/>
                      <w:szCs w:val="21"/>
                      <w:vertAlign w:val="subscript"/>
                    </w:rPr>
                    <w:t>2</w:t>
                  </w:r>
                  <w:r>
                    <w:rPr>
                      <w:color w:val="auto"/>
                      <w:sz w:val="21"/>
                      <w:szCs w:val="21"/>
                    </w:rPr>
                    <w:t>在12小时内对异养菌的杀灭率保持在99%以上，作用时间长达24小时杀菌率才下降为86.3%。</w:t>
                  </w:r>
                </w:p>
              </w:tc>
            </w:tr>
          </w:tbl>
          <w:p>
            <w:pPr>
              <w:adjustRightInd/>
              <w:snapToGrid/>
              <w:spacing w:before="120" w:beforeLines="50"/>
              <w:ind w:firstLine="422"/>
              <w:rPr>
                <w:b/>
                <w:color w:val="auto"/>
              </w:rPr>
            </w:pPr>
            <w:r>
              <w:rPr>
                <w:b/>
                <w:color w:val="auto"/>
              </w:rPr>
              <w:t>7、项目给排水情况及水平衡分析</w:t>
            </w:r>
          </w:p>
          <w:p>
            <w:pPr>
              <w:adjustRightInd/>
              <w:snapToGrid/>
              <w:ind w:firstLine="420"/>
              <w:rPr>
                <w:color w:val="auto"/>
              </w:rPr>
            </w:pPr>
            <w:r>
              <w:rPr>
                <w:color w:val="auto"/>
              </w:rPr>
              <w:t>项目供水为市政供水。项目用水主要包括生活用水、医疗用水</w:t>
            </w:r>
            <w:r>
              <w:rPr>
                <w:rFonts w:hint="eastAsia"/>
                <w:color w:val="auto"/>
                <w:lang w:eastAsia="zh-CN"/>
              </w:rPr>
              <w:t>、</w:t>
            </w:r>
            <w:r>
              <w:rPr>
                <w:color w:val="auto"/>
              </w:rPr>
              <w:t>宠物洗浴用水</w:t>
            </w:r>
            <w:r>
              <w:rPr>
                <w:rFonts w:hint="eastAsia"/>
                <w:color w:val="auto"/>
                <w:lang w:val="en-US" w:eastAsia="zh-CN"/>
              </w:rPr>
              <w:t>及84消毒液稀释用水</w:t>
            </w:r>
            <w:r>
              <w:rPr>
                <w:color w:val="auto"/>
              </w:rPr>
              <w:t>，其中生活污水主要为员工、顾客用水以及地面清洁用水；医疗用水主要为手术器械清洗用水、住院动物用水、诊疗用水（含化验用水）；洗浴用水主要为健康动物沐浴、毛巾清洗用水</w:t>
            </w:r>
            <w:r>
              <w:rPr>
                <w:rFonts w:hint="eastAsia"/>
                <w:color w:val="auto"/>
                <w:lang w:eastAsia="zh-CN"/>
              </w:rPr>
              <w:t>；</w:t>
            </w:r>
            <w:r>
              <w:rPr>
                <w:rFonts w:hint="eastAsia"/>
                <w:color w:val="auto"/>
                <w:lang w:val="en-US" w:eastAsia="zh-CN"/>
              </w:rPr>
              <w:t>院内、宠物粪便</w:t>
            </w:r>
            <w:r>
              <w:rPr>
                <w:color w:val="auto"/>
              </w:rPr>
              <w:t>等</w:t>
            </w:r>
            <w:r>
              <w:rPr>
                <w:rFonts w:hint="eastAsia"/>
                <w:color w:val="auto"/>
                <w:lang w:val="en-US" w:eastAsia="zh-CN"/>
              </w:rPr>
              <w:t>区域消毒的84消毒液稀释用水</w:t>
            </w:r>
            <w:r>
              <w:rPr>
                <w:color w:val="auto"/>
              </w:rPr>
              <w:t>。根据《关于印发重庆市城市生活用水定额（2017年修订版）的通知》</w:t>
            </w:r>
            <w:r>
              <w:rPr>
                <w:rFonts w:hint="eastAsia"/>
                <w:color w:val="auto"/>
              </w:rPr>
              <w:t>（</w:t>
            </w:r>
            <w:r>
              <w:rPr>
                <w:color w:val="auto"/>
              </w:rPr>
              <w:t>渝水〔2018〕66号</w:t>
            </w:r>
            <w:r>
              <w:rPr>
                <w:rFonts w:hint="eastAsia"/>
                <w:color w:val="auto"/>
              </w:rPr>
              <w:t>）</w:t>
            </w:r>
            <w:r>
              <w:rPr>
                <w:color w:val="auto"/>
              </w:rPr>
              <w:t>等相关规范及业主提供的资料对项目用水及排水量进行核算，折污系数取0.9。</w:t>
            </w:r>
          </w:p>
          <w:p>
            <w:pPr>
              <w:adjustRightInd/>
              <w:snapToGrid/>
              <w:ind w:firstLine="420"/>
              <w:rPr>
                <w:color w:val="auto"/>
              </w:rPr>
            </w:pPr>
            <w:r>
              <w:rPr>
                <w:color w:val="auto"/>
              </w:rPr>
              <w:t>项目医疗废水经消毒预处理后，与生活污水、洗浴废水一起排入生化池处理达《污水综合排放标准》（GB8978-1996）三级标准后接入市政污水管网排至唐家沱污水处理厂深度处理达《城镇污水处理厂污染物排放标准》（GB 18918-2002）一级A标后，尾水排入长江。</w:t>
            </w:r>
          </w:p>
          <w:p>
            <w:pPr>
              <w:adjustRightInd/>
              <w:snapToGrid/>
              <w:ind w:firstLine="420"/>
              <w:rPr>
                <w:color w:val="auto"/>
              </w:rPr>
            </w:pPr>
            <w:r>
              <w:rPr>
                <w:color w:val="auto"/>
              </w:rPr>
              <w:t>项目用排水情况详见表2-7。</w:t>
            </w:r>
          </w:p>
          <w:p>
            <w:pPr>
              <w:adjustRightInd/>
              <w:snapToGrid/>
              <w:spacing w:line="240" w:lineRule="auto"/>
              <w:ind w:firstLine="422"/>
              <w:jc w:val="center"/>
              <w:rPr>
                <w:b/>
                <w:color w:val="auto"/>
              </w:rPr>
            </w:pPr>
            <w:r>
              <w:rPr>
                <w:b/>
                <w:color w:val="auto"/>
              </w:rPr>
              <w:t>表2-7    项目用水、排水情况</w:t>
            </w:r>
          </w:p>
          <w:tbl>
            <w:tblPr>
              <w:tblStyle w:val="40"/>
              <w:tblW w:w="898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92"/>
              <w:gridCol w:w="1562"/>
              <w:gridCol w:w="1663"/>
              <w:gridCol w:w="1522"/>
              <w:gridCol w:w="1492"/>
              <w:gridCol w:w="185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2454" w:type="dxa"/>
                  <w:gridSpan w:val="2"/>
                  <w:tcBorders>
                    <w:tl2br w:val="nil"/>
                    <w:tr2bl w:val="nil"/>
                  </w:tcBorders>
                  <w:vAlign w:val="center"/>
                </w:tcPr>
                <w:p>
                  <w:pPr>
                    <w:pStyle w:val="185"/>
                    <w:spacing w:line="240" w:lineRule="auto"/>
                    <w:rPr>
                      <w:color w:val="auto"/>
                      <w:sz w:val="21"/>
                      <w:szCs w:val="21"/>
                    </w:rPr>
                  </w:pPr>
                  <w:r>
                    <w:rPr>
                      <w:color w:val="auto"/>
                      <w:sz w:val="21"/>
                      <w:szCs w:val="21"/>
                    </w:rPr>
                    <w:t>用水项目</w:t>
                  </w:r>
                </w:p>
              </w:tc>
              <w:tc>
                <w:tcPr>
                  <w:tcW w:w="1663" w:type="dxa"/>
                  <w:tcBorders>
                    <w:tl2br w:val="nil"/>
                    <w:tr2bl w:val="nil"/>
                  </w:tcBorders>
                  <w:vAlign w:val="center"/>
                </w:tcPr>
                <w:p>
                  <w:pPr>
                    <w:pStyle w:val="185"/>
                    <w:spacing w:line="240" w:lineRule="auto"/>
                    <w:rPr>
                      <w:color w:val="auto"/>
                      <w:sz w:val="21"/>
                      <w:szCs w:val="21"/>
                    </w:rPr>
                  </w:pPr>
                  <w:r>
                    <w:rPr>
                      <w:color w:val="auto"/>
                      <w:sz w:val="21"/>
                      <w:szCs w:val="21"/>
                    </w:rPr>
                    <w:t>规模</w:t>
                  </w:r>
                </w:p>
              </w:tc>
              <w:tc>
                <w:tcPr>
                  <w:tcW w:w="1522" w:type="dxa"/>
                  <w:tcBorders>
                    <w:tl2br w:val="nil"/>
                    <w:tr2bl w:val="nil"/>
                  </w:tcBorders>
                  <w:vAlign w:val="center"/>
                </w:tcPr>
                <w:p>
                  <w:pPr>
                    <w:pStyle w:val="185"/>
                    <w:spacing w:line="240" w:lineRule="auto"/>
                    <w:rPr>
                      <w:color w:val="auto"/>
                      <w:sz w:val="21"/>
                      <w:szCs w:val="21"/>
                    </w:rPr>
                  </w:pPr>
                  <w:r>
                    <w:rPr>
                      <w:color w:val="auto"/>
                      <w:sz w:val="21"/>
                      <w:szCs w:val="21"/>
                    </w:rPr>
                    <w:t>用水标准</w:t>
                  </w:r>
                </w:p>
              </w:tc>
              <w:tc>
                <w:tcPr>
                  <w:tcW w:w="1492" w:type="dxa"/>
                  <w:tcBorders>
                    <w:tl2br w:val="nil"/>
                    <w:tr2bl w:val="nil"/>
                  </w:tcBorders>
                  <w:vAlign w:val="center"/>
                </w:tcPr>
                <w:p>
                  <w:pPr>
                    <w:pStyle w:val="185"/>
                    <w:spacing w:line="240" w:lineRule="auto"/>
                    <w:rPr>
                      <w:color w:val="auto"/>
                      <w:sz w:val="21"/>
                      <w:szCs w:val="21"/>
                    </w:rPr>
                  </w:pPr>
                  <w:r>
                    <w:rPr>
                      <w:color w:val="auto"/>
                      <w:sz w:val="21"/>
                      <w:szCs w:val="21"/>
                    </w:rPr>
                    <w:t>用水量（m</w:t>
                  </w:r>
                  <w:r>
                    <w:rPr>
                      <w:color w:val="auto"/>
                      <w:sz w:val="21"/>
                      <w:szCs w:val="21"/>
                      <w:vertAlign w:val="superscript"/>
                    </w:rPr>
                    <w:t>3</w:t>
                  </w:r>
                  <w:r>
                    <w:rPr>
                      <w:color w:val="auto"/>
                      <w:sz w:val="21"/>
                      <w:szCs w:val="21"/>
                    </w:rPr>
                    <w:t>/d）</w:t>
                  </w:r>
                </w:p>
              </w:tc>
              <w:tc>
                <w:tcPr>
                  <w:tcW w:w="1857" w:type="dxa"/>
                  <w:tcBorders>
                    <w:tl2br w:val="nil"/>
                    <w:tr2bl w:val="nil"/>
                  </w:tcBorders>
                  <w:vAlign w:val="center"/>
                </w:tcPr>
                <w:p>
                  <w:pPr>
                    <w:pStyle w:val="185"/>
                    <w:spacing w:line="240" w:lineRule="auto"/>
                    <w:rPr>
                      <w:color w:val="auto"/>
                      <w:sz w:val="21"/>
                      <w:szCs w:val="21"/>
                    </w:rPr>
                  </w:pPr>
                  <w:r>
                    <w:rPr>
                      <w:color w:val="auto"/>
                      <w:sz w:val="21"/>
                      <w:szCs w:val="21"/>
                    </w:rPr>
                    <w:t>排水量（m</w:t>
                  </w:r>
                  <w:r>
                    <w:rPr>
                      <w:color w:val="auto"/>
                      <w:sz w:val="21"/>
                      <w:szCs w:val="21"/>
                      <w:vertAlign w:val="superscript"/>
                    </w:rPr>
                    <w:t>3</w:t>
                  </w:r>
                  <w:r>
                    <w:rPr>
                      <w:color w:val="auto"/>
                      <w:sz w:val="21"/>
                      <w:szCs w:val="21"/>
                    </w:rPr>
                    <w:t>/d）</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892" w:type="dxa"/>
                  <w:vMerge w:val="restart"/>
                  <w:tcBorders>
                    <w:tl2br w:val="nil"/>
                    <w:tr2bl w:val="nil"/>
                  </w:tcBorders>
                  <w:vAlign w:val="center"/>
                </w:tcPr>
                <w:p>
                  <w:pPr>
                    <w:pStyle w:val="185"/>
                    <w:spacing w:line="240" w:lineRule="auto"/>
                    <w:jc w:val="both"/>
                    <w:rPr>
                      <w:color w:val="auto"/>
                      <w:sz w:val="21"/>
                      <w:szCs w:val="21"/>
                    </w:rPr>
                  </w:pPr>
                  <w:r>
                    <w:rPr>
                      <w:color w:val="auto"/>
                      <w:sz w:val="21"/>
                      <w:szCs w:val="21"/>
                    </w:rPr>
                    <w:t>医疗用水</w:t>
                  </w:r>
                </w:p>
              </w:tc>
              <w:tc>
                <w:tcPr>
                  <w:tcW w:w="1562" w:type="dxa"/>
                  <w:tcBorders>
                    <w:tl2br w:val="nil"/>
                    <w:tr2bl w:val="nil"/>
                  </w:tcBorders>
                  <w:vAlign w:val="center"/>
                </w:tcPr>
                <w:p>
                  <w:pPr>
                    <w:pStyle w:val="185"/>
                    <w:spacing w:line="240" w:lineRule="auto"/>
                    <w:rPr>
                      <w:color w:val="auto"/>
                      <w:sz w:val="21"/>
                      <w:szCs w:val="21"/>
                    </w:rPr>
                  </w:pPr>
                  <w:r>
                    <w:rPr>
                      <w:color w:val="auto"/>
                      <w:sz w:val="21"/>
                      <w:szCs w:val="21"/>
                    </w:rPr>
                    <w:t>住院动物用水</w:t>
                  </w:r>
                </w:p>
              </w:tc>
              <w:tc>
                <w:tcPr>
                  <w:tcW w:w="1663" w:type="dxa"/>
                  <w:tcBorders>
                    <w:tl2br w:val="nil"/>
                    <w:tr2bl w:val="nil"/>
                  </w:tcBorders>
                  <w:vAlign w:val="center"/>
                </w:tcPr>
                <w:p>
                  <w:pPr>
                    <w:pStyle w:val="185"/>
                    <w:spacing w:line="240" w:lineRule="auto"/>
                    <w:rPr>
                      <w:color w:val="auto"/>
                      <w:sz w:val="21"/>
                      <w:szCs w:val="21"/>
                    </w:rPr>
                  </w:pPr>
                  <w:r>
                    <w:rPr>
                      <w:rFonts w:hint="eastAsia"/>
                      <w:color w:val="auto"/>
                      <w:sz w:val="21"/>
                      <w:szCs w:val="21"/>
                    </w:rPr>
                    <w:t>4</w:t>
                  </w:r>
                  <w:r>
                    <w:rPr>
                      <w:color w:val="auto"/>
                      <w:sz w:val="21"/>
                      <w:szCs w:val="21"/>
                    </w:rPr>
                    <w:t>只/d</w:t>
                  </w:r>
                </w:p>
              </w:tc>
              <w:tc>
                <w:tcPr>
                  <w:tcW w:w="1522" w:type="dxa"/>
                  <w:tcBorders>
                    <w:tl2br w:val="nil"/>
                    <w:tr2bl w:val="nil"/>
                  </w:tcBorders>
                  <w:vAlign w:val="center"/>
                </w:tcPr>
                <w:p>
                  <w:pPr>
                    <w:pStyle w:val="185"/>
                    <w:spacing w:line="240" w:lineRule="auto"/>
                    <w:rPr>
                      <w:color w:val="auto"/>
                      <w:sz w:val="21"/>
                      <w:szCs w:val="21"/>
                    </w:rPr>
                  </w:pPr>
                  <w:r>
                    <w:rPr>
                      <w:color w:val="auto"/>
                      <w:sz w:val="21"/>
                      <w:szCs w:val="21"/>
                    </w:rPr>
                    <w:t>20 L/d·只</w:t>
                  </w:r>
                </w:p>
              </w:tc>
              <w:tc>
                <w:tcPr>
                  <w:tcW w:w="1492" w:type="dxa"/>
                  <w:tcBorders>
                    <w:tl2br w:val="nil"/>
                    <w:tr2bl w:val="nil"/>
                  </w:tcBorders>
                  <w:vAlign w:val="center"/>
                </w:tcPr>
                <w:p>
                  <w:pPr>
                    <w:pStyle w:val="185"/>
                    <w:spacing w:line="240" w:lineRule="auto"/>
                    <w:rPr>
                      <w:color w:val="auto"/>
                      <w:sz w:val="21"/>
                      <w:szCs w:val="21"/>
                    </w:rPr>
                  </w:pPr>
                  <w:r>
                    <w:rPr>
                      <w:rFonts w:hint="eastAsia"/>
                      <w:color w:val="auto"/>
                      <w:sz w:val="21"/>
                      <w:szCs w:val="21"/>
                    </w:rPr>
                    <w:t>0.08</w:t>
                  </w:r>
                </w:p>
              </w:tc>
              <w:tc>
                <w:tcPr>
                  <w:tcW w:w="1857" w:type="dxa"/>
                  <w:tcBorders>
                    <w:tl2br w:val="nil"/>
                    <w:tr2bl w:val="nil"/>
                  </w:tcBorders>
                  <w:vAlign w:val="center"/>
                </w:tcPr>
                <w:p>
                  <w:pPr>
                    <w:pStyle w:val="185"/>
                    <w:spacing w:line="240" w:lineRule="auto"/>
                    <w:rPr>
                      <w:color w:val="auto"/>
                      <w:sz w:val="21"/>
                      <w:szCs w:val="21"/>
                    </w:rPr>
                  </w:pPr>
                  <w:r>
                    <w:rPr>
                      <w:rFonts w:hint="eastAsia"/>
                      <w:color w:val="auto"/>
                      <w:sz w:val="21"/>
                      <w:szCs w:val="21"/>
                    </w:rPr>
                    <w:t>0.072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892" w:type="dxa"/>
                  <w:vMerge w:val="continue"/>
                  <w:tcBorders>
                    <w:tl2br w:val="nil"/>
                    <w:tr2bl w:val="nil"/>
                  </w:tcBorders>
                  <w:vAlign w:val="center"/>
                </w:tcPr>
                <w:p>
                  <w:pPr>
                    <w:pStyle w:val="185"/>
                    <w:spacing w:line="240" w:lineRule="auto"/>
                    <w:rPr>
                      <w:color w:val="auto"/>
                      <w:sz w:val="21"/>
                      <w:szCs w:val="21"/>
                    </w:rPr>
                  </w:pPr>
                </w:p>
              </w:tc>
              <w:tc>
                <w:tcPr>
                  <w:tcW w:w="1562" w:type="dxa"/>
                  <w:tcBorders>
                    <w:tl2br w:val="nil"/>
                    <w:tr2bl w:val="nil"/>
                  </w:tcBorders>
                  <w:vAlign w:val="center"/>
                </w:tcPr>
                <w:p>
                  <w:pPr>
                    <w:pStyle w:val="185"/>
                    <w:spacing w:line="240" w:lineRule="auto"/>
                    <w:rPr>
                      <w:color w:val="auto"/>
                      <w:sz w:val="21"/>
                      <w:szCs w:val="21"/>
                    </w:rPr>
                  </w:pPr>
                  <w:r>
                    <w:rPr>
                      <w:color w:val="auto"/>
                      <w:sz w:val="21"/>
                      <w:szCs w:val="21"/>
                    </w:rPr>
                    <w:t>诊疗用水（含化验用水）</w:t>
                  </w:r>
                </w:p>
              </w:tc>
              <w:tc>
                <w:tcPr>
                  <w:tcW w:w="1663" w:type="dxa"/>
                  <w:tcBorders>
                    <w:tl2br w:val="nil"/>
                    <w:tr2bl w:val="nil"/>
                  </w:tcBorders>
                  <w:vAlign w:val="center"/>
                </w:tcPr>
                <w:p>
                  <w:pPr>
                    <w:pStyle w:val="185"/>
                    <w:spacing w:line="240" w:lineRule="auto"/>
                    <w:rPr>
                      <w:color w:val="auto"/>
                      <w:sz w:val="21"/>
                      <w:szCs w:val="21"/>
                    </w:rPr>
                  </w:pPr>
                  <w:r>
                    <w:rPr>
                      <w:rFonts w:hint="eastAsia"/>
                      <w:color w:val="auto"/>
                      <w:sz w:val="21"/>
                      <w:szCs w:val="21"/>
                    </w:rPr>
                    <w:t>20</w:t>
                  </w:r>
                  <w:r>
                    <w:rPr>
                      <w:color w:val="auto"/>
                      <w:sz w:val="21"/>
                      <w:szCs w:val="21"/>
                    </w:rPr>
                    <w:t>只/d</w:t>
                  </w:r>
                </w:p>
              </w:tc>
              <w:tc>
                <w:tcPr>
                  <w:tcW w:w="1522" w:type="dxa"/>
                  <w:tcBorders>
                    <w:tl2br w:val="nil"/>
                    <w:tr2bl w:val="nil"/>
                  </w:tcBorders>
                  <w:vAlign w:val="center"/>
                </w:tcPr>
                <w:p>
                  <w:pPr>
                    <w:pStyle w:val="185"/>
                    <w:spacing w:line="240" w:lineRule="auto"/>
                    <w:rPr>
                      <w:color w:val="auto"/>
                      <w:sz w:val="21"/>
                      <w:szCs w:val="21"/>
                    </w:rPr>
                  </w:pPr>
                  <w:r>
                    <w:rPr>
                      <w:color w:val="auto"/>
                      <w:sz w:val="21"/>
                      <w:szCs w:val="21"/>
                    </w:rPr>
                    <w:t>5 L/d·只</w:t>
                  </w:r>
                </w:p>
              </w:tc>
              <w:tc>
                <w:tcPr>
                  <w:tcW w:w="1492" w:type="dxa"/>
                  <w:tcBorders>
                    <w:tl2br w:val="nil"/>
                    <w:tr2bl w:val="nil"/>
                  </w:tcBorders>
                  <w:vAlign w:val="center"/>
                </w:tcPr>
                <w:p>
                  <w:pPr>
                    <w:pStyle w:val="185"/>
                    <w:spacing w:line="240" w:lineRule="auto"/>
                    <w:rPr>
                      <w:color w:val="auto"/>
                      <w:sz w:val="21"/>
                      <w:szCs w:val="21"/>
                    </w:rPr>
                  </w:pPr>
                  <w:r>
                    <w:rPr>
                      <w:rFonts w:hint="eastAsia"/>
                      <w:color w:val="auto"/>
                      <w:sz w:val="21"/>
                      <w:szCs w:val="21"/>
                    </w:rPr>
                    <w:t>0.1</w:t>
                  </w:r>
                </w:p>
              </w:tc>
              <w:tc>
                <w:tcPr>
                  <w:tcW w:w="1857" w:type="dxa"/>
                  <w:tcBorders>
                    <w:tl2br w:val="nil"/>
                    <w:tr2bl w:val="nil"/>
                  </w:tcBorders>
                  <w:vAlign w:val="center"/>
                </w:tcPr>
                <w:p>
                  <w:pPr>
                    <w:pStyle w:val="185"/>
                    <w:spacing w:line="240" w:lineRule="auto"/>
                    <w:rPr>
                      <w:color w:val="auto"/>
                      <w:sz w:val="21"/>
                      <w:szCs w:val="21"/>
                    </w:rPr>
                  </w:pPr>
                  <w:r>
                    <w:rPr>
                      <w:color w:val="auto"/>
                      <w:sz w:val="21"/>
                      <w:szCs w:val="21"/>
                    </w:rPr>
                    <w:t>0.</w:t>
                  </w:r>
                  <w:r>
                    <w:rPr>
                      <w:rFonts w:hint="eastAsia"/>
                      <w:color w:val="auto"/>
                      <w:sz w:val="21"/>
                      <w:szCs w:val="21"/>
                    </w:rPr>
                    <w:t>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892" w:type="dxa"/>
                  <w:vMerge w:val="continue"/>
                  <w:tcBorders>
                    <w:tl2br w:val="nil"/>
                    <w:tr2bl w:val="nil"/>
                  </w:tcBorders>
                  <w:vAlign w:val="center"/>
                </w:tcPr>
                <w:p>
                  <w:pPr>
                    <w:pStyle w:val="185"/>
                    <w:spacing w:line="240" w:lineRule="auto"/>
                    <w:rPr>
                      <w:color w:val="auto"/>
                      <w:sz w:val="21"/>
                      <w:szCs w:val="21"/>
                    </w:rPr>
                  </w:pPr>
                </w:p>
              </w:tc>
              <w:tc>
                <w:tcPr>
                  <w:tcW w:w="1562" w:type="dxa"/>
                  <w:tcBorders>
                    <w:tl2br w:val="nil"/>
                    <w:tr2bl w:val="nil"/>
                  </w:tcBorders>
                  <w:vAlign w:val="center"/>
                </w:tcPr>
                <w:p>
                  <w:pPr>
                    <w:pStyle w:val="185"/>
                    <w:spacing w:line="240" w:lineRule="auto"/>
                    <w:rPr>
                      <w:color w:val="auto"/>
                      <w:sz w:val="21"/>
                      <w:szCs w:val="21"/>
                    </w:rPr>
                  </w:pPr>
                  <w:r>
                    <w:rPr>
                      <w:color w:val="auto"/>
                      <w:sz w:val="21"/>
                      <w:szCs w:val="21"/>
                    </w:rPr>
                    <w:t>手术器械清洗</w:t>
                  </w:r>
                </w:p>
              </w:tc>
              <w:tc>
                <w:tcPr>
                  <w:tcW w:w="1663" w:type="dxa"/>
                  <w:tcBorders>
                    <w:tl2br w:val="nil"/>
                    <w:tr2bl w:val="nil"/>
                  </w:tcBorders>
                  <w:vAlign w:val="center"/>
                </w:tcPr>
                <w:p>
                  <w:pPr>
                    <w:pStyle w:val="185"/>
                    <w:spacing w:line="240" w:lineRule="auto"/>
                    <w:rPr>
                      <w:color w:val="auto"/>
                      <w:sz w:val="21"/>
                      <w:szCs w:val="21"/>
                    </w:rPr>
                  </w:pPr>
                  <w:r>
                    <w:rPr>
                      <w:rStyle w:val="240"/>
                      <w:rFonts w:hint="default" w:ascii="Times New Roman" w:hAnsi="Times New Roman" w:cs="Times New Roman"/>
                      <w:bCs/>
                      <w:color w:val="auto"/>
                      <w:sz w:val="21"/>
                      <w:szCs w:val="21"/>
                      <w:lang w:bidi="ar"/>
                    </w:rPr>
                    <w:t>3台</w:t>
                  </w:r>
                  <w:r>
                    <w:rPr>
                      <w:rStyle w:val="239"/>
                      <w:bCs/>
                      <w:color w:val="auto"/>
                      <w:sz w:val="21"/>
                      <w:szCs w:val="21"/>
                      <w:lang w:bidi="ar"/>
                    </w:rPr>
                    <w:t>/d</w:t>
                  </w:r>
                </w:p>
              </w:tc>
              <w:tc>
                <w:tcPr>
                  <w:tcW w:w="1522" w:type="dxa"/>
                  <w:tcBorders>
                    <w:tl2br w:val="nil"/>
                    <w:tr2bl w:val="nil"/>
                  </w:tcBorders>
                  <w:vAlign w:val="center"/>
                </w:tcPr>
                <w:p>
                  <w:pPr>
                    <w:pStyle w:val="185"/>
                    <w:spacing w:line="240" w:lineRule="auto"/>
                    <w:rPr>
                      <w:color w:val="auto"/>
                      <w:sz w:val="21"/>
                      <w:szCs w:val="21"/>
                    </w:rPr>
                  </w:pPr>
                  <w:r>
                    <w:rPr>
                      <w:color w:val="auto"/>
                      <w:sz w:val="21"/>
                      <w:szCs w:val="21"/>
                    </w:rPr>
                    <w:t>5L/台</w:t>
                  </w:r>
                </w:p>
              </w:tc>
              <w:tc>
                <w:tcPr>
                  <w:tcW w:w="1492" w:type="dxa"/>
                  <w:tcBorders>
                    <w:tl2br w:val="nil"/>
                    <w:tr2bl w:val="nil"/>
                  </w:tcBorders>
                  <w:vAlign w:val="center"/>
                </w:tcPr>
                <w:p>
                  <w:pPr>
                    <w:pStyle w:val="185"/>
                    <w:spacing w:line="240" w:lineRule="auto"/>
                    <w:rPr>
                      <w:color w:val="auto"/>
                      <w:sz w:val="21"/>
                      <w:szCs w:val="21"/>
                    </w:rPr>
                  </w:pPr>
                  <w:r>
                    <w:rPr>
                      <w:rFonts w:hint="eastAsia"/>
                      <w:color w:val="auto"/>
                      <w:sz w:val="21"/>
                      <w:szCs w:val="21"/>
                    </w:rPr>
                    <w:t>0.015</w:t>
                  </w:r>
                </w:p>
              </w:tc>
              <w:tc>
                <w:tcPr>
                  <w:tcW w:w="1857" w:type="dxa"/>
                  <w:tcBorders>
                    <w:tl2br w:val="nil"/>
                    <w:tr2bl w:val="nil"/>
                  </w:tcBorders>
                  <w:vAlign w:val="center"/>
                </w:tcPr>
                <w:p>
                  <w:pPr>
                    <w:pStyle w:val="185"/>
                    <w:spacing w:line="240" w:lineRule="auto"/>
                    <w:rPr>
                      <w:color w:val="auto"/>
                      <w:sz w:val="21"/>
                      <w:szCs w:val="21"/>
                    </w:rPr>
                  </w:pPr>
                  <w:r>
                    <w:rPr>
                      <w:rFonts w:hint="eastAsia"/>
                      <w:color w:val="auto"/>
                      <w:sz w:val="21"/>
                      <w:szCs w:val="21"/>
                    </w:rPr>
                    <w:t>0.014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639" w:type="dxa"/>
                  <w:gridSpan w:val="4"/>
                  <w:tcBorders>
                    <w:tl2br w:val="nil"/>
                    <w:tr2bl w:val="nil"/>
                  </w:tcBorders>
                  <w:vAlign w:val="center"/>
                </w:tcPr>
                <w:p>
                  <w:pPr>
                    <w:pStyle w:val="185"/>
                    <w:spacing w:line="240" w:lineRule="auto"/>
                    <w:rPr>
                      <w:color w:val="auto"/>
                      <w:sz w:val="21"/>
                      <w:szCs w:val="21"/>
                    </w:rPr>
                  </w:pPr>
                  <w:r>
                    <w:rPr>
                      <w:color w:val="auto"/>
                      <w:sz w:val="21"/>
                      <w:szCs w:val="21"/>
                    </w:rPr>
                    <w:t>小计</w:t>
                  </w:r>
                </w:p>
              </w:tc>
              <w:tc>
                <w:tcPr>
                  <w:tcW w:w="1492" w:type="dxa"/>
                  <w:tcBorders>
                    <w:tl2br w:val="nil"/>
                    <w:tr2bl w:val="nil"/>
                  </w:tcBorders>
                  <w:vAlign w:val="center"/>
                </w:tcPr>
                <w:p>
                  <w:pPr>
                    <w:pStyle w:val="185"/>
                    <w:spacing w:line="240" w:lineRule="auto"/>
                    <w:rPr>
                      <w:color w:val="auto"/>
                      <w:sz w:val="21"/>
                      <w:szCs w:val="21"/>
                    </w:rPr>
                  </w:pPr>
                  <w:r>
                    <w:rPr>
                      <w:rFonts w:hint="eastAsia"/>
                      <w:color w:val="auto"/>
                      <w:sz w:val="21"/>
                      <w:szCs w:val="21"/>
                    </w:rPr>
                    <w:t>0.195</w:t>
                  </w:r>
                </w:p>
              </w:tc>
              <w:tc>
                <w:tcPr>
                  <w:tcW w:w="1857" w:type="dxa"/>
                  <w:tcBorders>
                    <w:tl2br w:val="nil"/>
                    <w:tr2bl w:val="nil"/>
                  </w:tcBorders>
                  <w:vAlign w:val="center"/>
                </w:tcPr>
                <w:p>
                  <w:pPr>
                    <w:pStyle w:val="185"/>
                    <w:spacing w:line="240" w:lineRule="auto"/>
                    <w:rPr>
                      <w:color w:val="auto"/>
                      <w:sz w:val="21"/>
                      <w:szCs w:val="21"/>
                    </w:rPr>
                  </w:pPr>
                  <w:r>
                    <w:rPr>
                      <w:rFonts w:hint="eastAsia"/>
                      <w:color w:val="auto"/>
                      <w:sz w:val="21"/>
                      <w:szCs w:val="21"/>
                    </w:rPr>
                    <w:t>0.176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892" w:type="dxa"/>
                  <w:tcBorders>
                    <w:tl2br w:val="nil"/>
                    <w:tr2bl w:val="nil"/>
                  </w:tcBorders>
                  <w:vAlign w:val="center"/>
                </w:tcPr>
                <w:p>
                  <w:pPr>
                    <w:pStyle w:val="185"/>
                    <w:spacing w:line="240" w:lineRule="auto"/>
                    <w:rPr>
                      <w:color w:val="auto"/>
                      <w:sz w:val="21"/>
                      <w:szCs w:val="21"/>
                    </w:rPr>
                  </w:pPr>
                  <w:r>
                    <w:rPr>
                      <w:color w:val="auto"/>
                      <w:sz w:val="21"/>
                      <w:szCs w:val="21"/>
                    </w:rPr>
                    <w:t>宠物洗浴用水</w:t>
                  </w:r>
                </w:p>
              </w:tc>
              <w:tc>
                <w:tcPr>
                  <w:tcW w:w="1562" w:type="dxa"/>
                  <w:tcBorders>
                    <w:tl2br w:val="nil"/>
                    <w:tr2bl w:val="nil"/>
                  </w:tcBorders>
                  <w:vAlign w:val="center"/>
                </w:tcPr>
                <w:p>
                  <w:pPr>
                    <w:pStyle w:val="185"/>
                    <w:spacing w:line="240" w:lineRule="auto"/>
                    <w:jc w:val="both"/>
                    <w:rPr>
                      <w:color w:val="auto"/>
                      <w:sz w:val="21"/>
                      <w:szCs w:val="21"/>
                    </w:rPr>
                  </w:pPr>
                  <w:r>
                    <w:rPr>
                      <w:color w:val="auto"/>
                      <w:sz w:val="21"/>
                      <w:szCs w:val="21"/>
                    </w:rPr>
                    <w:t>健康动物沐浴、毛巾清洗等</w:t>
                  </w:r>
                </w:p>
              </w:tc>
              <w:tc>
                <w:tcPr>
                  <w:tcW w:w="1663" w:type="dxa"/>
                  <w:tcBorders>
                    <w:tl2br w:val="nil"/>
                    <w:tr2bl w:val="nil"/>
                  </w:tcBorders>
                  <w:vAlign w:val="center"/>
                </w:tcPr>
                <w:p>
                  <w:pPr>
                    <w:pStyle w:val="185"/>
                    <w:spacing w:line="240" w:lineRule="auto"/>
                    <w:rPr>
                      <w:color w:val="auto"/>
                      <w:sz w:val="21"/>
                      <w:szCs w:val="21"/>
                    </w:rPr>
                  </w:pPr>
                  <w:r>
                    <w:rPr>
                      <w:rFonts w:hint="eastAsia"/>
                      <w:color w:val="auto"/>
                      <w:sz w:val="21"/>
                      <w:szCs w:val="21"/>
                    </w:rPr>
                    <w:t>5</w:t>
                  </w:r>
                  <w:r>
                    <w:rPr>
                      <w:color w:val="auto"/>
                      <w:sz w:val="21"/>
                      <w:szCs w:val="21"/>
                    </w:rPr>
                    <w:t>只/d</w:t>
                  </w:r>
                </w:p>
              </w:tc>
              <w:tc>
                <w:tcPr>
                  <w:tcW w:w="1522" w:type="dxa"/>
                  <w:tcBorders>
                    <w:tl2br w:val="nil"/>
                    <w:tr2bl w:val="nil"/>
                  </w:tcBorders>
                  <w:vAlign w:val="center"/>
                </w:tcPr>
                <w:p>
                  <w:pPr>
                    <w:pStyle w:val="185"/>
                    <w:spacing w:line="240" w:lineRule="auto"/>
                    <w:rPr>
                      <w:color w:val="auto"/>
                      <w:sz w:val="21"/>
                      <w:szCs w:val="21"/>
                    </w:rPr>
                  </w:pPr>
                  <w:r>
                    <w:rPr>
                      <w:color w:val="auto"/>
                      <w:sz w:val="21"/>
                      <w:szCs w:val="21"/>
                    </w:rPr>
                    <w:t>50 L/只·d</w:t>
                  </w:r>
                </w:p>
              </w:tc>
              <w:tc>
                <w:tcPr>
                  <w:tcW w:w="1492" w:type="dxa"/>
                  <w:tcBorders>
                    <w:tl2br w:val="nil"/>
                    <w:tr2bl w:val="nil"/>
                  </w:tcBorders>
                  <w:vAlign w:val="center"/>
                </w:tcPr>
                <w:p>
                  <w:pPr>
                    <w:pStyle w:val="185"/>
                    <w:spacing w:line="240" w:lineRule="auto"/>
                    <w:rPr>
                      <w:color w:val="auto"/>
                      <w:sz w:val="21"/>
                      <w:szCs w:val="21"/>
                    </w:rPr>
                  </w:pPr>
                  <w:r>
                    <w:rPr>
                      <w:rFonts w:hint="eastAsia"/>
                      <w:color w:val="auto"/>
                      <w:sz w:val="21"/>
                      <w:szCs w:val="21"/>
                    </w:rPr>
                    <w:t>0.25</w:t>
                  </w:r>
                </w:p>
              </w:tc>
              <w:tc>
                <w:tcPr>
                  <w:tcW w:w="1857" w:type="dxa"/>
                  <w:tcBorders>
                    <w:tl2br w:val="nil"/>
                    <w:tr2bl w:val="nil"/>
                  </w:tcBorders>
                  <w:vAlign w:val="center"/>
                </w:tcPr>
                <w:p>
                  <w:pPr>
                    <w:pStyle w:val="185"/>
                    <w:spacing w:line="240" w:lineRule="auto"/>
                    <w:rPr>
                      <w:color w:val="auto"/>
                      <w:sz w:val="21"/>
                      <w:szCs w:val="21"/>
                    </w:rPr>
                  </w:pPr>
                  <w:r>
                    <w:rPr>
                      <w:rFonts w:hint="eastAsia"/>
                      <w:color w:val="auto"/>
                      <w:sz w:val="21"/>
                      <w:szCs w:val="21"/>
                    </w:rPr>
                    <w:t>0.225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639" w:type="dxa"/>
                  <w:gridSpan w:val="4"/>
                  <w:tcBorders>
                    <w:tl2br w:val="nil"/>
                    <w:tr2bl w:val="nil"/>
                  </w:tcBorders>
                  <w:vAlign w:val="center"/>
                </w:tcPr>
                <w:p>
                  <w:pPr>
                    <w:pStyle w:val="185"/>
                    <w:spacing w:line="240" w:lineRule="auto"/>
                    <w:rPr>
                      <w:color w:val="auto"/>
                      <w:sz w:val="21"/>
                      <w:szCs w:val="21"/>
                    </w:rPr>
                  </w:pPr>
                  <w:r>
                    <w:rPr>
                      <w:color w:val="auto"/>
                      <w:sz w:val="21"/>
                      <w:szCs w:val="21"/>
                    </w:rPr>
                    <w:t>小计</w:t>
                  </w:r>
                </w:p>
              </w:tc>
              <w:tc>
                <w:tcPr>
                  <w:tcW w:w="1492" w:type="dxa"/>
                  <w:tcBorders>
                    <w:tl2br w:val="nil"/>
                    <w:tr2bl w:val="nil"/>
                  </w:tcBorders>
                  <w:vAlign w:val="center"/>
                </w:tcPr>
                <w:p>
                  <w:pPr>
                    <w:pStyle w:val="185"/>
                    <w:spacing w:line="240" w:lineRule="auto"/>
                    <w:rPr>
                      <w:color w:val="auto"/>
                      <w:sz w:val="21"/>
                      <w:szCs w:val="21"/>
                    </w:rPr>
                  </w:pPr>
                  <w:r>
                    <w:rPr>
                      <w:rFonts w:hint="eastAsia"/>
                      <w:color w:val="auto"/>
                      <w:sz w:val="21"/>
                      <w:szCs w:val="21"/>
                    </w:rPr>
                    <w:t>0.25</w:t>
                  </w:r>
                </w:p>
              </w:tc>
              <w:tc>
                <w:tcPr>
                  <w:tcW w:w="1857" w:type="dxa"/>
                  <w:tcBorders>
                    <w:tl2br w:val="nil"/>
                    <w:tr2bl w:val="nil"/>
                  </w:tcBorders>
                  <w:vAlign w:val="center"/>
                </w:tcPr>
                <w:p>
                  <w:pPr>
                    <w:pStyle w:val="185"/>
                    <w:spacing w:line="240" w:lineRule="auto"/>
                    <w:rPr>
                      <w:color w:val="auto"/>
                      <w:sz w:val="21"/>
                      <w:szCs w:val="21"/>
                    </w:rPr>
                  </w:pPr>
                  <w:r>
                    <w:rPr>
                      <w:rFonts w:hint="eastAsia"/>
                      <w:color w:val="auto"/>
                      <w:sz w:val="21"/>
                      <w:szCs w:val="21"/>
                    </w:rPr>
                    <w:t>0.225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2454" w:type="dxa"/>
                  <w:gridSpan w:val="2"/>
                  <w:tcBorders>
                    <w:tl2br w:val="nil"/>
                    <w:tr2bl w:val="nil"/>
                  </w:tcBorders>
                  <w:vAlign w:val="center"/>
                </w:tcPr>
                <w:p>
                  <w:pPr>
                    <w:pStyle w:val="185"/>
                    <w:spacing w:line="240" w:lineRule="auto"/>
                    <w:rPr>
                      <w:color w:val="auto"/>
                      <w:sz w:val="21"/>
                      <w:szCs w:val="21"/>
                    </w:rPr>
                  </w:pPr>
                  <w:r>
                    <w:rPr>
                      <w:rFonts w:hint="eastAsia"/>
                      <w:color w:val="auto"/>
                      <w:sz w:val="21"/>
                      <w:szCs w:val="21"/>
                      <w:lang w:val="en-US" w:eastAsia="zh-CN"/>
                    </w:rPr>
                    <w:t>84消毒液稀释用水</w:t>
                  </w:r>
                </w:p>
              </w:tc>
              <w:tc>
                <w:tcPr>
                  <w:tcW w:w="1663" w:type="dxa"/>
                  <w:tcBorders>
                    <w:tl2br w:val="nil"/>
                    <w:tr2bl w:val="nil"/>
                  </w:tcBorders>
                  <w:vAlign w:val="center"/>
                </w:tcPr>
                <w:p>
                  <w:pPr>
                    <w:pStyle w:val="185"/>
                    <w:spacing w:line="240" w:lineRule="auto"/>
                    <w:jc w:val="center"/>
                    <w:rPr>
                      <w:rFonts w:hint="default" w:eastAsia="宋体"/>
                      <w:color w:val="auto"/>
                      <w:sz w:val="21"/>
                      <w:szCs w:val="21"/>
                      <w:lang w:val="en-US" w:eastAsia="zh-CN"/>
                    </w:rPr>
                  </w:pPr>
                  <w:r>
                    <w:rPr>
                      <w:rFonts w:hint="eastAsia"/>
                      <w:color w:val="auto"/>
                      <w:sz w:val="21"/>
                      <w:szCs w:val="21"/>
                      <w:lang w:val="en-US" w:eastAsia="zh-CN"/>
                    </w:rPr>
                    <w:t>31.6ml/d</w:t>
                  </w:r>
                </w:p>
              </w:tc>
              <w:tc>
                <w:tcPr>
                  <w:tcW w:w="1522" w:type="dxa"/>
                  <w:tcBorders>
                    <w:tl2br w:val="nil"/>
                    <w:tr2bl w:val="nil"/>
                  </w:tcBorders>
                  <w:vAlign w:val="center"/>
                </w:tcPr>
                <w:p>
                  <w:pPr>
                    <w:pStyle w:val="185"/>
                    <w:spacing w:line="240" w:lineRule="auto"/>
                    <w:rPr>
                      <w:rFonts w:hint="default" w:eastAsia="宋体"/>
                      <w:color w:val="auto"/>
                      <w:sz w:val="21"/>
                      <w:szCs w:val="21"/>
                      <w:lang w:val="en-US" w:eastAsia="zh-CN"/>
                    </w:rPr>
                  </w:pPr>
                  <w:r>
                    <w:rPr>
                      <w:rFonts w:hint="eastAsia"/>
                      <w:color w:val="auto"/>
                      <w:sz w:val="21"/>
                      <w:szCs w:val="21"/>
                      <w:lang w:val="en-US" w:eastAsia="zh-CN"/>
                    </w:rPr>
                    <w:t>1:200</w:t>
                  </w:r>
                </w:p>
              </w:tc>
              <w:tc>
                <w:tcPr>
                  <w:tcW w:w="1492" w:type="dxa"/>
                  <w:tcBorders>
                    <w:tl2br w:val="nil"/>
                    <w:tr2bl w:val="nil"/>
                  </w:tcBorders>
                  <w:vAlign w:val="center"/>
                </w:tcPr>
                <w:p>
                  <w:pPr>
                    <w:pStyle w:val="185"/>
                    <w:spacing w:line="240" w:lineRule="auto"/>
                    <w:rPr>
                      <w:rFonts w:hint="default" w:eastAsia="宋体"/>
                      <w:color w:val="auto"/>
                      <w:sz w:val="21"/>
                      <w:szCs w:val="21"/>
                      <w:lang w:val="en-US" w:eastAsia="zh-CN"/>
                    </w:rPr>
                  </w:pPr>
                  <w:r>
                    <w:rPr>
                      <w:rFonts w:hint="eastAsia"/>
                      <w:color w:val="auto"/>
                      <w:sz w:val="21"/>
                      <w:szCs w:val="21"/>
                      <w:lang w:val="en-US" w:eastAsia="zh-CN"/>
                    </w:rPr>
                    <w:t>0.006</w:t>
                  </w:r>
                </w:p>
              </w:tc>
              <w:tc>
                <w:tcPr>
                  <w:tcW w:w="1857" w:type="dxa"/>
                  <w:tcBorders>
                    <w:tl2br w:val="nil"/>
                    <w:tr2bl w:val="nil"/>
                  </w:tcBorders>
                  <w:vAlign w:val="center"/>
                </w:tcPr>
                <w:p>
                  <w:pPr>
                    <w:pStyle w:val="185"/>
                    <w:spacing w:line="240" w:lineRule="auto"/>
                    <w:rPr>
                      <w:rFonts w:hint="default" w:eastAsia="宋体"/>
                      <w:color w:val="auto"/>
                      <w:sz w:val="21"/>
                      <w:szCs w:val="21"/>
                      <w:lang w:val="en-US" w:eastAsia="zh-CN"/>
                    </w:rPr>
                  </w:pPr>
                  <w:r>
                    <w:rPr>
                      <w:rFonts w:hint="eastAsia"/>
                      <w:color w:val="auto"/>
                      <w:sz w:val="21"/>
                      <w:szCs w:val="21"/>
                      <w:lang w:val="en-US" w:eastAsia="zh-CN"/>
                    </w:rPr>
                    <w:t>自然挥发，不外排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639" w:type="dxa"/>
                  <w:gridSpan w:val="4"/>
                  <w:tcBorders>
                    <w:tl2br w:val="nil"/>
                    <w:tr2bl w:val="nil"/>
                  </w:tcBorders>
                  <w:vAlign w:val="center"/>
                </w:tcPr>
                <w:p>
                  <w:pPr>
                    <w:pStyle w:val="185"/>
                    <w:spacing w:line="240" w:lineRule="auto"/>
                    <w:rPr>
                      <w:rFonts w:hint="eastAsia" w:eastAsia="宋体"/>
                      <w:color w:val="auto"/>
                      <w:sz w:val="21"/>
                      <w:szCs w:val="21"/>
                      <w:lang w:val="en-US" w:eastAsia="zh-CN"/>
                    </w:rPr>
                  </w:pPr>
                  <w:r>
                    <w:rPr>
                      <w:rFonts w:hint="eastAsia"/>
                      <w:color w:val="auto"/>
                      <w:sz w:val="21"/>
                      <w:szCs w:val="21"/>
                      <w:lang w:val="en-US" w:eastAsia="zh-CN"/>
                    </w:rPr>
                    <w:t>小计</w:t>
                  </w:r>
                </w:p>
              </w:tc>
              <w:tc>
                <w:tcPr>
                  <w:tcW w:w="1492" w:type="dxa"/>
                  <w:tcBorders>
                    <w:tl2br w:val="nil"/>
                    <w:tr2bl w:val="nil"/>
                  </w:tcBorders>
                  <w:vAlign w:val="center"/>
                </w:tcPr>
                <w:p>
                  <w:pPr>
                    <w:pStyle w:val="185"/>
                    <w:spacing w:line="240" w:lineRule="auto"/>
                    <w:rPr>
                      <w:rFonts w:hint="default" w:eastAsia="宋体"/>
                      <w:color w:val="auto"/>
                      <w:sz w:val="21"/>
                      <w:szCs w:val="21"/>
                      <w:lang w:val="en-US" w:eastAsia="zh-CN"/>
                    </w:rPr>
                  </w:pPr>
                  <w:r>
                    <w:rPr>
                      <w:rFonts w:hint="eastAsia"/>
                      <w:color w:val="auto"/>
                      <w:sz w:val="21"/>
                      <w:szCs w:val="21"/>
                      <w:lang w:val="en-US" w:eastAsia="zh-CN"/>
                    </w:rPr>
                    <w:t>0.006</w:t>
                  </w:r>
                </w:p>
              </w:tc>
              <w:tc>
                <w:tcPr>
                  <w:tcW w:w="1857" w:type="dxa"/>
                  <w:tcBorders>
                    <w:tl2br w:val="nil"/>
                    <w:tr2bl w:val="nil"/>
                  </w:tcBorders>
                  <w:vAlign w:val="center"/>
                </w:tcPr>
                <w:p>
                  <w:pPr>
                    <w:pStyle w:val="185"/>
                    <w:spacing w:line="240" w:lineRule="auto"/>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892" w:type="dxa"/>
                  <w:vMerge w:val="restart"/>
                  <w:tcBorders>
                    <w:tl2br w:val="nil"/>
                    <w:tr2bl w:val="nil"/>
                  </w:tcBorders>
                  <w:vAlign w:val="center"/>
                </w:tcPr>
                <w:p>
                  <w:pPr>
                    <w:pStyle w:val="185"/>
                    <w:spacing w:line="240" w:lineRule="auto"/>
                    <w:rPr>
                      <w:color w:val="auto"/>
                      <w:sz w:val="21"/>
                      <w:szCs w:val="21"/>
                    </w:rPr>
                  </w:pPr>
                  <w:r>
                    <w:rPr>
                      <w:color w:val="auto"/>
                      <w:sz w:val="21"/>
                      <w:szCs w:val="21"/>
                    </w:rPr>
                    <w:t>生活用水</w:t>
                  </w:r>
                </w:p>
              </w:tc>
              <w:tc>
                <w:tcPr>
                  <w:tcW w:w="1562" w:type="dxa"/>
                  <w:tcBorders>
                    <w:tl2br w:val="nil"/>
                    <w:tr2bl w:val="nil"/>
                  </w:tcBorders>
                  <w:vAlign w:val="center"/>
                </w:tcPr>
                <w:p>
                  <w:pPr>
                    <w:pStyle w:val="185"/>
                    <w:spacing w:line="240" w:lineRule="auto"/>
                    <w:rPr>
                      <w:color w:val="auto"/>
                      <w:sz w:val="21"/>
                      <w:szCs w:val="21"/>
                    </w:rPr>
                  </w:pPr>
                  <w:r>
                    <w:rPr>
                      <w:color w:val="auto"/>
                      <w:sz w:val="21"/>
                      <w:szCs w:val="21"/>
                    </w:rPr>
                    <w:t>工作人员用水</w:t>
                  </w:r>
                </w:p>
              </w:tc>
              <w:tc>
                <w:tcPr>
                  <w:tcW w:w="1663" w:type="dxa"/>
                  <w:tcBorders>
                    <w:tl2br w:val="nil"/>
                    <w:tr2bl w:val="nil"/>
                  </w:tcBorders>
                  <w:vAlign w:val="center"/>
                </w:tcPr>
                <w:p>
                  <w:pPr>
                    <w:pStyle w:val="185"/>
                    <w:spacing w:line="240" w:lineRule="auto"/>
                    <w:rPr>
                      <w:color w:val="auto"/>
                      <w:sz w:val="21"/>
                      <w:szCs w:val="21"/>
                    </w:rPr>
                  </w:pPr>
                  <w:r>
                    <w:rPr>
                      <w:rFonts w:hint="eastAsia"/>
                      <w:color w:val="auto"/>
                      <w:sz w:val="21"/>
                      <w:szCs w:val="21"/>
                    </w:rPr>
                    <w:t>9</w:t>
                  </w:r>
                  <w:r>
                    <w:rPr>
                      <w:color w:val="auto"/>
                      <w:sz w:val="21"/>
                      <w:szCs w:val="21"/>
                    </w:rPr>
                    <w:t>人/d</w:t>
                  </w:r>
                </w:p>
              </w:tc>
              <w:tc>
                <w:tcPr>
                  <w:tcW w:w="1522" w:type="dxa"/>
                  <w:tcBorders>
                    <w:tl2br w:val="nil"/>
                    <w:tr2bl w:val="nil"/>
                  </w:tcBorders>
                  <w:vAlign w:val="center"/>
                </w:tcPr>
                <w:p>
                  <w:pPr>
                    <w:pStyle w:val="185"/>
                    <w:spacing w:line="240" w:lineRule="auto"/>
                    <w:rPr>
                      <w:color w:val="auto"/>
                      <w:sz w:val="21"/>
                      <w:szCs w:val="21"/>
                    </w:rPr>
                  </w:pPr>
                  <w:r>
                    <w:rPr>
                      <w:color w:val="auto"/>
                      <w:sz w:val="21"/>
                      <w:szCs w:val="21"/>
                    </w:rPr>
                    <w:t>50L/人·d</w:t>
                  </w:r>
                </w:p>
              </w:tc>
              <w:tc>
                <w:tcPr>
                  <w:tcW w:w="1492" w:type="dxa"/>
                  <w:tcBorders>
                    <w:tl2br w:val="nil"/>
                    <w:tr2bl w:val="nil"/>
                  </w:tcBorders>
                  <w:vAlign w:val="center"/>
                </w:tcPr>
                <w:p>
                  <w:pPr>
                    <w:pStyle w:val="185"/>
                    <w:spacing w:line="240" w:lineRule="auto"/>
                    <w:rPr>
                      <w:color w:val="auto"/>
                      <w:sz w:val="21"/>
                      <w:szCs w:val="21"/>
                    </w:rPr>
                  </w:pPr>
                  <w:r>
                    <w:rPr>
                      <w:rFonts w:hint="eastAsia"/>
                      <w:color w:val="auto"/>
                      <w:sz w:val="21"/>
                      <w:szCs w:val="21"/>
                    </w:rPr>
                    <w:t>0.45</w:t>
                  </w:r>
                </w:p>
              </w:tc>
              <w:tc>
                <w:tcPr>
                  <w:tcW w:w="1857" w:type="dxa"/>
                  <w:tcBorders>
                    <w:tl2br w:val="nil"/>
                    <w:tr2bl w:val="nil"/>
                  </w:tcBorders>
                  <w:vAlign w:val="center"/>
                </w:tcPr>
                <w:p>
                  <w:pPr>
                    <w:pStyle w:val="185"/>
                    <w:spacing w:line="240" w:lineRule="auto"/>
                    <w:rPr>
                      <w:color w:val="auto"/>
                      <w:sz w:val="21"/>
                      <w:szCs w:val="21"/>
                    </w:rPr>
                  </w:pPr>
                  <w:r>
                    <w:rPr>
                      <w:rFonts w:hint="eastAsia"/>
                      <w:color w:val="auto"/>
                      <w:sz w:val="21"/>
                      <w:szCs w:val="21"/>
                    </w:rPr>
                    <w:t>0.405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892" w:type="dxa"/>
                  <w:vMerge w:val="continue"/>
                  <w:tcBorders>
                    <w:tl2br w:val="nil"/>
                    <w:tr2bl w:val="nil"/>
                  </w:tcBorders>
                  <w:vAlign w:val="center"/>
                </w:tcPr>
                <w:p>
                  <w:pPr>
                    <w:pStyle w:val="185"/>
                    <w:spacing w:line="240" w:lineRule="auto"/>
                    <w:rPr>
                      <w:color w:val="auto"/>
                      <w:sz w:val="21"/>
                      <w:szCs w:val="21"/>
                    </w:rPr>
                  </w:pPr>
                </w:p>
              </w:tc>
              <w:tc>
                <w:tcPr>
                  <w:tcW w:w="1562" w:type="dxa"/>
                  <w:tcBorders>
                    <w:tl2br w:val="nil"/>
                    <w:tr2bl w:val="nil"/>
                  </w:tcBorders>
                  <w:vAlign w:val="center"/>
                </w:tcPr>
                <w:p>
                  <w:pPr>
                    <w:pStyle w:val="185"/>
                    <w:spacing w:line="240" w:lineRule="auto"/>
                    <w:rPr>
                      <w:color w:val="auto"/>
                      <w:sz w:val="21"/>
                      <w:szCs w:val="21"/>
                    </w:rPr>
                  </w:pPr>
                  <w:r>
                    <w:rPr>
                      <w:color w:val="auto"/>
                      <w:sz w:val="21"/>
                      <w:szCs w:val="21"/>
                    </w:rPr>
                    <w:t>顾客用水</w:t>
                  </w:r>
                </w:p>
              </w:tc>
              <w:tc>
                <w:tcPr>
                  <w:tcW w:w="1663" w:type="dxa"/>
                  <w:tcBorders>
                    <w:tl2br w:val="nil"/>
                    <w:tr2bl w:val="nil"/>
                  </w:tcBorders>
                  <w:vAlign w:val="center"/>
                </w:tcPr>
                <w:p>
                  <w:pPr>
                    <w:pStyle w:val="185"/>
                    <w:spacing w:line="240" w:lineRule="auto"/>
                    <w:rPr>
                      <w:color w:val="auto"/>
                      <w:sz w:val="21"/>
                      <w:szCs w:val="21"/>
                    </w:rPr>
                  </w:pPr>
                  <w:r>
                    <w:rPr>
                      <w:rFonts w:hint="eastAsia"/>
                      <w:color w:val="auto"/>
                      <w:sz w:val="21"/>
                      <w:szCs w:val="21"/>
                    </w:rPr>
                    <w:t>32</w:t>
                  </w:r>
                  <w:r>
                    <w:rPr>
                      <w:color w:val="auto"/>
                      <w:sz w:val="21"/>
                      <w:szCs w:val="21"/>
                    </w:rPr>
                    <w:t>人（次）·d</w:t>
                  </w:r>
                </w:p>
              </w:tc>
              <w:tc>
                <w:tcPr>
                  <w:tcW w:w="1522" w:type="dxa"/>
                  <w:tcBorders>
                    <w:tl2br w:val="nil"/>
                    <w:tr2bl w:val="nil"/>
                  </w:tcBorders>
                  <w:vAlign w:val="center"/>
                </w:tcPr>
                <w:p>
                  <w:pPr>
                    <w:pStyle w:val="185"/>
                    <w:spacing w:line="240" w:lineRule="auto"/>
                    <w:rPr>
                      <w:color w:val="auto"/>
                      <w:sz w:val="21"/>
                      <w:szCs w:val="21"/>
                    </w:rPr>
                  </w:pPr>
                  <w:r>
                    <w:rPr>
                      <w:color w:val="auto"/>
                      <w:sz w:val="21"/>
                      <w:szCs w:val="21"/>
                    </w:rPr>
                    <w:t>10L/人（次）·d</w:t>
                  </w:r>
                </w:p>
              </w:tc>
              <w:tc>
                <w:tcPr>
                  <w:tcW w:w="1492" w:type="dxa"/>
                  <w:tcBorders>
                    <w:tl2br w:val="nil"/>
                    <w:tr2bl w:val="nil"/>
                  </w:tcBorders>
                  <w:vAlign w:val="center"/>
                </w:tcPr>
                <w:p>
                  <w:pPr>
                    <w:pStyle w:val="185"/>
                    <w:spacing w:line="240" w:lineRule="auto"/>
                    <w:rPr>
                      <w:color w:val="auto"/>
                      <w:sz w:val="21"/>
                      <w:szCs w:val="21"/>
                    </w:rPr>
                  </w:pPr>
                  <w:r>
                    <w:rPr>
                      <w:rFonts w:hint="eastAsia"/>
                      <w:color w:val="auto"/>
                      <w:sz w:val="21"/>
                      <w:szCs w:val="21"/>
                    </w:rPr>
                    <w:t>0.32</w:t>
                  </w:r>
                </w:p>
              </w:tc>
              <w:tc>
                <w:tcPr>
                  <w:tcW w:w="1857" w:type="dxa"/>
                  <w:tcBorders>
                    <w:tl2br w:val="nil"/>
                    <w:tr2bl w:val="nil"/>
                  </w:tcBorders>
                  <w:vAlign w:val="center"/>
                </w:tcPr>
                <w:p>
                  <w:pPr>
                    <w:pStyle w:val="185"/>
                    <w:spacing w:line="240" w:lineRule="auto"/>
                    <w:rPr>
                      <w:color w:val="auto"/>
                      <w:sz w:val="21"/>
                      <w:szCs w:val="21"/>
                    </w:rPr>
                  </w:pPr>
                  <w:r>
                    <w:rPr>
                      <w:color w:val="auto"/>
                      <w:sz w:val="21"/>
                      <w:szCs w:val="21"/>
                    </w:rPr>
                    <w:t>0.</w:t>
                  </w:r>
                  <w:r>
                    <w:rPr>
                      <w:rFonts w:hint="eastAsia"/>
                      <w:color w:val="auto"/>
                      <w:sz w:val="21"/>
                      <w:szCs w:val="21"/>
                    </w:rPr>
                    <w:t>288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892" w:type="dxa"/>
                  <w:vMerge w:val="continue"/>
                  <w:tcBorders>
                    <w:tl2br w:val="nil"/>
                    <w:tr2bl w:val="nil"/>
                  </w:tcBorders>
                  <w:vAlign w:val="center"/>
                </w:tcPr>
                <w:p>
                  <w:pPr>
                    <w:pStyle w:val="185"/>
                    <w:spacing w:line="240" w:lineRule="auto"/>
                    <w:rPr>
                      <w:color w:val="auto"/>
                      <w:sz w:val="21"/>
                      <w:szCs w:val="21"/>
                    </w:rPr>
                  </w:pPr>
                </w:p>
              </w:tc>
              <w:tc>
                <w:tcPr>
                  <w:tcW w:w="1562" w:type="dxa"/>
                  <w:tcBorders>
                    <w:tl2br w:val="nil"/>
                    <w:tr2bl w:val="nil"/>
                  </w:tcBorders>
                  <w:vAlign w:val="center"/>
                </w:tcPr>
                <w:p>
                  <w:pPr>
                    <w:pStyle w:val="185"/>
                    <w:spacing w:line="240" w:lineRule="auto"/>
                    <w:rPr>
                      <w:color w:val="auto"/>
                      <w:sz w:val="21"/>
                      <w:szCs w:val="21"/>
                    </w:rPr>
                  </w:pPr>
                  <w:r>
                    <w:rPr>
                      <w:color w:val="auto"/>
                      <w:sz w:val="21"/>
                      <w:szCs w:val="21"/>
                    </w:rPr>
                    <w:t>地面清洁用水（需要清洁地面约</w:t>
                  </w:r>
                  <w:r>
                    <w:rPr>
                      <w:rFonts w:hint="eastAsia"/>
                      <w:color w:val="auto"/>
                      <w:sz w:val="21"/>
                      <w:szCs w:val="21"/>
                    </w:rPr>
                    <w:t>80</w:t>
                  </w:r>
                  <w:r>
                    <w:rPr>
                      <w:color w:val="auto"/>
                      <w:sz w:val="21"/>
                      <w:szCs w:val="21"/>
                    </w:rPr>
                    <w:t>m</w:t>
                  </w:r>
                  <w:r>
                    <w:rPr>
                      <w:color w:val="auto"/>
                      <w:sz w:val="21"/>
                      <w:szCs w:val="21"/>
                      <w:vertAlign w:val="superscript"/>
                    </w:rPr>
                    <w:t>2</w:t>
                  </w:r>
                  <w:r>
                    <w:rPr>
                      <w:color w:val="auto"/>
                      <w:sz w:val="21"/>
                      <w:szCs w:val="21"/>
                    </w:rPr>
                    <w:t>）</w:t>
                  </w:r>
                </w:p>
              </w:tc>
              <w:tc>
                <w:tcPr>
                  <w:tcW w:w="1663" w:type="dxa"/>
                  <w:tcBorders>
                    <w:tl2br w:val="nil"/>
                    <w:tr2bl w:val="nil"/>
                  </w:tcBorders>
                  <w:vAlign w:val="center"/>
                </w:tcPr>
                <w:p>
                  <w:pPr>
                    <w:pStyle w:val="185"/>
                    <w:spacing w:line="240" w:lineRule="auto"/>
                    <w:rPr>
                      <w:color w:val="auto"/>
                      <w:sz w:val="21"/>
                      <w:szCs w:val="21"/>
                    </w:rPr>
                  </w:pPr>
                  <w:r>
                    <w:rPr>
                      <w:rFonts w:hint="eastAsia"/>
                      <w:color w:val="auto"/>
                      <w:sz w:val="21"/>
                      <w:szCs w:val="21"/>
                    </w:rPr>
                    <w:t>8</w:t>
                  </w:r>
                  <w:r>
                    <w:rPr>
                      <w:color w:val="auto"/>
                      <w:sz w:val="21"/>
                      <w:szCs w:val="21"/>
                    </w:rPr>
                    <w:t>0m</w:t>
                  </w:r>
                  <w:r>
                    <w:rPr>
                      <w:color w:val="auto"/>
                      <w:sz w:val="21"/>
                      <w:szCs w:val="21"/>
                      <w:vertAlign w:val="superscript"/>
                    </w:rPr>
                    <w:t>2</w:t>
                  </w:r>
                </w:p>
              </w:tc>
              <w:tc>
                <w:tcPr>
                  <w:tcW w:w="1522" w:type="dxa"/>
                  <w:tcBorders>
                    <w:tl2br w:val="nil"/>
                    <w:tr2bl w:val="nil"/>
                  </w:tcBorders>
                  <w:vAlign w:val="center"/>
                </w:tcPr>
                <w:p>
                  <w:pPr>
                    <w:pStyle w:val="185"/>
                    <w:spacing w:line="240" w:lineRule="auto"/>
                    <w:rPr>
                      <w:color w:val="auto"/>
                      <w:sz w:val="21"/>
                      <w:szCs w:val="21"/>
                    </w:rPr>
                  </w:pPr>
                  <w:r>
                    <w:rPr>
                      <w:color w:val="auto"/>
                      <w:sz w:val="21"/>
                      <w:szCs w:val="21"/>
                    </w:rPr>
                    <w:t>2L/m</w:t>
                  </w:r>
                  <w:r>
                    <w:rPr>
                      <w:color w:val="auto"/>
                      <w:sz w:val="21"/>
                      <w:szCs w:val="21"/>
                      <w:vertAlign w:val="superscript"/>
                    </w:rPr>
                    <w:t>2</w:t>
                  </w:r>
                  <w:r>
                    <w:rPr>
                      <w:color w:val="auto"/>
                      <w:sz w:val="21"/>
                      <w:szCs w:val="21"/>
                    </w:rPr>
                    <w:t>·d</w:t>
                  </w:r>
                </w:p>
              </w:tc>
              <w:tc>
                <w:tcPr>
                  <w:tcW w:w="1492" w:type="dxa"/>
                  <w:tcBorders>
                    <w:tl2br w:val="nil"/>
                    <w:tr2bl w:val="nil"/>
                  </w:tcBorders>
                  <w:vAlign w:val="center"/>
                </w:tcPr>
                <w:p>
                  <w:pPr>
                    <w:pStyle w:val="185"/>
                    <w:spacing w:line="240" w:lineRule="auto"/>
                    <w:rPr>
                      <w:color w:val="auto"/>
                      <w:sz w:val="21"/>
                      <w:szCs w:val="21"/>
                    </w:rPr>
                  </w:pPr>
                  <w:r>
                    <w:rPr>
                      <w:rFonts w:hint="eastAsia"/>
                      <w:color w:val="auto"/>
                      <w:sz w:val="21"/>
                      <w:szCs w:val="21"/>
                    </w:rPr>
                    <w:t>0.16</w:t>
                  </w:r>
                </w:p>
              </w:tc>
              <w:tc>
                <w:tcPr>
                  <w:tcW w:w="1857" w:type="dxa"/>
                  <w:tcBorders>
                    <w:tl2br w:val="nil"/>
                    <w:tr2bl w:val="nil"/>
                  </w:tcBorders>
                  <w:vAlign w:val="center"/>
                </w:tcPr>
                <w:p>
                  <w:pPr>
                    <w:pStyle w:val="185"/>
                    <w:spacing w:line="240" w:lineRule="auto"/>
                    <w:rPr>
                      <w:color w:val="auto"/>
                      <w:sz w:val="21"/>
                      <w:szCs w:val="21"/>
                    </w:rPr>
                  </w:pPr>
                  <w:r>
                    <w:rPr>
                      <w:rFonts w:hint="eastAsia"/>
                      <w:color w:val="auto"/>
                      <w:sz w:val="21"/>
                      <w:szCs w:val="21"/>
                    </w:rPr>
                    <w:t>0.144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639" w:type="dxa"/>
                  <w:gridSpan w:val="4"/>
                  <w:tcBorders>
                    <w:tl2br w:val="nil"/>
                    <w:tr2bl w:val="nil"/>
                  </w:tcBorders>
                  <w:vAlign w:val="center"/>
                </w:tcPr>
                <w:p>
                  <w:pPr>
                    <w:pStyle w:val="185"/>
                    <w:spacing w:line="240" w:lineRule="auto"/>
                    <w:rPr>
                      <w:color w:val="auto"/>
                      <w:sz w:val="21"/>
                      <w:szCs w:val="21"/>
                    </w:rPr>
                  </w:pPr>
                  <w:r>
                    <w:rPr>
                      <w:color w:val="auto"/>
                      <w:sz w:val="21"/>
                      <w:szCs w:val="21"/>
                    </w:rPr>
                    <w:t>小计</w:t>
                  </w:r>
                </w:p>
              </w:tc>
              <w:tc>
                <w:tcPr>
                  <w:tcW w:w="1492" w:type="dxa"/>
                  <w:tcBorders>
                    <w:tl2br w:val="nil"/>
                    <w:tr2bl w:val="nil"/>
                  </w:tcBorders>
                  <w:vAlign w:val="center"/>
                </w:tcPr>
                <w:p>
                  <w:pPr>
                    <w:pStyle w:val="185"/>
                    <w:spacing w:line="240" w:lineRule="auto"/>
                    <w:rPr>
                      <w:color w:val="auto"/>
                      <w:sz w:val="21"/>
                      <w:szCs w:val="21"/>
                    </w:rPr>
                  </w:pPr>
                  <w:r>
                    <w:rPr>
                      <w:rFonts w:hint="eastAsia"/>
                      <w:color w:val="auto"/>
                      <w:sz w:val="21"/>
                      <w:szCs w:val="21"/>
                    </w:rPr>
                    <w:t>0.93</w:t>
                  </w:r>
                </w:p>
              </w:tc>
              <w:tc>
                <w:tcPr>
                  <w:tcW w:w="1857" w:type="dxa"/>
                  <w:tcBorders>
                    <w:tl2br w:val="nil"/>
                    <w:tr2bl w:val="nil"/>
                  </w:tcBorders>
                  <w:vAlign w:val="center"/>
                </w:tcPr>
                <w:p>
                  <w:pPr>
                    <w:pStyle w:val="185"/>
                    <w:spacing w:line="240" w:lineRule="auto"/>
                    <w:rPr>
                      <w:color w:val="auto"/>
                      <w:sz w:val="21"/>
                      <w:szCs w:val="21"/>
                    </w:rPr>
                  </w:pPr>
                  <w:r>
                    <w:rPr>
                      <w:rFonts w:hint="eastAsia"/>
                      <w:color w:val="auto"/>
                      <w:sz w:val="21"/>
                      <w:szCs w:val="21"/>
                    </w:rPr>
                    <w:t>0.837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639" w:type="dxa"/>
                  <w:gridSpan w:val="4"/>
                  <w:tcBorders>
                    <w:tl2br w:val="nil"/>
                    <w:tr2bl w:val="nil"/>
                  </w:tcBorders>
                  <w:vAlign w:val="center"/>
                </w:tcPr>
                <w:p>
                  <w:pPr>
                    <w:pStyle w:val="185"/>
                    <w:spacing w:line="240" w:lineRule="auto"/>
                    <w:rPr>
                      <w:color w:val="auto"/>
                      <w:sz w:val="21"/>
                      <w:szCs w:val="21"/>
                    </w:rPr>
                  </w:pPr>
                  <w:r>
                    <w:rPr>
                      <w:color w:val="auto"/>
                      <w:sz w:val="21"/>
                      <w:szCs w:val="21"/>
                    </w:rPr>
                    <w:t>总计</w:t>
                  </w:r>
                </w:p>
              </w:tc>
              <w:tc>
                <w:tcPr>
                  <w:tcW w:w="1492" w:type="dxa"/>
                  <w:tcBorders>
                    <w:tl2br w:val="nil"/>
                    <w:tr2bl w:val="nil"/>
                  </w:tcBorders>
                  <w:vAlign w:val="center"/>
                </w:tcPr>
                <w:p>
                  <w:pPr>
                    <w:pStyle w:val="185"/>
                    <w:spacing w:line="240" w:lineRule="auto"/>
                    <w:rPr>
                      <w:rFonts w:hint="default" w:eastAsia="宋体"/>
                      <w:color w:val="auto"/>
                      <w:sz w:val="21"/>
                      <w:szCs w:val="21"/>
                      <w:lang w:val="en-US" w:eastAsia="zh-CN"/>
                    </w:rPr>
                  </w:pPr>
                  <w:r>
                    <w:rPr>
                      <w:rFonts w:hint="eastAsia"/>
                      <w:color w:val="auto"/>
                      <w:sz w:val="21"/>
                      <w:szCs w:val="21"/>
                      <w:lang w:val="en-US" w:eastAsia="zh-CN"/>
                    </w:rPr>
                    <w:t>1.381</w:t>
                  </w:r>
                </w:p>
              </w:tc>
              <w:tc>
                <w:tcPr>
                  <w:tcW w:w="1857" w:type="dxa"/>
                  <w:tcBorders>
                    <w:tl2br w:val="nil"/>
                    <w:tr2bl w:val="nil"/>
                  </w:tcBorders>
                  <w:vAlign w:val="center"/>
                </w:tcPr>
                <w:p>
                  <w:pPr>
                    <w:pStyle w:val="185"/>
                    <w:spacing w:line="240" w:lineRule="auto"/>
                    <w:rPr>
                      <w:color w:val="auto"/>
                      <w:sz w:val="21"/>
                      <w:szCs w:val="21"/>
                    </w:rPr>
                  </w:pPr>
                  <w:r>
                    <w:rPr>
                      <w:rFonts w:hint="eastAsia"/>
                      <w:color w:val="auto"/>
                      <w:sz w:val="21"/>
                      <w:szCs w:val="21"/>
                    </w:rPr>
                    <w:t>1.238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8988" w:type="dxa"/>
                  <w:gridSpan w:val="6"/>
                  <w:tcBorders>
                    <w:tl2br w:val="nil"/>
                    <w:tr2bl w:val="nil"/>
                  </w:tcBorders>
                  <w:shd w:val="clear" w:color="auto" w:fill="auto"/>
                  <w:noWrap/>
                  <w:vAlign w:val="center"/>
                </w:tcPr>
                <w:p>
                  <w:pPr>
                    <w:pStyle w:val="167"/>
                    <w:adjustRightInd/>
                    <w:snapToGrid/>
                    <w:jc w:val="left"/>
                    <w:rPr>
                      <w:color w:val="auto"/>
                      <w:szCs w:val="21"/>
                      <w:lang w:bidi="ar"/>
                    </w:rPr>
                  </w:pPr>
                  <w:r>
                    <w:rPr>
                      <w:color w:val="auto"/>
                      <w:szCs w:val="21"/>
                      <w:lang w:bidi="ar"/>
                    </w:rPr>
                    <w:t>备注：按照最大服务能力核算。</w:t>
                  </w:r>
                </w:p>
              </w:tc>
            </w:tr>
          </w:tbl>
          <w:p>
            <w:pPr>
              <w:adjustRightInd/>
              <w:snapToGrid/>
              <w:spacing w:before="120" w:beforeLines="50"/>
              <w:ind w:firstLine="420"/>
              <w:rPr>
                <w:color w:val="auto"/>
              </w:rPr>
            </w:pPr>
            <w:r>
              <w:rPr>
                <w:color w:val="auto"/>
              </w:rPr>
              <w:t>项目水平衡图详见下图。</w:t>
            </w:r>
          </w:p>
          <w:p>
            <w:pPr>
              <w:adjustRightInd/>
              <w:snapToGrid/>
              <w:spacing w:line="240" w:lineRule="auto"/>
              <w:ind w:firstLine="0" w:firstLineChars="0"/>
              <w:jc w:val="center"/>
              <w:rPr>
                <w:rStyle w:val="235"/>
                <w:color w:val="auto"/>
                <w:u w:val="single"/>
              </w:rPr>
            </w:pPr>
            <w:r>
              <w:rPr>
                <w:color w:val="auto"/>
              </w:rPr>
              <w:object>
                <v:shape id="_x0000_i1025" o:spt="75" type="#_x0000_t75" style="height:327.45pt;width:441pt;" o:ole="t" filled="f" o:preferrelative="t" stroked="f" coordsize="21600,21600">
                  <v:path/>
                  <v:fill on="f" focussize="0,0"/>
                  <v:stroke on="f"/>
                  <v:imagedata r:id="rId15" o:title=""/>
                  <o:lock v:ext="edit" aspectratio="t"/>
                  <w10:wrap type="none"/>
                  <w10:anchorlock/>
                </v:shape>
                <o:OLEObject Type="Embed" ProgID="Visio.Drawing.11" ShapeID="_x0000_i1025" DrawAspect="Content" ObjectID="_1468075725" r:id="rId14">
                  <o:LockedField>false</o:LockedField>
                </o:OLEObject>
              </w:object>
            </w:r>
          </w:p>
          <w:p>
            <w:pPr>
              <w:adjustRightInd/>
              <w:snapToGrid/>
              <w:spacing w:line="240" w:lineRule="auto"/>
              <w:ind w:firstLine="0" w:firstLineChars="0"/>
              <w:jc w:val="center"/>
              <w:rPr>
                <w:color w:val="auto"/>
                <w:szCs w:val="21"/>
                <w:u w:val="single"/>
              </w:rPr>
            </w:pPr>
            <w:r>
              <w:rPr>
                <w:rStyle w:val="235"/>
                <w:color w:val="auto"/>
                <w:u w:val="single"/>
              </w:rPr>
              <w:t>图2-1   项目水平衡图（单位：m</w:t>
            </w:r>
            <w:r>
              <w:rPr>
                <w:rStyle w:val="235"/>
                <w:color w:val="auto"/>
                <w:u w:val="single"/>
                <w:vertAlign w:val="superscript"/>
              </w:rPr>
              <w:t>3</w:t>
            </w:r>
            <w:r>
              <w:rPr>
                <w:rStyle w:val="235"/>
                <w:color w:val="auto"/>
                <w:u w:val="single"/>
              </w:rPr>
              <w:t>/d）</w:t>
            </w:r>
          </w:p>
          <w:p>
            <w:pPr>
              <w:adjustRightInd/>
              <w:snapToGrid/>
              <w:ind w:firstLine="422"/>
              <w:rPr>
                <w:b/>
                <w:color w:val="auto"/>
              </w:rPr>
            </w:pPr>
            <w:r>
              <w:rPr>
                <w:b/>
                <w:color w:val="auto"/>
              </w:rPr>
              <w:t>8、劳动定员及工作制度</w:t>
            </w:r>
          </w:p>
          <w:p>
            <w:pPr>
              <w:adjustRightInd/>
              <w:snapToGrid/>
              <w:ind w:firstLine="420"/>
              <w:rPr>
                <w:color w:val="auto"/>
              </w:rPr>
            </w:pPr>
            <w:r>
              <w:rPr>
                <w:color w:val="auto"/>
              </w:rPr>
              <w:t>劳动定员：劳动定员</w:t>
            </w:r>
            <w:r>
              <w:rPr>
                <w:rFonts w:hint="eastAsia"/>
                <w:color w:val="auto"/>
              </w:rPr>
              <w:t>9</w:t>
            </w:r>
            <w:r>
              <w:rPr>
                <w:color w:val="auto"/>
              </w:rPr>
              <w:t>人，均不在医院食宿。</w:t>
            </w:r>
          </w:p>
          <w:p>
            <w:pPr>
              <w:adjustRightInd/>
              <w:snapToGrid/>
              <w:ind w:firstLine="420"/>
              <w:rPr>
                <w:color w:val="auto"/>
              </w:rPr>
            </w:pPr>
            <w:r>
              <w:rPr>
                <w:color w:val="auto"/>
              </w:rPr>
              <w:t>劳动制度：年工作日为365d，实行</w:t>
            </w:r>
            <w:r>
              <w:rPr>
                <w:rFonts w:hint="eastAsia"/>
                <w:color w:val="auto"/>
              </w:rPr>
              <w:t>1</w:t>
            </w:r>
            <w:r>
              <w:rPr>
                <w:color w:val="auto"/>
              </w:rPr>
              <w:t>班制，每班10h，</w:t>
            </w:r>
            <w:r>
              <w:rPr>
                <w:color w:val="auto"/>
                <w:szCs w:val="21"/>
              </w:rPr>
              <w:t>19:00-9</w:t>
            </w:r>
            <w:r>
              <w:rPr>
                <w:rFonts w:hint="eastAsia"/>
                <w:color w:val="auto"/>
                <w:szCs w:val="21"/>
                <w:lang w:eastAsia="zh-CN"/>
              </w:rPr>
              <w:t>:</w:t>
            </w:r>
            <w:r>
              <w:rPr>
                <w:color w:val="auto"/>
                <w:szCs w:val="21"/>
              </w:rPr>
              <w:t>00仅安排1人值班</w:t>
            </w:r>
            <w:r>
              <w:rPr>
                <w:color w:val="auto"/>
              </w:rPr>
              <w:t>。</w:t>
            </w:r>
          </w:p>
          <w:p>
            <w:pPr>
              <w:adjustRightInd/>
              <w:snapToGrid/>
              <w:ind w:firstLine="422"/>
              <w:rPr>
                <w:b/>
                <w:color w:val="auto"/>
              </w:rPr>
            </w:pPr>
            <w:r>
              <w:rPr>
                <w:b/>
                <w:color w:val="auto"/>
              </w:rPr>
              <w:t>9、总平面布置</w:t>
            </w:r>
          </w:p>
          <w:p>
            <w:pPr>
              <w:adjustRightInd/>
              <w:snapToGrid/>
              <w:ind w:firstLine="420"/>
              <w:rPr>
                <w:color w:val="auto"/>
              </w:rPr>
            </w:pPr>
            <w:r>
              <w:rPr>
                <w:rFonts w:hint="eastAsia"/>
                <w:color w:val="auto"/>
              </w:rPr>
              <w:t>迅猛龙动物医院</w:t>
            </w:r>
            <w:r>
              <w:rPr>
                <w:color w:val="auto"/>
              </w:rPr>
              <w:t>前台大厅位于</w:t>
            </w:r>
            <w:r>
              <w:rPr>
                <w:rFonts w:hint="eastAsia"/>
                <w:color w:val="auto"/>
              </w:rPr>
              <w:t>西侧</w:t>
            </w:r>
            <w:r>
              <w:rPr>
                <w:color w:val="auto"/>
              </w:rPr>
              <w:t>出入口处，</w:t>
            </w:r>
            <w:r>
              <w:rPr>
                <w:rFonts w:hint="eastAsia"/>
                <w:color w:val="auto"/>
              </w:rPr>
              <w:t>院内北侧从西至东分别为诊断室1、化验室/药房、隔离室、猫住院部2、猫住院部1；中部从西至东分别为诊断室2、诊断室3、留观室、犬住院部1、卫生间及危废贮存点；南侧从西至东分别为美容洗护室、手术准备室、手术室、超声室、X光室、犬住院部2</w:t>
            </w:r>
            <w:r>
              <w:rPr>
                <w:color w:val="auto"/>
              </w:rPr>
              <w:t>。</w:t>
            </w:r>
          </w:p>
          <w:p>
            <w:pPr>
              <w:adjustRightInd/>
              <w:snapToGrid/>
              <w:ind w:firstLine="420"/>
              <w:rPr>
                <w:color w:val="auto"/>
              </w:rPr>
            </w:pPr>
            <w:r>
              <w:rPr>
                <w:color w:val="auto"/>
                <w:kern w:val="0"/>
                <w:highlight w:val="none"/>
              </w:rPr>
              <w:t>危废贮存点</w:t>
            </w:r>
            <w:r>
              <w:rPr>
                <w:rFonts w:hint="eastAsia"/>
                <w:color w:val="auto"/>
                <w:kern w:val="0"/>
                <w:highlight w:val="none"/>
              </w:rPr>
              <w:t>位于医院东侧，医疗废物和废紫外线灯管进行分区贮存</w:t>
            </w:r>
            <w:r>
              <w:rPr>
                <w:color w:val="auto"/>
                <w:kern w:val="0"/>
                <w:highlight w:val="none"/>
              </w:rPr>
              <w:t>，在诊室、手术室、住院部等</w:t>
            </w:r>
            <w:r>
              <w:rPr>
                <w:rFonts w:hint="eastAsia"/>
                <w:color w:val="auto"/>
                <w:kern w:val="0"/>
                <w:highlight w:val="none"/>
              </w:rPr>
              <w:t>产生点设</w:t>
            </w:r>
            <w:r>
              <w:rPr>
                <w:color w:val="auto"/>
                <w:kern w:val="0"/>
                <w:highlight w:val="none"/>
              </w:rPr>
              <w:t>医疗废物专用</w:t>
            </w:r>
            <w:r>
              <w:rPr>
                <w:rFonts w:hint="eastAsia"/>
                <w:color w:val="auto"/>
                <w:kern w:val="0"/>
                <w:highlight w:val="none"/>
              </w:rPr>
              <w:t>收集桶，</w:t>
            </w:r>
            <w:r>
              <w:rPr>
                <w:color w:val="auto"/>
                <w:kern w:val="0"/>
                <w:highlight w:val="none"/>
              </w:rPr>
              <w:t>分类收集后暂存于危险废物贮存点</w:t>
            </w:r>
            <w:r>
              <w:rPr>
                <w:rFonts w:hint="eastAsia"/>
                <w:color w:val="auto"/>
                <w:kern w:val="0"/>
                <w:highlight w:val="none"/>
              </w:rPr>
              <w:t>，废紫外线灯管采用包装桶收集后</w:t>
            </w:r>
            <w:r>
              <w:rPr>
                <w:color w:val="auto"/>
                <w:kern w:val="0"/>
                <w:highlight w:val="none"/>
              </w:rPr>
              <w:t>暂存于危险废物贮存点</w:t>
            </w:r>
            <w:r>
              <w:rPr>
                <w:rFonts w:hint="eastAsia"/>
                <w:color w:val="auto"/>
                <w:kern w:val="0"/>
                <w:highlight w:val="none"/>
              </w:rPr>
              <w:t>，</w:t>
            </w:r>
            <w:r>
              <w:rPr>
                <w:color w:val="auto"/>
                <w:highlight w:val="none"/>
              </w:rPr>
              <w:t>避免交</w:t>
            </w:r>
            <w:r>
              <w:rPr>
                <w:color w:val="auto"/>
              </w:rPr>
              <w:t>叉影响</w:t>
            </w:r>
            <w:r>
              <w:rPr>
                <w:rFonts w:hint="eastAsia"/>
                <w:color w:val="auto"/>
              </w:rPr>
              <w:t>，危险废物</w:t>
            </w:r>
            <w:r>
              <w:rPr>
                <w:color w:val="auto"/>
              </w:rPr>
              <w:t>定期交有资质的单位处置；医疗废水预处理设施设置在化验室，运营期医疗废水经消毒预处理后，与生活污水、洗浴废水一起排入</w:t>
            </w:r>
            <w:r>
              <w:rPr>
                <w:rFonts w:hint="eastAsia"/>
                <w:color w:val="auto"/>
              </w:rPr>
              <w:t>招商锦星汇</w:t>
            </w:r>
            <w:r>
              <w:rPr>
                <w:color w:val="auto"/>
              </w:rPr>
              <w:t>生化池进行处理。</w:t>
            </w:r>
          </w:p>
          <w:p>
            <w:pPr>
              <w:adjustRightInd/>
              <w:snapToGrid/>
              <w:ind w:firstLine="420"/>
              <w:rPr>
                <w:bCs/>
                <w:color w:val="auto"/>
                <w:szCs w:val="21"/>
              </w:rPr>
            </w:pPr>
            <w:r>
              <w:rPr>
                <w:color w:val="auto"/>
              </w:rPr>
              <w:t>综上，项目各功能区划分明确，布局清晰，</w:t>
            </w:r>
            <w:r>
              <w:rPr>
                <w:bCs/>
                <w:color w:val="auto"/>
                <w:szCs w:val="21"/>
              </w:rPr>
              <w:t>总平面布置图详见附图4。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0" w:type="dxa"/>
            <w:vAlign w:val="center"/>
          </w:tcPr>
          <w:p>
            <w:pPr>
              <w:pStyle w:val="35"/>
              <w:adjustRightInd/>
              <w:snapToGrid/>
              <w:spacing w:before="0" w:beforeAutospacing="0" w:after="0" w:afterAutospacing="0"/>
              <w:ind w:firstLine="0" w:firstLineChars="0"/>
              <w:rPr>
                <w:rFonts w:ascii="Times New Roman" w:hAnsi="Times New Roman"/>
                <w:color w:val="auto"/>
                <w:sz w:val="21"/>
                <w:szCs w:val="21"/>
              </w:rPr>
            </w:pPr>
            <w:r>
              <w:rPr>
                <w:rFonts w:ascii="Times New Roman" w:hAnsi="Times New Roman"/>
                <w:color w:val="auto"/>
                <w:sz w:val="21"/>
                <w:szCs w:val="21"/>
              </w:rPr>
              <w:t>工艺流程和产排污环节</w:t>
            </w:r>
          </w:p>
        </w:tc>
        <w:tc>
          <w:tcPr>
            <w:tcW w:w="9242" w:type="dxa"/>
            <w:vAlign w:val="center"/>
          </w:tcPr>
          <w:p>
            <w:pPr>
              <w:adjustRightInd/>
              <w:snapToGrid/>
              <w:spacing w:before="120" w:beforeLines="50"/>
              <w:ind w:firstLine="422"/>
              <w:rPr>
                <w:b/>
                <w:bCs/>
                <w:color w:val="auto"/>
                <w:szCs w:val="21"/>
              </w:rPr>
            </w:pPr>
            <w:r>
              <w:rPr>
                <w:b/>
                <w:bCs/>
                <w:color w:val="auto"/>
                <w:szCs w:val="21"/>
              </w:rPr>
              <w:t>1、施工期工艺流程</w:t>
            </w:r>
          </w:p>
          <w:p>
            <w:pPr>
              <w:adjustRightInd/>
              <w:snapToGrid/>
              <w:ind w:firstLine="420"/>
              <w:rPr>
                <w:color w:val="auto"/>
              </w:rPr>
            </w:pPr>
            <w:r>
              <w:rPr>
                <w:color w:val="auto"/>
              </w:rPr>
              <w:t>本次扩建仅在手术室新增部分医疗设备，医疗设备购置入场后即可完成安装调试，无施工期。故本次环评不对施工期环境影响进行评价。</w:t>
            </w:r>
          </w:p>
          <w:p>
            <w:pPr>
              <w:adjustRightInd/>
              <w:snapToGrid/>
              <w:ind w:firstLine="422"/>
              <w:rPr>
                <w:b/>
                <w:bCs/>
                <w:color w:val="auto"/>
                <w:szCs w:val="21"/>
              </w:rPr>
            </w:pPr>
            <w:r>
              <w:rPr>
                <w:b/>
                <w:bCs/>
                <w:color w:val="auto"/>
                <w:szCs w:val="21"/>
              </w:rPr>
              <w:t>2、运营期工艺流程</w:t>
            </w:r>
          </w:p>
          <w:p>
            <w:pPr>
              <w:adjustRightInd/>
              <w:snapToGrid/>
              <w:ind w:firstLine="420"/>
              <w:rPr>
                <w:color w:val="auto"/>
              </w:rPr>
            </w:pPr>
            <w:r>
              <w:rPr>
                <w:color w:val="auto"/>
              </w:rPr>
              <w:t>本项目运营期服务流程主要分为宠物就诊服务、宠物美容护理服务两部分内容组成。服务流程及产污环节见图2-</w:t>
            </w:r>
            <w:r>
              <w:rPr>
                <w:rFonts w:hint="eastAsia"/>
                <w:color w:val="auto"/>
                <w:lang w:val="en-US" w:eastAsia="zh-CN"/>
              </w:rPr>
              <w:t>2</w:t>
            </w:r>
            <w:r>
              <w:rPr>
                <w:color w:val="auto"/>
              </w:rPr>
              <w:t>。</w:t>
            </w:r>
          </w:p>
          <w:p>
            <w:pPr>
              <w:adjustRightInd/>
              <w:snapToGrid/>
              <w:ind w:firstLine="0" w:firstLineChars="0"/>
              <w:jc w:val="center"/>
              <w:rPr>
                <w:color w:val="auto"/>
              </w:rPr>
            </w:pPr>
            <w:r>
              <w:rPr>
                <w:color w:val="auto"/>
              </w:rPr>
              <w:object>
                <v:shape id="_x0000_i1026" o:spt="75" type="#_x0000_t75" style="height:187.6pt;width:440.3pt;" o:ole="t" filled="f" o:preferrelative="t" stroked="f" coordsize="21600,21600">
                  <v:path/>
                  <v:fill on="f" focussize="0,0"/>
                  <v:stroke on="f"/>
                  <v:imagedata r:id="rId17" o:title=""/>
                  <o:lock v:ext="edit" aspectratio="t"/>
                  <w10:wrap type="none"/>
                  <w10:anchorlock/>
                </v:shape>
                <o:OLEObject Type="Embed" ProgID="Visio.Drawing.11" ShapeID="_x0000_i1026" DrawAspect="Content" ObjectID="_1468075726" r:id="rId16">
                  <o:LockedField>false</o:LockedField>
                </o:OLEObject>
              </w:object>
            </w:r>
          </w:p>
          <w:p>
            <w:pPr>
              <w:adjustRightInd/>
              <w:snapToGrid/>
              <w:ind w:firstLine="0" w:firstLineChars="0"/>
              <w:jc w:val="center"/>
              <w:rPr>
                <w:b/>
                <w:color w:val="auto"/>
                <w:highlight w:val="none"/>
                <w:u w:val="single"/>
              </w:rPr>
            </w:pPr>
            <w:r>
              <w:rPr>
                <w:b/>
                <w:color w:val="auto"/>
                <w:highlight w:val="none"/>
                <w:u w:val="single"/>
              </w:rPr>
              <w:t>图2-</w:t>
            </w:r>
            <w:r>
              <w:rPr>
                <w:rFonts w:hint="eastAsia"/>
                <w:b/>
                <w:color w:val="auto"/>
                <w:highlight w:val="none"/>
                <w:u w:val="single"/>
                <w:lang w:val="en-US" w:eastAsia="zh-CN"/>
              </w:rPr>
              <w:t>2</w:t>
            </w:r>
            <w:r>
              <w:rPr>
                <w:b/>
                <w:color w:val="auto"/>
                <w:highlight w:val="none"/>
                <w:u w:val="single"/>
              </w:rPr>
              <w:t xml:space="preserve">   运营期宠物医院服务流程及产污环节图</w:t>
            </w:r>
          </w:p>
          <w:p>
            <w:pPr>
              <w:pStyle w:val="38"/>
              <w:adjustRightInd/>
              <w:spacing w:after="0" w:line="360" w:lineRule="auto"/>
              <w:ind w:firstLine="422" w:firstLineChars="200"/>
              <w:rPr>
                <w:b/>
                <w:bCs/>
                <w:color w:val="auto"/>
                <w:kern w:val="0"/>
                <w:szCs w:val="21"/>
                <w:lang w:bidi="ar"/>
              </w:rPr>
            </w:pPr>
            <w:r>
              <w:rPr>
                <w:b/>
                <w:bCs/>
                <w:color w:val="auto"/>
                <w:kern w:val="0"/>
                <w:szCs w:val="21"/>
                <w:lang w:bidi="ar"/>
              </w:rPr>
              <w:t>（1）美容洗浴</w:t>
            </w:r>
          </w:p>
          <w:p>
            <w:pPr>
              <w:adjustRightInd/>
              <w:snapToGrid/>
              <w:ind w:firstLine="420"/>
              <w:rPr>
                <w:color w:val="auto"/>
                <w:kern w:val="0"/>
                <w:szCs w:val="21"/>
                <w:lang w:bidi="ar"/>
              </w:rPr>
            </w:pPr>
            <w:r>
              <w:rPr>
                <w:color w:val="auto"/>
                <w:kern w:val="0"/>
                <w:szCs w:val="21"/>
                <w:lang w:bidi="ar"/>
              </w:rPr>
              <w:t>宠物美容主要包括给宠物修剪指（趾）甲、剃脚毛、挖耳朵、洗澡等，进行美容后的宠物由其主人带离医院，本项目美容不包括染色项目。</w:t>
            </w:r>
          </w:p>
          <w:p>
            <w:pPr>
              <w:adjustRightInd/>
              <w:snapToGrid/>
              <w:ind w:firstLine="422"/>
              <w:rPr>
                <w:color w:val="auto"/>
                <w:kern w:val="0"/>
                <w:szCs w:val="21"/>
                <w:lang w:bidi="ar"/>
              </w:rPr>
            </w:pPr>
            <w:r>
              <w:rPr>
                <w:b/>
                <w:bCs/>
                <w:color w:val="auto"/>
                <w:kern w:val="0"/>
                <w:szCs w:val="21"/>
                <w:lang w:bidi="ar"/>
              </w:rPr>
              <w:t>美容洗浴：</w:t>
            </w:r>
            <w:r>
              <w:rPr>
                <w:color w:val="auto"/>
                <w:kern w:val="0"/>
                <w:szCs w:val="21"/>
                <w:lang w:bidi="ar"/>
              </w:rPr>
              <w:t>洗护人员对宠物进行全身清洗，该过程会产生美容洗浴废水W1。</w:t>
            </w:r>
          </w:p>
          <w:p>
            <w:pPr>
              <w:adjustRightInd/>
              <w:snapToGrid/>
              <w:ind w:firstLine="422"/>
              <w:rPr>
                <w:color w:val="auto"/>
                <w:kern w:val="0"/>
                <w:szCs w:val="21"/>
                <w:lang w:bidi="ar"/>
              </w:rPr>
            </w:pPr>
            <w:r>
              <w:rPr>
                <w:b/>
                <w:bCs/>
                <w:color w:val="auto"/>
                <w:kern w:val="0"/>
                <w:szCs w:val="21"/>
                <w:lang w:bidi="ar"/>
              </w:rPr>
              <w:t>剪毛</w:t>
            </w:r>
            <w:r>
              <w:rPr>
                <w:color w:val="auto"/>
                <w:kern w:val="0"/>
                <w:szCs w:val="21"/>
                <w:lang w:bidi="ar"/>
              </w:rPr>
              <w:t>：洗护人员对宠物进行毛发修整，该过程会产生动物毛发S1，包含修剪废物等。</w:t>
            </w:r>
          </w:p>
          <w:p>
            <w:pPr>
              <w:adjustRightInd/>
              <w:snapToGrid/>
              <w:ind w:firstLine="422"/>
              <w:rPr>
                <w:color w:val="auto"/>
                <w:kern w:val="0"/>
                <w:szCs w:val="21"/>
                <w:lang w:bidi="ar"/>
              </w:rPr>
            </w:pPr>
            <w:r>
              <w:rPr>
                <w:b/>
                <w:bCs/>
                <w:color w:val="auto"/>
                <w:kern w:val="0"/>
                <w:szCs w:val="21"/>
                <w:lang w:bidi="ar"/>
              </w:rPr>
              <w:t>离开</w:t>
            </w:r>
            <w:r>
              <w:rPr>
                <w:color w:val="auto"/>
                <w:kern w:val="0"/>
                <w:szCs w:val="21"/>
                <w:lang w:bidi="ar"/>
              </w:rPr>
              <w:t>：宠物美容完成后离开医院。</w:t>
            </w:r>
          </w:p>
          <w:p>
            <w:pPr>
              <w:pStyle w:val="38"/>
              <w:adjustRightInd/>
              <w:spacing w:after="0" w:line="360" w:lineRule="auto"/>
              <w:ind w:firstLine="422" w:firstLineChars="200"/>
              <w:rPr>
                <w:b/>
                <w:bCs/>
                <w:color w:val="auto"/>
                <w:kern w:val="0"/>
                <w:szCs w:val="21"/>
                <w:lang w:bidi="ar"/>
              </w:rPr>
            </w:pPr>
            <w:r>
              <w:rPr>
                <w:b/>
                <w:bCs/>
                <w:color w:val="auto"/>
                <w:kern w:val="0"/>
                <w:szCs w:val="21"/>
                <w:lang w:bidi="ar"/>
              </w:rPr>
              <w:t>（2）宠物治疗</w:t>
            </w:r>
          </w:p>
          <w:p>
            <w:pPr>
              <w:pStyle w:val="38"/>
              <w:adjustRightInd/>
              <w:spacing w:after="0" w:line="360" w:lineRule="auto"/>
              <w:ind w:firstLineChars="200"/>
              <w:rPr>
                <w:color w:val="auto"/>
                <w:kern w:val="0"/>
                <w:szCs w:val="21"/>
                <w:lang w:bidi="ar"/>
              </w:rPr>
            </w:pPr>
            <w:r>
              <w:rPr>
                <w:color w:val="auto"/>
                <w:kern w:val="0"/>
                <w:szCs w:val="21"/>
                <w:lang w:bidi="ar"/>
              </w:rPr>
              <w:t>本项目主要从事犬、猫等动物疫病的预防、诊疗及手术。项目不接收经诊断患有人畜交叉感染传染病的宠物，仅对一般宠物感染病症进行隔离。项目化验过程中均采用成品试剂，不涉及试剂配备。整个宠物治疗过程中均会产生一定的异味G1。</w:t>
            </w:r>
          </w:p>
          <w:p>
            <w:pPr>
              <w:pStyle w:val="38"/>
              <w:adjustRightInd/>
              <w:spacing w:after="0" w:line="360" w:lineRule="auto"/>
              <w:ind w:firstLine="422" w:firstLineChars="200"/>
              <w:rPr>
                <w:color w:val="auto"/>
                <w:kern w:val="0"/>
                <w:szCs w:val="21"/>
                <w:lang w:bidi="ar"/>
              </w:rPr>
            </w:pPr>
            <w:r>
              <w:rPr>
                <w:b/>
                <w:bCs/>
                <w:color w:val="auto"/>
                <w:kern w:val="0"/>
                <w:szCs w:val="21"/>
                <w:lang w:bidi="ar"/>
              </w:rPr>
              <w:t>检查：</w:t>
            </w:r>
            <w:r>
              <w:rPr>
                <w:color w:val="auto"/>
                <w:kern w:val="0"/>
                <w:szCs w:val="21"/>
                <w:lang w:bidi="ar"/>
              </w:rPr>
              <w:t>顾客携带宠物先到前台挂号并进行初检，符合治疗条件的患病动物由导诊人员（或顾客）带至诊室就诊，由医护人员对宠物进行基础检查，检查过程会使用医用酒精棉进行消毒，使用后的酒精棉属于医疗废物S2。</w:t>
            </w:r>
          </w:p>
          <w:p>
            <w:pPr>
              <w:pStyle w:val="38"/>
              <w:adjustRightInd/>
              <w:spacing w:after="0" w:line="360" w:lineRule="auto"/>
              <w:ind w:firstLine="422" w:firstLineChars="200"/>
              <w:rPr>
                <w:color w:val="auto"/>
                <w:kern w:val="0"/>
                <w:szCs w:val="21"/>
                <w:lang w:bidi="ar"/>
              </w:rPr>
            </w:pPr>
            <w:r>
              <w:rPr>
                <w:b/>
                <w:bCs/>
                <w:color w:val="auto"/>
                <w:kern w:val="0"/>
                <w:szCs w:val="21"/>
                <w:lang w:bidi="ar"/>
              </w:rPr>
              <w:t>化验、拍片、诊断：</w:t>
            </w:r>
            <w:r>
              <w:rPr>
                <w:color w:val="auto"/>
                <w:kern w:val="0"/>
                <w:szCs w:val="21"/>
                <w:lang w:bidi="ar"/>
              </w:rPr>
              <w:t>医护人员根据宠物情况进行常规检查，包括</w:t>
            </w:r>
            <w:r>
              <w:rPr>
                <w:rFonts w:hint="eastAsia"/>
                <w:color w:val="auto"/>
                <w:kern w:val="0"/>
                <w:szCs w:val="21"/>
                <w:lang w:bidi="ar"/>
              </w:rPr>
              <w:t>以玻片为载体，放置几滴宠物血液或粪便，使用染剂进行固定和染色，采用显微镜进行观察；</w:t>
            </w:r>
            <w:r>
              <w:rPr>
                <w:color w:val="auto"/>
                <w:kern w:val="0"/>
                <w:szCs w:val="21"/>
                <w:lang w:bidi="ar"/>
              </w:rPr>
              <w:t>使用</w:t>
            </w:r>
            <w:r>
              <w:rPr>
                <w:rFonts w:hint="eastAsia"/>
                <w:color w:val="auto"/>
                <w:kern w:val="0"/>
                <w:szCs w:val="21"/>
                <w:lang w:bidi="ar"/>
              </w:rPr>
              <w:t>分析仪及</w:t>
            </w:r>
            <w:r>
              <w:rPr>
                <w:color w:val="auto"/>
                <w:kern w:val="0"/>
                <w:szCs w:val="21"/>
                <w:lang w:bidi="ar"/>
              </w:rPr>
              <w:t>显微镜</w:t>
            </w:r>
            <w:r>
              <w:rPr>
                <w:rFonts w:hint="eastAsia"/>
                <w:color w:val="auto"/>
                <w:kern w:val="0"/>
                <w:szCs w:val="21"/>
                <w:lang w:bidi="ar"/>
              </w:rPr>
              <w:t>对动物血液、粪便</w:t>
            </w:r>
            <w:r>
              <w:rPr>
                <w:color w:val="auto"/>
                <w:kern w:val="0"/>
                <w:szCs w:val="21"/>
                <w:lang w:bidi="ar"/>
              </w:rPr>
              <w:t>进行细胞学、皮肤、耳道分泌物、粪常规检查</w:t>
            </w:r>
            <w:r>
              <w:rPr>
                <w:rFonts w:hint="eastAsia"/>
                <w:color w:val="auto"/>
                <w:kern w:val="0"/>
                <w:szCs w:val="21"/>
                <w:lang w:bidi="ar"/>
              </w:rPr>
              <w:t>；</w:t>
            </w:r>
            <w:r>
              <w:rPr>
                <w:color w:val="auto"/>
                <w:kern w:val="0"/>
                <w:szCs w:val="21"/>
                <w:lang w:bidi="ar"/>
              </w:rPr>
              <w:t>使用DR、B超机进行拍片检查；使用生化分析仪采用干式生化试剂片对ALT（谷丙转氨酶）、ALB（白蛋白）、ALP（碱性磷酸酶）、AMY（淀粉酶）等因子进行检测；使用荧光定量分析仪采用干式试剂片对犬胰腺炎、猫胰腺炎等进行检测等。执业医师根据检查数据做出诊断结果，并根据患病动物的情况安排进行输液、手术、疫苗接种等后续治疗方案。化验、拍片、诊断过程主要产生的一次性医疗器械、棉签、宠物血液、针管等医疗废物S2以及化验时医生洗手</w:t>
            </w:r>
            <w:r>
              <w:rPr>
                <w:rFonts w:hint="eastAsia"/>
                <w:color w:val="auto"/>
                <w:kern w:val="0"/>
                <w:szCs w:val="21"/>
                <w:lang w:bidi="ar"/>
              </w:rPr>
              <w:t>及玻片清洗</w:t>
            </w:r>
            <w:r>
              <w:rPr>
                <w:color w:val="auto"/>
                <w:kern w:val="0"/>
                <w:szCs w:val="21"/>
                <w:lang w:bidi="ar"/>
              </w:rPr>
              <w:t>等产生的医疗废水W2。</w:t>
            </w:r>
          </w:p>
          <w:p>
            <w:pPr>
              <w:adjustRightInd/>
              <w:snapToGrid/>
              <w:ind w:firstLine="422"/>
              <w:rPr>
                <w:color w:val="auto"/>
                <w:kern w:val="0"/>
                <w:szCs w:val="21"/>
                <w:lang w:bidi="ar"/>
              </w:rPr>
            </w:pPr>
            <w:r>
              <w:rPr>
                <w:b/>
                <w:color w:val="auto"/>
                <w:szCs w:val="21"/>
              </w:rPr>
              <w:t>治疗：</w:t>
            </w:r>
            <w:r>
              <w:rPr>
                <w:bCs/>
                <w:color w:val="auto"/>
                <w:szCs w:val="21"/>
              </w:rPr>
              <w:t>项目治疗包含手术治疗和普通治疗。</w:t>
            </w:r>
            <w:r>
              <w:rPr>
                <w:color w:val="auto"/>
                <w:kern w:val="0"/>
                <w:szCs w:val="21"/>
                <w:lang w:bidi="ar"/>
              </w:rPr>
              <w:t>手术过程中手术台上铺用的医用纱布、垫料，手术过程中产生的血液、废弃医用棉花、宠物医生的一次性手套、输液及手术过程中的一次性注射器、缝合针、动物组织等均属于医疗废物S2。宠物医生治疗、手术后的清洗废水及手术器械清洗废水属于医疗废水W2。</w:t>
            </w:r>
          </w:p>
          <w:p>
            <w:pPr>
              <w:adjustRightInd/>
              <w:snapToGrid/>
              <w:ind w:firstLine="422"/>
              <w:rPr>
                <w:color w:val="auto"/>
                <w:kern w:val="0"/>
                <w:szCs w:val="21"/>
                <w:lang w:bidi="ar"/>
              </w:rPr>
            </w:pPr>
            <w:r>
              <w:rPr>
                <w:b/>
                <w:bCs/>
                <w:color w:val="auto"/>
                <w:kern w:val="0"/>
                <w:szCs w:val="21"/>
                <w:lang w:bidi="ar"/>
              </w:rPr>
              <w:t>住院：</w:t>
            </w:r>
            <w:r>
              <w:rPr>
                <w:bCs/>
                <w:color w:val="auto"/>
                <w:kern w:val="0"/>
                <w:szCs w:val="21"/>
                <w:lang w:bidi="ar"/>
              </w:rPr>
              <w:t>需要住院的</w:t>
            </w:r>
            <w:r>
              <w:rPr>
                <w:color w:val="auto"/>
                <w:kern w:val="0"/>
                <w:szCs w:val="21"/>
                <w:lang w:bidi="ar"/>
              </w:rPr>
              <w:t>宠物住院观察过程中宠物生活会产生</w:t>
            </w:r>
            <w:r>
              <w:rPr>
                <w:rFonts w:hint="eastAsia"/>
                <w:color w:val="auto"/>
                <w:kern w:val="0"/>
                <w:szCs w:val="21"/>
                <w:lang w:val="en-US" w:eastAsia="zh-CN" w:bidi="ar"/>
              </w:rPr>
              <w:t>异味G1、</w:t>
            </w:r>
            <w:r>
              <w:rPr>
                <w:color w:val="auto"/>
                <w:kern w:val="0"/>
                <w:szCs w:val="21"/>
                <w:lang w:bidi="ar"/>
              </w:rPr>
              <w:t>动物粪便S3、住院废水（医疗废水）W2及宠物叫声N。</w:t>
            </w:r>
          </w:p>
          <w:p>
            <w:pPr>
              <w:adjustRightInd/>
              <w:snapToGrid/>
              <w:ind w:firstLine="422"/>
              <w:rPr>
                <w:color w:val="auto"/>
                <w:kern w:val="0"/>
                <w:szCs w:val="21"/>
                <w:lang w:bidi="ar"/>
              </w:rPr>
            </w:pPr>
            <w:r>
              <w:rPr>
                <w:b/>
                <w:bCs/>
                <w:color w:val="auto"/>
                <w:kern w:val="0"/>
                <w:szCs w:val="21"/>
                <w:lang w:bidi="ar"/>
              </w:rPr>
              <w:t>离开：</w:t>
            </w:r>
            <w:r>
              <w:rPr>
                <w:color w:val="auto"/>
                <w:kern w:val="0"/>
                <w:szCs w:val="21"/>
                <w:lang w:bidi="ar"/>
              </w:rPr>
              <w:t>观察一段时间后，宠物恢复后离开医院。</w:t>
            </w:r>
          </w:p>
          <w:p>
            <w:pPr>
              <w:adjustRightInd/>
              <w:snapToGrid/>
              <w:ind w:firstLine="422"/>
              <w:rPr>
                <w:b/>
                <w:color w:val="auto"/>
                <w:kern w:val="0"/>
                <w:szCs w:val="21"/>
                <w:lang w:bidi="ar"/>
              </w:rPr>
            </w:pPr>
            <w:r>
              <w:rPr>
                <w:b/>
                <w:color w:val="auto"/>
                <w:kern w:val="0"/>
                <w:szCs w:val="21"/>
                <w:lang w:bidi="ar"/>
              </w:rPr>
              <w:t>（3）其他产污环节</w:t>
            </w:r>
          </w:p>
          <w:p>
            <w:pPr>
              <w:adjustRightInd/>
              <w:snapToGrid/>
              <w:ind w:firstLine="420"/>
              <w:rPr>
                <w:color w:val="auto"/>
                <w:kern w:val="0"/>
                <w:szCs w:val="21"/>
                <w:lang w:bidi="ar"/>
              </w:rPr>
            </w:pPr>
            <w:r>
              <w:rPr>
                <w:color w:val="auto"/>
                <w:kern w:val="0"/>
                <w:szCs w:val="21"/>
                <w:lang w:bidi="ar"/>
              </w:rPr>
              <w:t>动物治疗过程中会出现病死，会产生动物尸体S4，职工生活及顾客会产生生活垃圾S5和生活污水W3，</w:t>
            </w:r>
            <w:r>
              <w:rPr>
                <w:rFonts w:hint="eastAsia"/>
                <w:color w:val="auto"/>
                <w:kern w:val="0"/>
                <w:szCs w:val="21"/>
                <w:lang w:bidi="ar"/>
              </w:rPr>
              <w:t>新风系统</w:t>
            </w:r>
            <w:r>
              <w:rPr>
                <w:color w:val="auto"/>
                <w:kern w:val="0"/>
                <w:szCs w:val="21"/>
                <w:lang w:bidi="ar"/>
              </w:rPr>
              <w:t>外机产生的设备噪声及宠物偶发性噪声N。</w:t>
            </w:r>
          </w:p>
          <w:p>
            <w:pPr>
              <w:adjustRightInd/>
              <w:snapToGrid/>
              <w:ind w:firstLine="422"/>
              <w:rPr>
                <w:b/>
                <w:color w:val="auto"/>
                <w:kern w:val="0"/>
                <w:szCs w:val="21"/>
                <w:highlight w:val="none"/>
                <w:lang w:bidi="ar"/>
              </w:rPr>
            </w:pPr>
            <w:r>
              <w:rPr>
                <w:b/>
                <w:color w:val="auto"/>
                <w:kern w:val="0"/>
                <w:szCs w:val="21"/>
                <w:highlight w:val="none"/>
                <w:lang w:bidi="ar"/>
              </w:rPr>
              <w:t>（4）医院消毒方式</w:t>
            </w:r>
          </w:p>
          <w:p>
            <w:pPr>
              <w:adjustRightInd/>
              <w:snapToGrid/>
              <w:ind w:firstLine="420"/>
              <w:rPr>
                <w:color w:val="auto"/>
                <w:kern w:val="0"/>
                <w:szCs w:val="21"/>
                <w:highlight w:val="none"/>
                <w:lang w:bidi="ar"/>
              </w:rPr>
            </w:pPr>
            <w:r>
              <w:rPr>
                <w:rFonts w:hint="eastAsia"/>
                <w:color w:val="auto"/>
                <w:kern w:val="0"/>
                <w:szCs w:val="21"/>
                <w:highlight w:val="none"/>
                <w:lang w:val="en-US" w:eastAsia="zh-CN" w:bidi="ar"/>
              </w:rPr>
              <w:t>院内空间及动物粪便</w:t>
            </w:r>
            <w:r>
              <w:rPr>
                <w:color w:val="auto"/>
                <w:kern w:val="0"/>
                <w:szCs w:val="21"/>
                <w:highlight w:val="none"/>
                <w:lang w:bidi="ar"/>
              </w:rPr>
              <w:t>采用84消毒</w:t>
            </w:r>
            <w:r>
              <w:rPr>
                <w:rFonts w:hint="eastAsia"/>
                <w:color w:val="auto"/>
                <w:kern w:val="0"/>
                <w:szCs w:val="21"/>
                <w:highlight w:val="none"/>
                <w:lang w:eastAsia="zh-CN" w:bidi="ar"/>
              </w:rPr>
              <w:t>，</w:t>
            </w:r>
            <w:r>
              <w:rPr>
                <w:rFonts w:hint="eastAsia"/>
                <w:color w:val="auto"/>
                <w:kern w:val="0"/>
                <w:szCs w:val="21"/>
                <w:highlight w:val="none"/>
                <w:lang w:val="en-US" w:eastAsia="zh-CN" w:bidi="ar"/>
              </w:rPr>
              <w:t>首先将外购84消毒液与水按1:200进行稀释，稀释后的溶液倒入喷壶内，均匀喷洒在需消毒处，并确保消毒液在表面停留20-30分钟，消毒完成后，保持环境通风，确保消毒液挥发完全</w:t>
            </w:r>
            <w:r>
              <w:rPr>
                <w:color w:val="auto"/>
                <w:kern w:val="0"/>
                <w:szCs w:val="21"/>
                <w:highlight w:val="none"/>
                <w:lang w:bidi="ar"/>
              </w:rPr>
              <w:t>；手术治疗过程中使用</w:t>
            </w:r>
            <w:r>
              <w:rPr>
                <w:rFonts w:hint="eastAsia"/>
                <w:color w:val="auto"/>
                <w:kern w:val="0"/>
                <w:szCs w:val="21"/>
                <w:highlight w:val="none"/>
                <w:lang w:val="en-US" w:eastAsia="zh-CN" w:bidi="ar"/>
              </w:rPr>
              <w:t>医用</w:t>
            </w:r>
            <w:r>
              <w:rPr>
                <w:color w:val="auto"/>
                <w:kern w:val="0"/>
                <w:szCs w:val="21"/>
                <w:highlight w:val="none"/>
                <w:lang w:bidi="ar"/>
              </w:rPr>
              <w:t>酒精对宠物进行喷雾消毒；医疗器械、玻璃器皿采用高压灭菌锅进行高温消毒，高温灭菌保持在120℃以上并维持30分钟即可有效灭菌；此外医院会使用紫外灯管进行消毒，产生废紫外灯管S6；动物粪便经</w:t>
            </w:r>
            <w:r>
              <w:rPr>
                <w:rFonts w:hint="eastAsia"/>
                <w:color w:val="auto"/>
                <w:kern w:val="0"/>
                <w:szCs w:val="21"/>
                <w:highlight w:val="none"/>
                <w:lang w:bidi="ar"/>
              </w:rPr>
              <w:t>84消毒液喷洒</w:t>
            </w:r>
            <w:r>
              <w:rPr>
                <w:color w:val="auto"/>
                <w:kern w:val="0"/>
                <w:szCs w:val="21"/>
                <w:highlight w:val="none"/>
                <w:lang w:bidi="ar"/>
              </w:rPr>
              <w:t>消毒后交市政环卫部门统一处置。</w:t>
            </w:r>
          </w:p>
          <w:p>
            <w:pPr>
              <w:adjustRightInd/>
              <w:snapToGrid/>
              <w:ind w:firstLine="422"/>
              <w:rPr>
                <w:b/>
                <w:bCs/>
                <w:color w:val="auto"/>
                <w:szCs w:val="21"/>
              </w:rPr>
            </w:pPr>
            <w:r>
              <w:rPr>
                <w:b/>
                <w:bCs/>
                <w:color w:val="auto"/>
                <w:szCs w:val="21"/>
              </w:rPr>
              <w:t>3、产排污情况分析</w:t>
            </w:r>
          </w:p>
          <w:p>
            <w:pPr>
              <w:adjustRightInd/>
              <w:snapToGrid/>
              <w:ind w:firstLine="420"/>
              <w:rPr>
                <w:bCs/>
                <w:color w:val="auto"/>
                <w:szCs w:val="21"/>
              </w:rPr>
            </w:pPr>
            <w:r>
              <w:rPr>
                <w:bCs/>
                <w:color w:val="auto"/>
                <w:szCs w:val="21"/>
              </w:rPr>
              <w:t>项目产污情况详见表2-8。</w:t>
            </w:r>
          </w:p>
          <w:p>
            <w:pPr>
              <w:pStyle w:val="234"/>
              <w:adjustRightInd/>
              <w:snapToGrid/>
              <w:spacing w:before="120"/>
              <w:ind w:firstLine="0" w:firstLineChars="0"/>
              <w:rPr>
                <w:color w:val="auto"/>
              </w:rPr>
            </w:pPr>
            <w:r>
              <w:rPr>
                <w:color w:val="auto"/>
              </w:rPr>
              <w:t>表2-8    项目产污环节一览表</w:t>
            </w:r>
          </w:p>
          <w:tbl>
            <w:tblPr>
              <w:tblStyle w:val="40"/>
              <w:tblW w:w="9020"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941"/>
              <w:gridCol w:w="3785"/>
              <w:gridCol w:w="245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Borders>
                    <w:tl2br w:val="nil"/>
                    <w:tr2bl w:val="nil"/>
                  </w:tcBorders>
                  <w:vAlign w:val="center"/>
                </w:tcPr>
                <w:p>
                  <w:pPr>
                    <w:pStyle w:val="167"/>
                    <w:adjustRightInd/>
                    <w:snapToGrid/>
                    <w:jc w:val="center"/>
                    <w:rPr>
                      <w:color w:val="auto"/>
                    </w:rPr>
                  </w:pPr>
                  <w:r>
                    <w:rPr>
                      <w:color w:val="auto"/>
                    </w:rPr>
                    <w:t>类型</w:t>
                  </w:r>
                </w:p>
              </w:tc>
              <w:tc>
                <w:tcPr>
                  <w:tcW w:w="1941" w:type="dxa"/>
                  <w:tcBorders>
                    <w:tl2br w:val="nil"/>
                    <w:tr2bl w:val="nil"/>
                  </w:tcBorders>
                  <w:vAlign w:val="center"/>
                </w:tcPr>
                <w:p>
                  <w:pPr>
                    <w:pStyle w:val="167"/>
                    <w:adjustRightInd/>
                    <w:snapToGrid/>
                    <w:jc w:val="center"/>
                    <w:rPr>
                      <w:color w:val="auto"/>
                    </w:rPr>
                  </w:pPr>
                  <w:r>
                    <w:rPr>
                      <w:color w:val="auto"/>
                    </w:rPr>
                    <w:t>编号</w:t>
                  </w:r>
                </w:p>
              </w:tc>
              <w:tc>
                <w:tcPr>
                  <w:tcW w:w="3785" w:type="dxa"/>
                  <w:tcBorders>
                    <w:tl2br w:val="nil"/>
                    <w:tr2bl w:val="nil"/>
                  </w:tcBorders>
                  <w:vAlign w:val="center"/>
                </w:tcPr>
                <w:p>
                  <w:pPr>
                    <w:pStyle w:val="167"/>
                    <w:adjustRightInd/>
                    <w:snapToGrid/>
                    <w:jc w:val="center"/>
                    <w:rPr>
                      <w:color w:val="auto"/>
                    </w:rPr>
                  </w:pPr>
                  <w:r>
                    <w:rPr>
                      <w:color w:val="auto"/>
                    </w:rPr>
                    <w:t>污染源</w:t>
                  </w:r>
                </w:p>
              </w:tc>
              <w:tc>
                <w:tcPr>
                  <w:tcW w:w="2450" w:type="dxa"/>
                  <w:tcBorders>
                    <w:tl2br w:val="nil"/>
                    <w:tr2bl w:val="nil"/>
                  </w:tcBorders>
                  <w:vAlign w:val="center"/>
                </w:tcPr>
                <w:p>
                  <w:pPr>
                    <w:pStyle w:val="167"/>
                    <w:adjustRightInd/>
                    <w:snapToGrid/>
                    <w:jc w:val="center"/>
                    <w:rPr>
                      <w:color w:val="auto"/>
                    </w:rPr>
                  </w:pPr>
                  <w:r>
                    <w:rPr>
                      <w:color w:val="auto"/>
                    </w:rPr>
                    <w:t>主要污染物</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Borders>
                    <w:tl2br w:val="nil"/>
                    <w:tr2bl w:val="nil"/>
                  </w:tcBorders>
                  <w:vAlign w:val="center"/>
                </w:tcPr>
                <w:p>
                  <w:pPr>
                    <w:pStyle w:val="167"/>
                    <w:adjustRightInd/>
                    <w:snapToGrid/>
                    <w:jc w:val="center"/>
                    <w:rPr>
                      <w:color w:val="auto"/>
                    </w:rPr>
                  </w:pPr>
                  <w:r>
                    <w:rPr>
                      <w:color w:val="auto"/>
                    </w:rPr>
                    <w:t>废气</w:t>
                  </w:r>
                </w:p>
              </w:tc>
              <w:tc>
                <w:tcPr>
                  <w:tcW w:w="1941" w:type="dxa"/>
                  <w:tcBorders>
                    <w:tl2br w:val="nil"/>
                    <w:tr2bl w:val="nil"/>
                  </w:tcBorders>
                  <w:vAlign w:val="center"/>
                </w:tcPr>
                <w:p>
                  <w:pPr>
                    <w:pStyle w:val="167"/>
                    <w:adjustRightInd/>
                    <w:snapToGrid/>
                    <w:jc w:val="center"/>
                    <w:rPr>
                      <w:color w:val="auto"/>
                    </w:rPr>
                  </w:pPr>
                  <w:r>
                    <w:rPr>
                      <w:color w:val="auto"/>
                    </w:rPr>
                    <w:t>G1异味</w:t>
                  </w:r>
                </w:p>
              </w:tc>
              <w:tc>
                <w:tcPr>
                  <w:tcW w:w="3785" w:type="dxa"/>
                  <w:tcBorders>
                    <w:tl2br w:val="nil"/>
                    <w:tr2bl w:val="nil"/>
                  </w:tcBorders>
                  <w:vAlign w:val="center"/>
                </w:tcPr>
                <w:p>
                  <w:pPr>
                    <w:pStyle w:val="167"/>
                    <w:adjustRightInd/>
                    <w:snapToGrid/>
                    <w:jc w:val="center"/>
                    <w:rPr>
                      <w:color w:val="auto"/>
                    </w:rPr>
                  </w:pPr>
                  <w:r>
                    <w:rPr>
                      <w:color w:val="auto"/>
                    </w:rPr>
                    <w:t>主要来自于宠物及宠物产生的粪便等</w:t>
                  </w:r>
                </w:p>
              </w:tc>
              <w:tc>
                <w:tcPr>
                  <w:tcW w:w="2450" w:type="dxa"/>
                  <w:tcBorders>
                    <w:tl2br w:val="nil"/>
                    <w:tr2bl w:val="nil"/>
                  </w:tcBorders>
                  <w:vAlign w:val="center"/>
                </w:tcPr>
                <w:p>
                  <w:pPr>
                    <w:pStyle w:val="167"/>
                    <w:adjustRightInd/>
                    <w:snapToGrid/>
                    <w:jc w:val="center"/>
                    <w:rPr>
                      <w:color w:val="auto"/>
                    </w:rPr>
                  </w:pPr>
                  <w:r>
                    <w:rPr>
                      <w:rFonts w:hint="eastAsia"/>
                      <w:color w:val="auto"/>
                    </w:rPr>
                    <w:t>异味</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vMerge w:val="restart"/>
                  <w:tcBorders>
                    <w:tl2br w:val="nil"/>
                    <w:tr2bl w:val="nil"/>
                  </w:tcBorders>
                  <w:vAlign w:val="center"/>
                </w:tcPr>
                <w:p>
                  <w:pPr>
                    <w:pStyle w:val="167"/>
                    <w:adjustRightInd/>
                    <w:snapToGrid/>
                    <w:jc w:val="center"/>
                    <w:rPr>
                      <w:color w:val="auto"/>
                    </w:rPr>
                  </w:pPr>
                  <w:r>
                    <w:rPr>
                      <w:color w:val="auto"/>
                    </w:rPr>
                    <w:t>废水</w:t>
                  </w:r>
                </w:p>
              </w:tc>
              <w:tc>
                <w:tcPr>
                  <w:tcW w:w="1941" w:type="dxa"/>
                  <w:tcBorders>
                    <w:tl2br w:val="nil"/>
                    <w:tr2bl w:val="nil"/>
                  </w:tcBorders>
                  <w:vAlign w:val="center"/>
                </w:tcPr>
                <w:p>
                  <w:pPr>
                    <w:pStyle w:val="167"/>
                    <w:adjustRightInd/>
                    <w:snapToGrid/>
                    <w:jc w:val="center"/>
                    <w:rPr>
                      <w:color w:val="auto"/>
                    </w:rPr>
                  </w:pPr>
                  <w:r>
                    <w:rPr>
                      <w:color w:val="auto"/>
                    </w:rPr>
                    <w:t>W1洗浴废水</w:t>
                  </w:r>
                </w:p>
              </w:tc>
              <w:tc>
                <w:tcPr>
                  <w:tcW w:w="3785" w:type="dxa"/>
                  <w:tcBorders>
                    <w:tl2br w:val="nil"/>
                    <w:tr2bl w:val="nil"/>
                  </w:tcBorders>
                  <w:vAlign w:val="center"/>
                </w:tcPr>
                <w:p>
                  <w:pPr>
                    <w:pStyle w:val="167"/>
                    <w:adjustRightInd/>
                    <w:snapToGrid/>
                    <w:jc w:val="center"/>
                    <w:rPr>
                      <w:color w:val="auto"/>
                    </w:rPr>
                  </w:pPr>
                  <w:r>
                    <w:rPr>
                      <w:color w:val="auto"/>
                    </w:rPr>
                    <w:t>主要来自于宠物美容护理服务产生的洗浴废水</w:t>
                  </w:r>
                </w:p>
              </w:tc>
              <w:tc>
                <w:tcPr>
                  <w:tcW w:w="2450" w:type="dxa"/>
                  <w:tcBorders>
                    <w:tl2br w:val="nil"/>
                    <w:tr2bl w:val="nil"/>
                  </w:tcBorders>
                  <w:vAlign w:val="center"/>
                </w:tcPr>
                <w:p>
                  <w:pPr>
                    <w:pStyle w:val="167"/>
                    <w:adjustRightInd/>
                    <w:snapToGrid/>
                    <w:jc w:val="center"/>
                    <w:rPr>
                      <w:color w:val="auto"/>
                    </w:rPr>
                  </w:pPr>
                  <w:r>
                    <w:rPr>
                      <w:color w:val="auto"/>
                    </w:rPr>
                    <w:t>pH、COD、BOD</w:t>
                  </w:r>
                  <w:r>
                    <w:rPr>
                      <w:color w:val="auto"/>
                      <w:vertAlign w:val="subscript"/>
                    </w:rPr>
                    <w:t>5</w:t>
                  </w:r>
                  <w:r>
                    <w:rPr>
                      <w:color w:val="auto"/>
                    </w:rPr>
                    <w:t>、NH</w:t>
                  </w:r>
                  <w:r>
                    <w:rPr>
                      <w:color w:val="auto"/>
                      <w:vertAlign w:val="subscript"/>
                    </w:rPr>
                    <w:t>3</w:t>
                  </w:r>
                  <w:r>
                    <w:rPr>
                      <w:color w:val="auto"/>
                    </w:rPr>
                    <w:t xml:space="preserve">-N、SS、LAS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vMerge w:val="continue"/>
                  <w:tcBorders>
                    <w:tl2br w:val="nil"/>
                    <w:tr2bl w:val="nil"/>
                  </w:tcBorders>
                  <w:vAlign w:val="center"/>
                </w:tcPr>
                <w:p>
                  <w:pPr>
                    <w:pStyle w:val="167"/>
                    <w:adjustRightInd/>
                    <w:snapToGrid/>
                    <w:jc w:val="center"/>
                    <w:rPr>
                      <w:color w:val="auto"/>
                    </w:rPr>
                  </w:pPr>
                </w:p>
              </w:tc>
              <w:tc>
                <w:tcPr>
                  <w:tcW w:w="1941" w:type="dxa"/>
                  <w:tcBorders>
                    <w:tl2br w:val="nil"/>
                    <w:tr2bl w:val="nil"/>
                  </w:tcBorders>
                  <w:vAlign w:val="center"/>
                </w:tcPr>
                <w:p>
                  <w:pPr>
                    <w:pStyle w:val="167"/>
                    <w:adjustRightInd/>
                    <w:snapToGrid/>
                    <w:jc w:val="center"/>
                    <w:rPr>
                      <w:color w:val="auto"/>
                    </w:rPr>
                  </w:pPr>
                  <w:r>
                    <w:rPr>
                      <w:color w:val="auto"/>
                    </w:rPr>
                    <w:t>W2医疗废水</w:t>
                  </w:r>
                </w:p>
              </w:tc>
              <w:tc>
                <w:tcPr>
                  <w:tcW w:w="3785" w:type="dxa"/>
                  <w:tcBorders>
                    <w:tl2br w:val="nil"/>
                    <w:tr2bl w:val="nil"/>
                  </w:tcBorders>
                  <w:vAlign w:val="center"/>
                </w:tcPr>
                <w:p>
                  <w:pPr>
                    <w:pStyle w:val="167"/>
                    <w:adjustRightInd/>
                    <w:snapToGrid/>
                    <w:jc w:val="center"/>
                    <w:rPr>
                      <w:color w:val="auto"/>
                    </w:rPr>
                  </w:pPr>
                  <w:r>
                    <w:rPr>
                      <w:color w:val="auto"/>
                    </w:rPr>
                    <w:t>来自于诊疗、化验、手术室等区域产生的医疗废水</w:t>
                  </w:r>
                </w:p>
              </w:tc>
              <w:tc>
                <w:tcPr>
                  <w:tcW w:w="2450" w:type="dxa"/>
                  <w:tcBorders>
                    <w:tl2br w:val="nil"/>
                    <w:tr2bl w:val="nil"/>
                  </w:tcBorders>
                  <w:vAlign w:val="center"/>
                </w:tcPr>
                <w:p>
                  <w:pPr>
                    <w:pStyle w:val="167"/>
                    <w:adjustRightInd/>
                    <w:snapToGrid/>
                    <w:jc w:val="center"/>
                    <w:rPr>
                      <w:color w:val="auto"/>
                    </w:rPr>
                  </w:pPr>
                  <w:r>
                    <w:rPr>
                      <w:color w:val="auto"/>
                    </w:rPr>
                    <w:t>pH、COD、BOD</w:t>
                  </w:r>
                  <w:r>
                    <w:rPr>
                      <w:color w:val="auto"/>
                      <w:vertAlign w:val="subscript"/>
                    </w:rPr>
                    <w:t>5</w:t>
                  </w:r>
                  <w:r>
                    <w:rPr>
                      <w:color w:val="auto"/>
                    </w:rPr>
                    <w:t>、NH</w:t>
                  </w:r>
                  <w:r>
                    <w:rPr>
                      <w:color w:val="auto"/>
                      <w:vertAlign w:val="subscript"/>
                    </w:rPr>
                    <w:t>3</w:t>
                  </w:r>
                  <w:r>
                    <w:rPr>
                      <w:color w:val="auto"/>
                    </w:rPr>
                    <w:t>-N、SS、粪大肠菌群、总余氯</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vMerge w:val="continue"/>
                  <w:tcBorders>
                    <w:tl2br w:val="nil"/>
                    <w:tr2bl w:val="nil"/>
                  </w:tcBorders>
                  <w:vAlign w:val="center"/>
                </w:tcPr>
                <w:p>
                  <w:pPr>
                    <w:pStyle w:val="167"/>
                    <w:adjustRightInd/>
                    <w:snapToGrid/>
                    <w:jc w:val="center"/>
                    <w:rPr>
                      <w:color w:val="auto"/>
                    </w:rPr>
                  </w:pPr>
                </w:p>
              </w:tc>
              <w:tc>
                <w:tcPr>
                  <w:tcW w:w="1941" w:type="dxa"/>
                  <w:tcBorders>
                    <w:tl2br w:val="nil"/>
                    <w:tr2bl w:val="nil"/>
                  </w:tcBorders>
                  <w:vAlign w:val="center"/>
                </w:tcPr>
                <w:p>
                  <w:pPr>
                    <w:pStyle w:val="167"/>
                    <w:adjustRightInd/>
                    <w:snapToGrid/>
                    <w:jc w:val="center"/>
                    <w:rPr>
                      <w:color w:val="auto"/>
                    </w:rPr>
                  </w:pPr>
                  <w:r>
                    <w:rPr>
                      <w:color w:val="auto"/>
                    </w:rPr>
                    <w:t>W3生活污水</w:t>
                  </w:r>
                </w:p>
              </w:tc>
              <w:tc>
                <w:tcPr>
                  <w:tcW w:w="3785" w:type="dxa"/>
                  <w:tcBorders>
                    <w:tl2br w:val="nil"/>
                    <w:tr2bl w:val="nil"/>
                  </w:tcBorders>
                  <w:vAlign w:val="center"/>
                </w:tcPr>
                <w:p>
                  <w:pPr>
                    <w:pStyle w:val="167"/>
                    <w:adjustRightInd/>
                    <w:snapToGrid/>
                    <w:jc w:val="center"/>
                    <w:rPr>
                      <w:color w:val="auto"/>
                    </w:rPr>
                  </w:pPr>
                  <w:r>
                    <w:rPr>
                      <w:color w:val="auto"/>
                    </w:rPr>
                    <w:t>来自于员工、顾客产生的生活污水</w:t>
                  </w:r>
                </w:p>
              </w:tc>
              <w:tc>
                <w:tcPr>
                  <w:tcW w:w="2450" w:type="dxa"/>
                  <w:tcBorders>
                    <w:tl2br w:val="nil"/>
                    <w:tr2bl w:val="nil"/>
                  </w:tcBorders>
                  <w:vAlign w:val="center"/>
                </w:tcPr>
                <w:p>
                  <w:pPr>
                    <w:pStyle w:val="167"/>
                    <w:adjustRightInd/>
                    <w:snapToGrid/>
                    <w:jc w:val="center"/>
                    <w:rPr>
                      <w:color w:val="auto"/>
                    </w:rPr>
                  </w:pPr>
                  <w:r>
                    <w:rPr>
                      <w:color w:val="auto"/>
                    </w:rPr>
                    <w:t>pH、COD、BOD</w:t>
                  </w:r>
                  <w:r>
                    <w:rPr>
                      <w:color w:val="auto"/>
                      <w:vertAlign w:val="subscript"/>
                    </w:rPr>
                    <w:t>5</w:t>
                  </w:r>
                  <w:r>
                    <w:rPr>
                      <w:color w:val="auto"/>
                    </w:rPr>
                    <w:t>、NH</w:t>
                  </w:r>
                  <w:r>
                    <w:rPr>
                      <w:color w:val="auto"/>
                      <w:vertAlign w:val="subscript"/>
                    </w:rPr>
                    <w:t>3</w:t>
                  </w:r>
                  <w:r>
                    <w:rPr>
                      <w:color w:val="auto"/>
                    </w:rPr>
                    <w:t>-N、SS、LAS</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Borders>
                    <w:tl2br w:val="nil"/>
                    <w:tr2bl w:val="nil"/>
                  </w:tcBorders>
                  <w:vAlign w:val="center"/>
                </w:tcPr>
                <w:p>
                  <w:pPr>
                    <w:pStyle w:val="167"/>
                    <w:adjustRightInd/>
                    <w:snapToGrid/>
                    <w:jc w:val="center"/>
                    <w:rPr>
                      <w:color w:val="auto"/>
                    </w:rPr>
                  </w:pPr>
                  <w:r>
                    <w:rPr>
                      <w:color w:val="auto"/>
                    </w:rPr>
                    <w:t>噪声</w:t>
                  </w:r>
                </w:p>
              </w:tc>
              <w:tc>
                <w:tcPr>
                  <w:tcW w:w="1941" w:type="dxa"/>
                  <w:tcBorders>
                    <w:tl2br w:val="nil"/>
                    <w:tr2bl w:val="nil"/>
                  </w:tcBorders>
                  <w:vAlign w:val="center"/>
                </w:tcPr>
                <w:p>
                  <w:pPr>
                    <w:pStyle w:val="167"/>
                    <w:adjustRightInd/>
                    <w:snapToGrid/>
                    <w:jc w:val="center"/>
                    <w:rPr>
                      <w:color w:val="auto"/>
                    </w:rPr>
                  </w:pPr>
                  <w:r>
                    <w:rPr>
                      <w:color w:val="auto"/>
                    </w:rPr>
                    <w:t>N</w:t>
                  </w:r>
                </w:p>
              </w:tc>
              <w:tc>
                <w:tcPr>
                  <w:tcW w:w="3785" w:type="dxa"/>
                  <w:tcBorders>
                    <w:tl2br w:val="nil"/>
                    <w:tr2bl w:val="nil"/>
                  </w:tcBorders>
                  <w:vAlign w:val="center"/>
                </w:tcPr>
                <w:p>
                  <w:pPr>
                    <w:pStyle w:val="167"/>
                    <w:adjustRightInd/>
                    <w:snapToGrid/>
                    <w:jc w:val="center"/>
                    <w:rPr>
                      <w:color w:val="auto"/>
                    </w:rPr>
                  </w:pPr>
                  <w:r>
                    <w:rPr>
                      <w:color w:val="auto"/>
                    </w:rPr>
                    <w:t>来自于</w:t>
                  </w:r>
                  <w:r>
                    <w:rPr>
                      <w:rFonts w:hint="eastAsia"/>
                      <w:color w:val="auto"/>
                    </w:rPr>
                    <w:t>新风系统</w:t>
                  </w:r>
                  <w:r>
                    <w:rPr>
                      <w:color w:val="auto"/>
                    </w:rPr>
                    <w:t>外机和宠物偶发噪声</w:t>
                  </w:r>
                </w:p>
              </w:tc>
              <w:tc>
                <w:tcPr>
                  <w:tcW w:w="2450" w:type="dxa"/>
                  <w:tcBorders>
                    <w:tl2br w:val="nil"/>
                    <w:tr2bl w:val="nil"/>
                  </w:tcBorders>
                  <w:vAlign w:val="center"/>
                </w:tcPr>
                <w:p>
                  <w:pPr>
                    <w:pStyle w:val="167"/>
                    <w:adjustRightInd/>
                    <w:snapToGrid/>
                    <w:jc w:val="center"/>
                    <w:rPr>
                      <w:color w:val="auto"/>
                    </w:rPr>
                  </w:pPr>
                  <w:r>
                    <w:rPr>
                      <w:color w:val="auto"/>
                    </w:rPr>
                    <w:t>Lep</w:t>
                  </w:r>
                  <w:r>
                    <w:rPr>
                      <w:rFonts w:hint="eastAsia"/>
                      <w:color w:val="auto"/>
                      <w:lang w:eastAsia="zh-CN"/>
                    </w:rPr>
                    <w:t>(</w:t>
                  </w:r>
                  <w:r>
                    <w:rPr>
                      <w:color w:val="auto"/>
                    </w:rPr>
                    <w:t>A</w:t>
                  </w:r>
                  <w:r>
                    <w:rPr>
                      <w:rFonts w:hint="eastAsia"/>
                      <w:color w:val="auto"/>
                      <w:lang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vMerge w:val="restart"/>
                  <w:tcBorders>
                    <w:tl2br w:val="nil"/>
                    <w:tr2bl w:val="nil"/>
                  </w:tcBorders>
                  <w:vAlign w:val="center"/>
                </w:tcPr>
                <w:p>
                  <w:pPr>
                    <w:pStyle w:val="167"/>
                    <w:adjustRightInd/>
                    <w:snapToGrid/>
                    <w:jc w:val="center"/>
                    <w:rPr>
                      <w:color w:val="auto"/>
                    </w:rPr>
                  </w:pPr>
                  <w:r>
                    <w:rPr>
                      <w:color w:val="auto"/>
                    </w:rPr>
                    <w:t>固废</w:t>
                  </w:r>
                </w:p>
              </w:tc>
              <w:tc>
                <w:tcPr>
                  <w:tcW w:w="1941" w:type="dxa"/>
                  <w:tcBorders>
                    <w:tl2br w:val="nil"/>
                    <w:tr2bl w:val="nil"/>
                  </w:tcBorders>
                  <w:vAlign w:val="center"/>
                </w:tcPr>
                <w:p>
                  <w:pPr>
                    <w:pStyle w:val="167"/>
                    <w:adjustRightInd/>
                    <w:snapToGrid/>
                    <w:jc w:val="center"/>
                    <w:rPr>
                      <w:color w:val="auto"/>
                    </w:rPr>
                  </w:pPr>
                  <w:r>
                    <w:rPr>
                      <w:color w:val="auto"/>
                    </w:rPr>
                    <w:t>S1动物毛发</w:t>
                  </w:r>
                </w:p>
              </w:tc>
              <w:tc>
                <w:tcPr>
                  <w:tcW w:w="3785" w:type="dxa"/>
                  <w:tcBorders>
                    <w:tl2br w:val="nil"/>
                    <w:tr2bl w:val="nil"/>
                  </w:tcBorders>
                  <w:vAlign w:val="center"/>
                </w:tcPr>
                <w:p>
                  <w:pPr>
                    <w:pStyle w:val="167"/>
                    <w:adjustRightInd/>
                    <w:snapToGrid/>
                    <w:jc w:val="center"/>
                    <w:rPr>
                      <w:color w:val="auto"/>
                    </w:rPr>
                  </w:pPr>
                  <w:r>
                    <w:rPr>
                      <w:color w:val="auto"/>
                    </w:rPr>
                    <w:t>来自于宠物美容护理服务剪毛过程产生的废毛</w:t>
                  </w:r>
                </w:p>
              </w:tc>
              <w:tc>
                <w:tcPr>
                  <w:tcW w:w="2450" w:type="dxa"/>
                  <w:tcBorders>
                    <w:tl2br w:val="nil"/>
                    <w:tr2bl w:val="nil"/>
                  </w:tcBorders>
                  <w:vAlign w:val="center"/>
                </w:tcPr>
                <w:p>
                  <w:pPr>
                    <w:pStyle w:val="167"/>
                    <w:adjustRightInd/>
                    <w:snapToGrid/>
                    <w:jc w:val="center"/>
                    <w:rPr>
                      <w:color w:val="auto"/>
                    </w:rPr>
                  </w:pPr>
                  <w:r>
                    <w:rPr>
                      <w:color w:val="auto"/>
                    </w:rPr>
                    <w:t>废毛</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vMerge w:val="continue"/>
                  <w:tcBorders>
                    <w:tl2br w:val="nil"/>
                    <w:tr2bl w:val="nil"/>
                  </w:tcBorders>
                  <w:vAlign w:val="center"/>
                </w:tcPr>
                <w:p>
                  <w:pPr>
                    <w:pStyle w:val="167"/>
                    <w:adjustRightInd/>
                    <w:snapToGrid/>
                    <w:jc w:val="center"/>
                    <w:rPr>
                      <w:color w:val="auto"/>
                    </w:rPr>
                  </w:pPr>
                </w:p>
              </w:tc>
              <w:tc>
                <w:tcPr>
                  <w:tcW w:w="1941" w:type="dxa"/>
                  <w:tcBorders>
                    <w:tl2br w:val="nil"/>
                    <w:tr2bl w:val="nil"/>
                  </w:tcBorders>
                  <w:vAlign w:val="center"/>
                </w:tcPr>
                <w:p>
                  <w:pPr>
                    <w:pStyle w:val="167"/>
                    <w:adjustRightInd/>
                    <w:snapToGrid/>
                    <w:jc w:val="center"/>
                    <w:rPr>
                      <w:color w:val="auto"/>
                    </w:rPr>
                  </w:pPr>
                  <w:r>
                    <w:rPr>
                      <w:color w:val="auto"/>
                    </w:rPr>
                    <w:t>S2医疗废物</w:t>
                  </w:r>
                </w:p>
              </w:tc>
              <w:tc>
                <w:tcPr>
                  <w:tcW w:w="3785" w:type="dxa"/>
                  <w:tcBorders>
                    <w:tl2br w:val="nil"/>
                    <w:tr2bl w:val="nil"/>
                  </w:tcBorders>
                  <w:vAlign w:val="center"/>
                </w:tcPr>
                <w:p>
                  <w:pPr>
                    <w:pStyle w:val="167"/>
                    <w:adjustRightInd/>
                    <w:snapToGrid/>
                    <w:jc w:val="center"/>
                    <w:rPr>
                      <w:color w:val="auto"/>
                    </w:rPr>
                  </w:pPr>
                  <w:r>
                    <w:rPr>
                      <w:color w:val="auto"/>
                    </w:rPr>
                    <w:t>来自于宠物就诊、手术、治疗过程产生的医疗废物</w:t>
                  </w:r>
                </w:p>
              </w:tc>
              <w:tc>
                <w:tcPr>
                  <w:tcW w:w="2450" w:type="dxa"/>
                  <w:tcBorders>
                    <w:tl2br w:val="nil"/>
                    <w:tr2bl w:val="nil"/>
                  </w:tcBorders>
                  <w:vAlign w:val="center"/>
                </w:tcPr>
                <w:p>
                  <w:pPr>
                    <w:pStyle w:val="167"/>
                    <w:adjustRightInd/>
                    <w:snapToGrid/>
                    <w:jc w:val="center"/>
                    <w:rPr>
                      <w:color w:val="auto"/>
                    </w:rPr>
                  </w:pPr>
                  <w:r>
                    <w:rPr>
                      <w:color w:val="auto"/>
                    </w:rPr>
                    <w:t>医疗废物</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vMerge w:val="continue"/>
                  <w:tcBorders>
                    <w:tl2br w:val="nil"/>
                    <w:tr2bl w:val="nil"/>
                  </w:tcBorders>
                  <w:vAlign w:val="center"/>
                </w:tcPr>
                <w:p>
                  <w:pPr>
                    <w:pStyle w:val="167"/>
                    <w:adjustRightInd/>
                    <w:snapToGrid/>
                    <w:jc w:val="center"/>
                    <w:rPr>
                      <w:color w:val="auto"/>
                    </w:rPr>
                  </w:pPr>
                </w:p>
              </w:tc>
              <w:tc>
                <w:tcPr>
                  <w:tcW w:w="1941" w:type="dxa"/>
                  <w:tcBorders>
                    <w:tl2br w:val="nil"/>
                    <w:tr2bl w:val="nil"/>
                  </w:tcBorders>
                  <w:vAlign w:val="center"/>
                </w:tcPr>
                <w:p>
                  <w:pPr>
                    <w:pStyle w:val="167"/>
                    <w:adjustRightInd/>
                    <w:snapToGrid/>
                    <w:jc w:val="center"/>
                    <w:rPr>
                      <w:color w:val="auto"/>
                    </w:rPr>
                  </w:pPr>
                  <w:r>
                    <w:rPr>
                      <w:color w:val="auto"/>
                    </w:rPr>
                    <w:t>S3动物粪便</w:t>
                  </w:r>
                </w:p>
              </w:tc>
              <w:tc>
                <w:tcPr>
                  <w:tcW w:w="3785" w:type="dxa"/>
                  <w:tcBorders>
                    <w:tl2br w:val="nil"/>
                    <w:tr2bl w:val="nil"/>
                  </w:tcBorders>
                  <w:vAlign w:val="center"/>
                </w:tcPr>
                <w:p>
                  <w:pPr>
                    <w:pStyle w:val="167"/>
                    <w:adjustRightInd/>
                    <w:snapToGrid/>
                    <w:jc w:val="center"/>
                    <w:rPr>
                      <w:color w:val="auto"/>
                    </w:rPr>
                  </w:pPr>
                  <w:r>
                    <w:rPr>
                      <w:color w:val="auto"/>
                    </w:rPr>
                    <w:t>动物产生的粪便</w:t>
                  </w:r>
                </w:p>
              </w:tc>
              <w:tc>
                <w:tcPr>
                  <w:tcW w:w="2450" w:type="dxa"/>
                  <w:tcBorders>
                    <w:tl2br w:val="nil"/>
                    <w:tr2bl w:val="nil"/>
                  </w:tcBorders>
                  <w:vAlign w:val="center"/>
                </w:tcPr>
                <w:p>
                  <w:pPr>
                    <w:pStyle w:val="167"/>
                    <w:adjustRightInd/>
                    <w:snapToGrid/>
                    <w:jc w:val="center"/>
                    <w:rPr>
                      <w:color w:val="auto"/>
                    </w:rPr>
                  </w:pPr>
                  <w:r>
                    <w:rPr>
                      <w:color w:val="auto"/>
                    </w:rPr>
                    <w:t>动物粪便</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vMerge w:val="continue"/>
                  <w:tcBorders>
                    <w:tl2br w:val="nil"/>
                    <w:tr2bl w:val="nil"/>
                  </w:tcBorders>
                  <w:vAlign w:val="center"/>
                </w:tcPr>
                <w:p>
                  <w:pPr>
                    <w:pStyle w:val="167"/>
                    <w:adjustRightInd/>
                    <w:snapToGrid/>
                    <w:jc w:val="center"/>
                    <w:rPr>
                      <w:color w:val="auto"/>
                    </w:rPr>
                  </w:pPr>
                </w:p>
              </w:tc>
              <w:tc>
                <w:tcPr>
                  <w:tcW w:w="1941" w:type="dxa"/>
                  <w:tcBorders>
                    <w:tl2br w:val="nil"/>
                    <w:tr2bl w:val="nil"/>
                  </w:tcBorders>
                  <w:vAlign w:val="center"/>
                </w:tcPr>
                <w:p>
                  <w:pPr>
                    <w:pStyle w:val="167"/>
                    <w:adjustRightInd/>
                    <w:snapToGrid/>
                    <w:jc w:val="center"/>
                    <w:rPr>
                      <w:color w:val="auto"/>
                    </w:rPr>
                  </w:pPr>
                  <w:r>
                    <w:rPr>
                      <w:color w:val="auto"/>
                    </w:rPr>
                    <w:t>S4动物尸体</w:t>
                  </w:r>
                </w:p>
              </w:tc>
              <w:tc>
                <w:tcPr>
                  <w:tcW w:w="3785" w:type="dxa"/>
                  <w:tcBorders>
                    <w:tl2br w:val="nil"/>
                    <w:tr2bl w:val="nil"/>
                  </w:tcBorders>
                  <w:vAlign w:val="center"/>
                </w:tcPr>
                <w:p>
                  <w:pPr>
                    <w:pStyle w:val="167"/>
                    <w:adjustRightInd/>
                    <w:snapToGrid/>
                    <w:jc w:val="center"/>
                    <w:rPr>
                      <w:color w:val="auto"/>
                    </w:rPr>
                  </w:pPr>
                  <w:r>
                    <w:rPr>
                      <w:color w:val="auto"/>
                    </w:rPr>
                    <w:t>来自于宠物就诊、手术、住院等过程产生的动物尸体</w:t>
                  </w:r>
                </w:p>
              </w:tc>
              <w:tc>
                <w:tcPr>
                  <w:tcW w:w="2450" w:type="dxa"/>
                  <w:tcBorders>
                    <w:tl2br w:val="nil"/>
                    <w:tr2bl w:val="nil"/>
                  </w:tcBorders>
                  <w:vAlign w:val="center"/>
                </w:tcPr>
                <w:p>
                  <w:pPr>
                    <w:pStyle w:val="167"/>
                    <w:adjustRightInd/>
                    <w:snapToGrid/>
                    <w:jc w:val="center"/>
                    <w:rPr>
                      <w:color w:val="auto"/>
                    </w:rPr>
                  </w:pPr>
                  <w:r>
                    <w:rPr>
                      <w:color w:val="auto"/>
                    </w:rPr>
                    <w:t>动物尸体</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vMerge w:val="continue"/>
                  <w:tcBorders>
                    <w:tl2br w:val="nil"/>
                    <w:tr2bl w:val="nil"/>
                  </w:tcBorders>
                  <w:vAlign w:val="center"/>
                </w:tcPr>
                <w:p>
                  <w:pPr>
                    <w:pStyle w:val="167"/>
                    <w:adjustRightInd/>
                    <w:snapToGrid/>
                    <w:jc w:val="center"/>
                    <w:rPr>
                      <w:color w:val="auto"/>
                    </w:rPr>
                  </w:pPr>
                </w:p>
              </w:tc>
              <w:tc>
                <w:tcPr>
                  <w:tcW w:w="1941" w:type="dxa"/>
                  <w:tcBorders>
                    <w:tl2br w:val="nil"/>
                    <w:tr2bl w:val="nil"/>
                  </w:tcBorders>
                  <w:vAlign w:val="center"/>
                </w:tcPr>
                <w:p>
                  <w:pPr>
                    <w:pStyle w:val="167"/>
                    <w:adjustRightInd/>
                    <w:snapToGrid/>
                    <w:jc w:val="center"/>
                    <w:rPr>
                      <w:color w:val="auto"/>
                    </w:rPr>
                  </w:pPr>
                  <w:r>
                    <w:rPr>
                      <w:color w:val="auto"/>
                    </w:rPr>
                    <w:t>S5生活垃圾</w:t>
                  </w:r>
                </w:p>
              </w:tc>
              <w:tc>
                <w:tcPr>
                  <w:tcW w:w="3785" w:type="dxa"/>
                  <w:tcBorders>
                    <w:tl2br w:val="nil"/>
                    <w:tr2bl w:val="nil"/>
                  </w:tcBorders>
                  <w:vAlign w:val="center"/>
                </w:tcPr>
                <w:p>
                  <w:pPr>
                    <w:pStyle w:val="167"/>
                    <w:adjustRightInd/>
                    <w:snapToGrid/>
                    <w:jc w:val="center"/>
                    <w:rPr>
                      <w:color w:val="auto"/>
                    </w:rPr>
                  </w:pPr>
                  <w:r>
                    <w:rPr>
                      <w:color w:val="auto"/>
                    </w:rPr>
                    <w:t>员工、顾客产生的生活垃圾</w:t>
                  </w:r>
                </w:p>
              </w:tc>
              <w:tc>
                <w:tcPr>
                  <w:tcW w:w="2450" w:type="dxa"/>
                  <w:tcBorders>
                    <w:tl2br w:val="nil"/>
                    <w:tr2bl w:val="nil"/>
                  </w:tcBorders>
                  <w:vAlign w:val="center"/>
                </w:tcPr>
                <w:p>
                  <w:pPr>
                    <w:pStyle w:val="167"/>
                    <w:adjustRightInd/>
                    <w:snapToGrid/>
                    <w:jc w:val="center"/>
                    <w:rPr>
                      <w:color w:val="auto"/>
                    </w:rPr>
                  </w:pPr>
                  <w:r>
                    <w:rPr>
                      <w:color w:val="auto"/>
                    </w:rPr>
                    <w:t>生活垃圾</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vMerge w:val="continue"/>
                  <w:tcBorders>
                    <w:tl2br w:val="nil"/>
                    <w:tr2bl w:val="nil"/>
                  </w:tcBorders>
                  <w:vAlign w:val="center"/>
                </w:tcPr>
                <w:p>
                  <w:pPr>
                    <w:pStyle w:val="167"/>
                    <w:adjustRightInd/>
                    <w:snapToGrid/>
                    <w:jc w:val="center"/>
                    <w:rPr>
                      <w:color w:val="auto"/>
                    </w:rPr>
                  </w:pPr>
                </w:p>
              </w:tc>
              <w:tc>
                <w:tcPr>
                  <w:tcW w:w="1941" w:type="dxa"/>
                  <w:tcBorders>
                    <w:tl2br w:val="nil"/>
                    <w:tr2bl w:val="nil"/>
                  </w:tcBorders>
                  <w:vAlign w:val="center"/>
                </w:tcPr>
                <w:p>
                  <w:pPr>
                    <w:pStyle w:val="167"/>
                    <w:adjustRightInd/>
                    <w:snapToGrid/>
                    <w:jc w:val="center"/>
                    <w:rPr>
                      <w:color w:val="auto"/>
                    </w:rPr>
                  </w:pPr>
                  <w:r>
                    <w:rPr>
                      <w:color w:val="auto"/>
                    </w:rPr>
                    <w:t>S6废紫外线灯管</w:t>
                  </w:r>
                </w:p>
              </w:tc>
              <w:tc>
                <w:tcPr>
                  <w:tcW w:w="3785" w:type="dxa"/>
                  <w:tcBorders>
                    <w:tl2br w:val="nil"/>
                    <w:tr2bl w:val="nil"/>
                  </w:tcBorders>
                  <w:vAlign w:val="center"/>
                </w:tcPr>
                <w:p>
                  <w:pPr>
                    <w:pStyle w:val="167"/>
                    <w:adjustRightInd/>
                    <w:snapToGrid/>
                    <w:jc w:val="center"/>
                    <w:rPr>
                      <w:color w:val="auto"/>
                    </w:rPr>
                  </w:pPr>
                  <w:r>
                    <w:rPr>
                      <w:color w:val="auto"/>
                      <w:szCs w:val="21"/>
                    </w:rPr>
                    <w:t>紫外消毒灯</w:t>
                  </w:r>
                </w:p>
              </w:tc>
              <w:tc>
                <w:tcPr>
                  <w:tcW w:w="2450" w:type="dxa"/>
                  <w:tcBorders>
                    <w:tl2br w:val="nil"/>
                    <w:tr2bl w:val="nil"/>
                  </w:tcBorders>
                  <w:vAlign w:val="center"/>
                </w:tcPr>
                <w:p>
                  <w:pPr>
                    <w:pStyle w:val="167"/>
                    <w:adjustRightInd/>
                    <w:snapToGrid/>
                    <w:jc w:val="center"/>
                    <w:rPr>
                      <w:color w:val="auto"/>
                    </w:rPr>
                  </w:pPr>
                  <w:r>
                    <w:rPr>
                      <w:color w:val="auto"/>
                    </w:rPr>
                    <w:t>废紫外线灯管</w:t>
                  </w:r>
                </w:p>
              </w:tc>
            </w:tr>
          </w:tbl>
          <w:p>
            <w:pPr>
              <w:adjustRightInd/>
              <w:snapToGrid/>
              <w:ind w:firstLine="480"/>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4" w:hRule="atLeast"/>
          <w:jc w:val="center"/>
        </w:trPr>
        <w:tc>
          <w:tcPr>
            <w:tcW w:w="720" w:type="dxa"/>
            <w:vAlign w:val="center"/>
          </w:tcPr>
          <w:p>
            <w:pPr>
              <w:pStyle w:val="35"/>
              <w:adjustRightInd/>
              <w:snapToGrid/>
              <w:spacing w:before="0" w:beforeAutospacing="0" w:after="0" w:afterAutospacing="0"/>
              <w:ind w:firstLine="0" w:firstLineChars="0"/>
              <w:jc w:val="both"/>
              <w:rPr>
                <w:rFonts w:ascii="Times New Roman" w:hAnsi="Times New Roman"/>
                <w:color w:val="auto"/>
                <w:sz w:val="21"/>
                <w:szCs w:val="21"/>
              </w:rPr>
            </w:pPr>
            <w:r>
              <w:rPr>
                <w:rFonts w:ascii="Times New Roman" w:hAnsi="Times New Roman"/>
                <w:bCs/>
                <w:color w:val="auto"/>
                <w:kern w:val="2"/>
                <w:sz w:val="21"/>
                <w:szCs w:val="21"/>
              </w:rPr>
              <w:t>与项目有关的原有环境污染问题</w:t>
            </w:r>
          </w:p>
        </w:tc>
        <w:tc>
          <w:tcPr>
            <w:tcW w:w="9242" w:type="dxa"/>
            <w:vAlign w:val="center"/>
          </w:tcPr>
          <w:p>
            <w:pPr>
              <w:autoSpaceDE w:val="0"/>
              <w:autoSpaceDN w:val="0"/>
              <w:spacing w:before="120" w:beforeLines="50"/>
              <w:ind w:firstLine="0" w:firstLineChars="0"/>
              <w:rPr>
                <w:b/>
                <w:color w:val="auto"/>
                <w:kern w:val="0"/>
                <w:sz w:val="24"/>
                <w:szCs w:val="21"/>
              </w:rPr>
            </w:pPr>
            <w:r>
              <w:rPr>
                <w:b/>
                <w:color w:val="auto"/>
                <w:kern w:val="0"/>
                <w:sz w:val="24"/>
                <w:szCs w:val="21"/>
              </w:rPr>
              <w:t>与项目有关的原有环境污染问题</w:t>
            </w:r>
          </w:p>
          <w:p>
            <w:pPr>
              <w:tabs>
                <w:tab w:val="left" w:pos="3681"/>
              </w:tabs>
              <w:adjustRightInd/>
              <w:snapToGrid/>
              <w:ind w:firstLine="422"/>
              <w:jc w:val="left"/>
              <w:rPr>
                <w:b/>
                <w:bCs/>
                <w:snapToGrid w:val="0"/>
                <w:color w:val="auto"/>
                <w:kern w:val="0"/>
                <w:szCs w:val="21"/>
              </w:rPr>
            </w:pPr>
            <w:r>
              <w:rPr>
                <w:b/>
                <w:bCs/>
                <w:snapToGrid w:val="0"/>
                <w:color w:val="auto"/>
                <w:kern w:val="0"/>
                <w:szCs w:val="21"/>
              </w:rPr>
              <w:t>1、</w:t>
            </w:r>
            <w:r>
              <w:rPr>
                <w:rFonts w:hint="eastAsia"/>
                <w:b/>
                <w:bCs/>
                <w:snapToGrid w:val="0"/>
                <w:color w:val="auto"/>
                <w:kern w:val="0"/>
                <w:szCs w:val="21"/>
              </w:rPr>
              <w:t>重庆市侏罗纪迅猛龙动物医院有限公司</w:t>
            </w:r>
            <w:r>
              <w:rPr>
                <w:b/>
                <w:bCs/>
                <w:snapToGrid w:val="0"/>
                <w:color w:val="auto"/>
                <w:kern w:val="0"/>
                <w:szCs w:val="21"/>
              </w:rPr>
              <w:t>概况</w:t>
            </w:r>
          </w:p>
          <w:p>
            <w:pPr>
              <w:adjustRightInd/>
              <w:snapToGrid/>
              <w:ind w:firstLine="420"/>
              <w:rPr>
                <w:color w:val="auto"/>
                <w:kern w:val="0"/>
                <w:szCs w:val="21"/>
              </w:rPr>
            </w:pPr>
            <w:r>
              <w:rPr>
                <w:rFonts w:hint="eastAsia"/>
                <w:color w:val="auto"/>
              </w:rPr>
              <w:t>重庆市侏罗纪迅猛龙动物医院有限公司</w:t>
            </w:r>
            <w:r>
              <w:rPr>
                <w:color w:val="auto"/>
                <w:kern w:val="0"/>
                <w:szCs w:val="21"/>
              </w:rPr>
              <w:t>于202</w:t>
            </w:r>
            <w:r>
              <w:rPr>
                <w:rFonts w:hint="eastAsia"/>
                <w:color w:val="auto"/>
                <w:kern w:val="0"/>
                <w:szCs w:val="21"/>
              </w:rPr>
              <w:t>1</w:t>
            </w:r>
            <w:r>
              <w:rPr>
                <w:color w:val="auto"/>
                <w:kern w:val="0"/>
                <w:szCs w:val="21"/>
              </w:rPr>
              <w:t>年</w:t>
            </w:r>
            <w:r>
              <w:rPr>
                <w:rFonts w:hint="eastAsia"/>
                <w:color w:val="auto"/>
                <w:kern w:val="0"/>
                <w:szCs w:val="21"/>
              </w:rPr>
              <w:t>9</w:t>
            </w:r>
            <w:r>
              <w:rPr>
                <w:color w:val="auto"/>
                <w:kern w:val="0"/>
                <w:szCs w:val="21"/>
              </w:rPr>
              <w:t>月开始营业，主要经营范围为动物诊疗、宠物美容等，</w:t>
            </w:r>
            <w:r>
              <w:rPr>
                <w:color w:val="auto"/>
              </w:rPr>
              <w:t>目前宠物医院手术主要开展美容手术（只做新生动物10d内断尾和趾间腺囊肿切除）、感觉器官手术、呼吸系统手术、泌尿生殖系统手术等，不包括动物颅腔、胸腔和腹腔手术</w:t>
            </w:r>
            <w:r>
              <w:rPr>
                <w:color w:val="auto"/>
                <w:kern w:val="0"/>
                <w:szCs w:val="21"/>
              </w:rPr>
              <w:t>。</w:t>
            </w:r>
          </w:p>
          <w:p>
            <w:pPr>
              <w:tabs>
                <w:tab w:val="left" w:pos="3681"/>
              </w:tabs>
              <w:adjustRightInd/>
              <w:snapToGrid/>
              <w:ind w:firstLine="422"/>
              <w:jc w:val="left"/>
              <w:rPr>
                <w:b/>
                <w:bCs/>
                <w:snapToGrid w:val="0"/>
                <w:color w:val="auto"/>
                <w:kern w:val="0"/>
                <w:szCs w:val="21"/>
              </w:rPr>
            </w:pPr>
            <w:r>
              <w:rPr>
                <w:b/>
                <w:bCs/>
                <w:snapToGrid w:val="0"/>
                <w:color w:val="auto"/>
                <w:kern w:val="0"/>
                <w:szCs w:val="21"/>
              </w:rPr>
              <w:t>2、现有工程环保措施</w:t>
            </w:r>
          </w:p>
          <w:p>
            <w:pPr>
              <w:widowControl/>
              <w:adjustRightInd/>
              <w:snapToGrid/>
              <w:ind w:firstLine="422"/>
              <w:jc w:val="left"/>
              <w:rPr>
                <w:color w:val="auto"/>
                <w:szCs w:val="21"/>
              </w:rPr>
            </w:pPr>
            <w:r>
              <w:rPr>
                <w:rFonts w:hint="eastAsia" w:ascii="宋体" w:hAnsi="宋体" w:cs="宋体"/>
                <w:b/>
                <w:bCs/>
                <w:color w:val="auto"/>
                <w:kern w:val="0"/>
                <w:szCs w:val="21"/>
                <w:lang w:bidi="ar"/>
              </w:rPr>
              <w:t>①</w:t>
            </w:r>
            <w:r>
              <w:rPr>
                <w:b/>
                <w:bCs/>
                <w:color w:val="auto"/>
                <w:kern w:val="0"/>
                <w:szCs w:val="21"/>
                <w:lang w:bidi="ar"/>
              </w:rPr>
              <w:t xml:space="preserve">废水 </w:t>
            </w:r>
          </w:p>
          <w:p>
            <w:pPr>
              <w:widowControl/>
              <w:adjustRightInd/>
              <w:snapToGrid/>
              <w:ind w:firstLine="420"/>
              <w:rPr>
                <w:color w:val="auto"/>
                <w:szCs w:val="21"/>
              </w:rPr>
            </w:pPr>
            <w:r>
              <w:rPr>
                <w:color w:val="auto"/>
                <w:kern w:val="0"/>
                <w:szCs w:val="21"/>
                <w:lang w:bidi="ar"/>
              </w:rPr>
              <w:t>经调查，现有项目在化验室设置有一</w:t>
            </w:r>
            <w:r>
              <w:rPr>
                <w:rFonts w:hint="eastAsia"/>
                <w:color w:val="auto"/>
                <w:kern w:val="0"/>
                <w:szCs w:val="21"/>
                <w:lang w:bidi="ar"/>
              </w:rPr>
              <w:t>套</w:t>
            </w:r>
            <w:r>
              <w:rPr>
                <w:color w:val="auto"/>
                <w:kern w:val="0"/>
                <w:szCs w:val="21"/>
                <w:lang w:bidi="ar"/>
              </w:rPr>
              <w:t>医疗废水预处理设施，医疗废水（包括手术器械清洗废水、住院废水、诊疗废水</w:t>
            </w:r>
            <w:r>
              <w:rPr>
                <w:rFonts w:hint="eastAsia"/>
                <w:color w:val="auto"/>
                <w:kern w:val="0"/>
                <w:szCs w:val="21"/>
                <w:lang w:bidi="ar"/>
              </w:rPr>
              <w:t>（含化验废水）</w:t>
            </w:r>
            <w:r>
              <w:rPr>
                <w:color w:val="auto"/>
                <w:kern w:val="0"/>
                <w:szCs w:val="21"/>
                <w:lang w:bidi="ar"/>
              </w:rPr>
              <w:t>）经消毒预</w:t>
            </w:r>
            <w:r>
              <w:rPr>
                <w:rFonts w:hint="eastAsia"/>
                <w:color w:val="auto"/>
                <w:kern w:val="0"/>
                <w:szCs w:val="21"/>
                <w:lang w:bidi="ar"/>
              </w:rPr>
              <w:t>处理</w:t>
            </w:r>
            <w:r>
              <w:rPr>
                <w:color w:val="auto"/>
                <w:kern w:val="0"/>
                <w:szCs w:val="21"/>
                <w:lang w:bidi="ar"/>
              </w:rPr>
              <w:t>后与其他生活污水、洗浴废水一起排入</w:t>
            </w:r>
            <w:r>
              <w:rPr>
                <w:rFonts w:hint="eastAsia"/>
                <w:color w:val="auto"/>
                <w:kern w:val="0"/>
                <w:szCs w:val="21"/>
                <w:lang w:bidi="ar"/>
              </w:rPr>
              <w:t>招商锦星汇</w:t>
            </w:r>
            <w:r>
              <w:rPr>
                <w:color w:val="auto"/>
                <w:kern w:val="0"/>
                <w:szCs w:val="21"/>
                <w:lang w:bidi="ar"/>
              </w:rPr>
              <w:t>生化池处理达《污水综合排放标准》（GB8978-1996）三级标准后排至唐家沱污水处理厂深度处理达《城镇污水处理厂污染物排放标准》（GB 18918-2002）一级 A 标准后，尾水排入长江。</w:t>
            </w:r>
          </w:p>
          <w:p>
            <w:pPr>
              <w:widowControl/>
              <w:adjustRightInd/>
              <w:snapToGrid/>
              <w:ind w:firstLine="422"/>
              <w:jc w:val="left"/>
              <w:rPr>
                <w:color w:val="auto"/>
                <w:szCs w:val="21"/>
              </w:rPr>
            </w:pPr>
            <w:r>
              <w:rPr>
                <w:rFonts w:hint="eastAsia" w:ascii="宋体" w:hAnsi="宋体" w:cs="宋体"/>
                <w:b/>
                <w:bCs/>
                <w:color w:val="auto"/>
                <w:kern w:val="0"/>
                <w:szCs w:val="21"/>
                <w:lang w:bidi="ar"/>
              </w:rPr>
              <w:t>②</w:t>
            </w:r>
            <w:r>
              <w:rPr>
                <w:b/>
                <w:bCs/>
                <w:color w:val="auto"/>
                <w:kern w:val="0"/>
                <w:szCs w:val="21"/>
                <w:lang w:bidi="ar"/>
              </w:rPr>
              <w:t xml:space="preserve">异味 </w:t>
            </w:r>
          </w:p>
          <w:p>
            <w:pPr>
              <w:widowControl/>
              <w:adjustRightInd/>
              <w:snapToGrid/>
              <w:ind w:firstLine="420"/>
              <w:rPr>
                <w:color w:val="auto"/>
                <w:szCs w:val="21"/>
              </w:rPr>
            </w:pPr>
            <w:r>
              <w:rPr>
                <w:color w:val="auto"/>
                <w:kern w:val="0"/>
                <w:szCs w:val="21"/>
                <w:lang w:bidi="ar"/>
              </w:rPr>
              <w:t>项目采用自然通风和</w:t>
            </w:r>
            <w:r>
              <w:rPr>
                <w:rFonts w:hint="eastAsia"/>
                <w:color w:val="auto"/>
              </w:rPr>
              <w:t>新风</w:t>
            </w:r>
            <w:r>
              <w:rPr>
                <w:color w:val="auto"/>
              </w:rPr>
              <w:t>系统</w:t>
            </w:r>
            <w:r>
              <w:rPr>
                <w:color w:val="auto"/>
                <w:kern w:val="0"/>
                <w:szCs w:val="21"/>
                <w:lang w:bidi="ar"/>
              </w:rPr>
              <w:t>结合的形式进行通风；医院设有紫外线灯管消毒杀菌；每天使用 84 消毒液对医院进行消毒；污水处理设施密闭处理。</w:t>
            </w:r>
          </w:p>
          <w:p>
            <w:pPr>
              <w:widowControl/>
              <w:adjustRightInd/>
              <w:snapToGrid/>
              <w:ind w:firstLine="422"/>
              <w:jc w:val="left"/>
              <w:rPr>
                <w:color w:val="auto"/>
                <w:szCs w:val="21"/>
              </w:rPr>
            </w:pPr>
            <w:r>
              <w:rPr>
                <w:rFonts w:hint="eastAsia" w:ascii="宋体" w:hAnsi="宋体" w:cs="宋体"/>
                <w:b/>
                <w:bCs/>
                <w:color w:val="auto"/>
                <w:kern w:val="0"/>
                <w:szCs w:val="21"/>
                <w:lang w:bidi="ar"/>
              </w:rPr>
              <w:t>③</w:t>
            </w:r>
            <w:r>
              <w:rPr>
                <w:b/>
                <w:bCs/>
                <w:color w:val="auto"/>
                <w:kern w:val="0"/>
                <w:szCs w:val="21"/>
                <w:lang w:bidi="ar"/>
              </w:rPr>
              <w:t xml:space="preserve">噪声 </w:t>
            </w:r>
          </w:p>
          <w:p>
            <w:pPr>
              <w:widowControl/>
              <w:adjustRightInd/>
              <w:snapToGrid/>
              <w:ind w:firstLine="420"/>
              <w:rPr>
                <w:color w:val="auto"/>
                <w:szCs w:val="21"/>
              </w:rPr>
            </w:pPr>
            <w:r>
              <w:rPr>
                <w:color w:val="auto"/>
                <w:kern w:val="0"/>
                <w:szCs w:val="21"/>
                <w:lang w:bidi="ar"/>
              </w:rPr>
              <w:t>项目无高噪声设备，主要为</w:t>
            </w:r>
            <w:r>
              <w:rPr>
                <w:rFonts w:hint="eastAsia"/>
                <w:color w:val="auto"/>
                <w:kern w:val="0"/>
                <w:szCs w:val="21"/>
                <w:lang w:bidi="ar"/>
              </w:rPr>
              <w:t>新风系统、空调外机</w:t>
            </w:r>
            <w:r>
              <w:rPr>
                <w:color w:val="auto"/>
                <w:kern w:val="0"/>
                <w:szCs w:val="21"/>
                <w:lang w:bidi="ar"/>
              </w:rPr>
              <w:t>噪声和动物日常偶发噪声。根据重庆智海环保科技有限公司出具的环境噪声监测报告可知，环境保护目标处昼间、夜间噪声均满足《声环境质量标准》（GB 3096-2008）中2类标准要求。</w:t>
            </w:r>
          </w:p>
          <w:p>
            <w:pPr>
              <w:widowControl/>
              <w:adjustRightInd/>
              <w:snapToGrid/>
              <w:ind w:firstLine="422"/>
              <w:jc w:val="left"/>
              <w:rPr>
                <w:color w:val="auto"/>
                <w:szCs w:val="21"/>
              </w:rPr>
            </w:pPr>
            <w:r>
              <w:rPr>
                <w:rFonts w:hint="eastAsia" w:ascii="宋体" w:hAnsi="宋体" w:cs="宋体"/>
                <w:b/>
                <w:bCs/>
                <w:color w:val="auto"/>
                <w:kern w:val="0"/>
                <w:szCs w:val="21"/>
                <w:lang w:bidi="ar"/>
              </w:rPr>
              <w:t>④</w:t>
            </w:r>
            <w:r>
              <w:rPr>
                <w:b/>
                <w:bCs/>
                <w:color w:val="auto"/>
                <w:kern w:val="0"/>
                <w:szCs w:val="21"/>
                <w:lang w:bidi="ar"/>
              </w:rPr>
              <w:t xml:space="preserve">固体废物 </w:t>
            </w:r>
          </w:p>
          <w:p>
            <w:pPr>
              <w:widowControl/>
              <w:adjustRightInd/>
              <w:snapToGrid/>
              <w:ind w:firstLine="420"/>
              <w:jc w:val="left"/>
              <w:rPr>
                <w:color w:val="auto"/>
                <w:kern w:val="0"/>
                <w:szCs w:val="21"/>
                <w:lang w:bidi="ar"/>
              </w:rPr>
            </w:pPr>
            <w:r>
              <w:rPr>
                <w:color w:val="auto"/>
                <w:kern w:val="0"/>
                <w:szCs w:val="21"/>
                <w:lang w:bidi="ar"/>
              </w:rPr>
              <w:t>现有项目产生的固体废物主要包括动物粪污（猫砂和其他动物粪污）、动物毛发、生活垃圾、医疗废物、动物尸体、</w:t>
            </w:r>
            <w:bookmarkStart w:id="7" w:name="OLE_LINK1"/>
            <w:r>
              <w:rPr>
                <w:color w:val="auto"/>
                <w:kern w:val="0"/>
                <w:szCs w:val="21"/>
                <w:lang w:bidi="ar"/>
              </w:rPr>
              <w:t>废紫外线灯管</w:t>
            </w:r>
            <w:bookmarkEnd w:id="7"/>
            <w:r>
              <w:rPr>
                <w:color w:val="auto"/>
                <w:kern w:val="0"/>
                <w:szCs w:val="21"/>
                <w:lang w:bidi="ar"/>
              </w:rPr>
              <w:t>。各废物处置方式见表2-9。</w:t>
            </w:r>
          </w:p>
          <w:p>
            <w:pPr>
              <w:pStyle w:val="234"/>
              <w:adjustRightInd/>
              <w:snapToGrid/>
              <w:spacing w:before="120"/>
              <w:ind w:firstLine="0" w:firstLineChars="0"/>
              <w:rPr>
                <w:color w:val="auto"/>
                <w:kern w:val="0"/>
                <w:szCs w:val="21"/>
                <w:lang w:bidi="ar"/>
              </w:rPr>
            </w:pPr>
            <w:r>
              <w:rPr>
                <w:color w:val="auto"/>
                <w:kern w:val="0"/>
                <w:szCs w:val="21"/>
                <w:lang w:bidi="ar"/>
              </w:rPr>
              <w:t>表2-9  现有项目固体废物处置一览表</w:t>
            </w:r>
          </w:p>
          <w:tbl>
            <w:tblPr>
              <w:tblStyle w:val="41"/>
              <w:tblW w:w="9018"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833"/>
              <w:gridCol w:w="2816"/>
              <w:gridCol w:w="350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64" w:type="dxa"/>
                  <w:tcBorders>
                    <w:tl2br w:val="nil"/>
                    <w:tr2bl w:val="nil"/>
                  </w:tcBorders>
                  <w:vAlign w:val="center"/>
                </w:tcPr>
                <w:p>
                  <w:pPr>
                    <w:widowControl/>
                    <w:adjustRightInd/>
                    <w:snapToGrid/>
                    <w:spacing w:line="240" w:lineRule="auto"/>
                    <w:ind w:firstLine="0" w:firstLineChars="0"/>
                    <w:jc w:val="center"/>
                    <w:rPr>
                      <w:color w:val="auto"/>
                      <w:kern w:val="0"/>
                      <w:szCs w:val="21"/>
                      <w:lang w:bidi="ar"/>
                    </w:rPr>
                  </w:pPr>
                  <w:r>
                    <w:rPr>
                      <w:color w:val="auto"/>
                      <w:kern w:val="0"/>
                      <w:szCs w:val="21"/>
                      <w:lang w:bidi="ar"/>
                    </w:rPr>
                    <w:t>序号</w:t>
                  </w:r>
                </w:p>
              </w:tc>
              <w:tc>
                <w:tcPr>
                  <w:tcW w:w="1833" w:type="dxa"/>
                  <w:tcBorders>
                    <w:tl2br w:val="nil"/>
                    <w:tr2bl w:val="nil"/>
                  </w:tcBorders>
                  <w:vAlign w:val="center"/>
                </w:tcPr>
                <w:p>
                  <w:pPr>
                    <w:widowControl/>
                    <w:adjustRightInd/>
                    <w:snapToGrid/>
                    <w:spacing w:line="240" w:lineRule="auto"/>
                    <w:ind w:firstLine="0" w:firstLineChars="0"/>
                    <w:jc w:val="center"/>
                    <w:rPr>
                      <w:color w:val="auto"/>
                      <w:kern w:val="0"/>
                      <w:szCs w:val="21"/>
                      <w:lang w:bidi="ar"/>
                    </w:rPr>
                  </w:pPr>
                  <w:r>
                    <w:rPr>
                      <w:color w:val="auto"/>
                      <w:kern w:val="0"/>
                      <w:szCs w:val="21"/>
                      <w:lang w:bidi="ar"/>
                    </w:rPr>
                    <w:t>废物类别</w:t>
                  </w:r>
                </w:p>
              </w:tc>
              <w:tc>
                <w:tcPr>
                  <w:tcW w:w="2816" w:type="dxa"/>
                  <w:tcBorders>
                    <w:tl2br w:val="nil"/>
                    <w:tr2bl w:val="nil"/>
                  </w:tcBorders>
                  <w:vAlign w:val="center"/>
                </w:tcPr>
                <w:p>
                  <w:pPr>
                    <w:widowControl/>
                    <w:adjustRightInd/>
                    <w:snapToGrid/>
                    <w:spacing w:line="240" w:lineRule="auto"/>
                    <w:ind w:firstLine="0" w:firstLineChars="0"/>
                    <w:jc w:val="center"/>
                    <w:rPr>
                      <w:color w:val="auto"/>
                      <w:kern w:val="0"/>
                      <w:szCs w:val="21"/>
                      <w:lang w:bidi="ar"/>
                    </w:rPr>
                  </w:pPr>
                  <w:r>
                    <w:rPr>
                      <w:color w:val="auto"/>
                      <w:kern w:val="0"/>
                      <w:szCs w:val="21"/>
                      <w:lang w:bidi="ar"/>
                    </w:rPr>
                    <w:t>处置方式</w:t>
                  </w:r>
                </w:p>
              </w:tc>
              <w:tc>
                <w:tcPr>
                  <w:tcW w:w="3505" w:type="dxa"/>
                  <w:tcBorders>
                    <w:tl2br w:val="nil"/>
                    <w:tr2bl w:val="nil"/>
                  </w:tcBorders>
                  <w:vAlign w:val="center"/>
                </w:tcPr>
                <w:p>
                  <w:pPr>
                    <w:widowControl/>
                    <w:adjustRightInd/>
                    <w:snapToGrid/>
                    <w:spacing w:line="240" w:lineRule="auto"/>
                    <w:ind w:firstLine="0" w:firstLineChars="0"/>
                    <w:jc w:val="center"/>
                    <w:rPr>
                      <w:color w:val="auto"/>
                      <w:kern w:val="0"/>
                      <w:szCs w:val="21"/>
                      <w:lang w:bidi="ar"/>
                    </w:rPr>
                  </w:pPr>
                  <w:r>
                    <w:rPr>
                      <w:color w:val="auto"/>
                      <w:kern w:val="0"/>
                      <w:szCs w:val="21"/>
                      <w:lang w:bidi="ar"/>
                    </w:rPr>
                    <w:t>备注</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64" w:type="dxa"/>
                  <w:tcBorders>
                    <w:tl2br w:val="nil"/>
                    <w:tr2bl w:val="nil"/>
                  </w:tcBorders>
                  <w:vAlign w:val="center"/>
                </w:tcPr>
                <w:p>
                  <w:pPr>
                    <w:widowControl/>
                    <w:adjustRightInd/>
                    <w:snapToGrid/>
                    <w:spacing w:line="240" w:lineRule="auto"/>
                    <w:ind w:firstLine="0" w:firstLineChars="0"/>
                    <w:jc w:val="center"/>
                    <w:rPr>
                      <w:color w:val="auto"/>
                      <w:kern w:val="0"/>
                      <w:szCs w:val="21"/>
                      <w:lang w:bidi="ar"/>
                    </w:rPr>
                  </w:pPr>
                  <w:r>
                    <w:rPr>
                      <w:color w:val="auto"/>
                      <w:kern w:val="0"/>
                      <w:szCs w:val="21"/>
                      <w:lang w:bidi="ar"/>
                    </w:rPr>
                    <w:t>1</w:t>
                  </w:r>
                </w:p>
              </w:tc>
              <w:tc>
                <w:tcPr>
                  <w:tcW w:w="1833" w:type="dxa"/>
                  <w:tcBorders>
                    <w:tl2br w:val="nil"/>
                    <w:tr2bl w:val="nil"/>
                  </w:tcBorders>
                  <w:vAlign w:val="center"/>
                </w:tcPr>
                <w:p>
                  <w:pPr>
                    <w:widowControl/>
                    <w:adjustRightInd/>
                    <w:snapToGrid/>
                    <w:spacing w:line="240" w:lineRule="auto"/>
                    <w:ind w:firstLine="0" w:firstLineChars="0"/>
                    <w:jc w:val="center"/>
                    <w:rPr>
                      <w:color w:val="auto"/>
                      <w:kern w:val="0"/>
                      <w:szCs w:val="21"/>
                      <w:lang w:bidi="ar"/>
                    </w:rPr>
                  </w:pPr>
                  <w:r>
                    <w:rPr>
                      <w:color w:val="auto"/>
                      <w:kern w:val="0"/>
                      <w:szCs w:val="21"/>
                      <w:lang w:bidi="ar"/>
                    </w:rPr>
                    <w:t>动物粪便</w:t>
                  </w:r>
                </w:p>
              </w:tc>
              <w:tc>
                <w:tcPr>
                  <w:tcW w:w="2816" w:type="dxa"/>
                  <w:tcBorders>
                    <w:tl2br w:val="nil"/>
                    <w:tr2bl w:val="nil"/>
                  </w:tcBorders>
                  <w:vAlign w:val="center"/>
                </w:tcPr>
                <w:p>
                  <w:pPr>
                    <w:widowControl/>
                    <w:adjustRightInd/>
                    <w:snapToGrid/>
                    <w:spacing w:line="240" w:lineRule="auto"/>
                    <w:ind w:firstLine="0" w:firstLineChars="0"/>
                    <w:jc w:val="center"/>
                    <w:rPr>
                      <w:color w:val="auto"/>
                      <w:kern w:val="0"/>
                      <w:szCs w:val="21"/>
                      <w:lang w:bidi="ar"/>
                    </w:rPr>
                  </w:pPr>
                  <w:r>
                    <w:rPr>
                      <w:color w:val="auto"/>
                      <w:kern w:val="0"/>
                      <w:szCs w:val="21"/>
                      <w:lang w:bidi="ar"/>
                    </w:rPr>
                    <w:t>消毒后交市政环卫部门统一处置</w:t>
                  </w:r>
                </w:p>
              </w:tc>
              <w:tc>
                <w:tcPr>
                  <w:tcW w:w="3505" w:type="dxa"/>
                  <w:tcBorders>
                    <w:tl2br w:val="nil"/>
                    <w:tr2bl w:val="nil"/>
                  </w:tcBorders>
                  <w:vAlign w:val="center"/>
                </w:tcPr>
                <w:p>
                  <w:pPr>
                    <w:widowControl/>
                    <w:adjustRightInd/>
                    <w:snapToGrid/>
                    <w:spacing w:line="240" w:lineRule="auto"/>
                    <w:ind w:firstLine="0" w:firstLineChars="0"/>
                    <w:jc w:val="center"/>
                    <w:rPr>
                      <w:color w:val="auto"/>
                      <w:kern w:val="0"/>
                      <w:szCs w:val="21"/>
                      <w:lang w:bidi="ar"/>
                    </w:rPr>
                  </w:pPr>
                  <w:r>
                    <w:rPr>
                      <w:color w:val="auto"/>
                      <w:kern w:val="0"/>
                      <w:szCs w:val="21"/>
                      <w:lang w:bidi="ar"/>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64" w:type="dxa"/>
                  <w:tcBorders>
                    <w:tl2br w:val="nil"/>
                    <w:tr2bl w:val="nil"/>
                  </w:tcBorders>
                  <w:vAlign w:val="center"/>
                </w:tcPr>
                <w:p>
                  <w:pPr>
                    <w:widowControl/>
                    <w:adjustRightInd/>
                    <w:snapToGrid/>
                    <w:spacing w:line="240" w:lineRule="auto"/>
                    <w:ind w:firstLine="0" w:firstLineChars="0"/>
                    <w:jc w:val="center"/>
                    <w:rPr>
                      <w:color w:val="auto"/>
                      <w:kern w:val="0"/>
                      <w:szCs w:val="21"/>
                      <w:lang w:bidi="ar"/>
                    </w:rPr>
                  </w:pPr>
                  <w:r>
                    <w:rPr>
                      <w:color w:val="auto"/>
                      <w:kern w:val="0"/>
                      <w:szCs w:val="21"/>
                      <w:lang w:bidi="ar"/>
                    </w:rPr>
                    <w:t>2</w:t>
                  </w:r>
                </w:p>
              </w:tc>
              <w:tc>
                <w:tcPr>
                  <w:tcW w:w="1833" w:type="dxa"/>
                  <w:tcBorders>
                    <w:tl2br w:val="nil"/>
                    <w:tr2bl w:val="nil"/>
                  </w:tcBorders>
                  <w:vAlign w:val="center"/>
                </w:tcPr>
                <w:p>
                  <w:pPr>
                    <w:widowControl/>
                    <w:adjustRightInd/>
                    <w:snapToGrid/>
                    <w:spacing w:line="240" w:lineRule="auto"/>
                    <w:ind w:firstLine="0" w:firstLineChars="0"/>
                    <w:jc w:val="center"/>
                    <w:rPr>
                      <w:color w:val="auto"/>
                      <w:kern w:val="0"/>
                      <w:szCs w:val="21"/>
                      <w:lang w:bidi="ar"/>
                    </w:rPr>
                  </w:pPr>
                  <w:r>
                    <w:rPr>
                      <w:color w:val="auto"/>
                      <w:kern w:val="0"/>
                      <w:szCs w:val="21"/>
                      <w:lang w:bidi="ar"/>
                    </w:rPr>
                    <w:t>动物毛发</w:t>
                  </w:r>
                </w:p>
              </w:tc>
              <w:tc>
                <w:tcPr>
                  <w:tcW w:w="2816" w:type="dxa"/>
                  <w:tcBorders>
                    <w:tl2br w:val="nil"/>
                    <w:tr2bl w:val="nil"/>
                  </w:tcBorders>
                  <w:vAlign w:val="center"/>
                </w:tcPr>
                <w:p>
                  <w:pPr>
                    <w:widowControl/>
                    <w:adjustRightInd/>
                    <w:snapToGrid/>
                    <w:spacing w:line="240" w:lineRule="auto"/>
                    <w:ind w:firstLine="0" w:firstLineChars="0"/>
                    <w:jc w:val="center"/>
                    <w:rPr>
                      <w:color w:val="auto"/>
                      <w:kern w:val="0"/>
                      <w:szCs w:val="21"/>
                      <w:lang w:bidi="ar"/>
                    </w:rPr>
                  </w:pPr>
                  <w:r>
                    <w:rPr>
                      <w:color w:val="auto"/>
                      <w:kern w:val="0"/>
                      <w:szCs w:val="21"/>
                      <w:lang w:bidi="ar"/>
                    </w:rPr>
                    <w:t>交市政环卫部门统一处置</w:t>
                  </w:r>
                </w:p>
              </w:tc>
              <w:tc>
                <w:tcPr>
                  <w:tcW w:w="3505" w:type="dxa"/>
                  <w:tcBorders>
                    <w:tl2br w:val="nil"/>
                    <w:tr2bl w:val="nil"/>
                  </w:tcBorders>
                  <w:vAlign w:val="center"/>
                </w:tcPr>
                <w:p>
                  <w:pPr>
                    <w:widowControl/>
                    <w:adjustRightInd/>
                    <w:snapToGrid/>
                    <w:spacing w:line="240" w:lineRule="auto"/>
                    <w:ind w:firstLine="0" w:firstLineChars="0"/>
                    <w:jc w:val="center"/>
                    <w:rPr>
                      <w:color w:val="auto"/>
                      <w:kern w:val="0"/>
                      <w:szCs w:val="21"/>
                      <w:lang w:bidi="ar"/>
                    </w:rPr>
                  </w:pPr>
                  <w:r>
                    <w:rPr>
                      <w:color w:val="auto"/>
                      <w:kern w:val="0"/>
                      <w:szCs w:val="21"/>
                      <w:lang w:bidi="ar"/>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64" w:type="dxa"/>
                  <w:tcBorders>
                    <w:tl2br w:val="nil"/>
                    <w:tr2bl w:val="nil"/>
                  </w:tcBorders>
                  <w:vAlign w:val="center"/>
                </w:tcPr>
                <w:p>
                  <w:pPr>
                    <w:widowControl/>
                    <w:adjustRightInd/>
                    <w:snapToGrid/>
                    <w:spacing w:line="240" w:lineRule="auto"/>
                    <w:ind w:firstLine="0" w:firstLineChars="0"/>
                    <w:jc w:val="center"/>
                    <w:rPr>
                      <w:color w:val="auto"/>
                      <w:kern w:val="0"/>
                      <w:szCs w:val="21"/>
                      <w:lang w:bidi="ar"/>
                    </w:rPr>
                  </w:pPr>
                  <w:r>
                    <w:rPr>
                      <w:color w:val="auto"/>
                      <w:kern w:val="0"/>
                      <w:szCs w:val="21"/>
                      <w:lang w:bidi="ar"/>
                    </w:rPr>
                    <w:t>3</w:t>
                  </w:r>
                </w:p>
              </w:tc>
              <w:tc>
                <w:tcPr>
                  <w:tcW w:w="1833" w:type="dxa"/>
                  <w:tcBorders>
                    <w:tl2br w:val="nil"/>
                    <w:tr2bl w:val="nil"/>
                  </w:tcBorders>
                  <w:vAlign w:val="center"/>
                </w:tcPr>
                <w:p>
                  <w:pPr>
                    <w:widowControl/>
                    <w:adjustRightInd/>
                    <w:snapToGrid/>
                    <w:spacing w:line="240" w:lineRule="auto"/>
                    <w:ind w:firstLine="0" w:firstLineChars="0"/>
                    <w:jc w:val="center"/>
                    <w:rPr>
                      <w:color w:val="auto"/>
                      <w:kern w:val="0"/>
                      <w:szCs w:val="21"/>
                      <w:lang w:bidi="ar"/>
                    </w:rPr>
                  </w:pPr>
                  <w:r>
                    <w:rPr>
                      <w:color w:val="auto"/>
                      <w:kern w:val="0"/>
                      <w:szCs w:val="21"/>
                      <w:lang w:bidi="ar"/>
                    </w:rPr>
                    <w:t>生活垃圾</w:t>
                  </w:r>
                </w:p>
              </w:tc>
              <w:tc>
                <w:tcPr>
                  <w:tcW w:w="2816" w:type="dxa"/>
                  <w:tcBorders>
                    <w:tl2br w:val="nil"/>
                    <w:tr2bl w:val="nil"/>
                  </w:tcBorders>
                  <w:vAlign w:val="center"/>
                </w:tcPr>
                <w:p>
                  <w:pPr>
                    <w:widowControl/>
                    <w:adjustRightInd/>
                    <w:snapToGrid/>
                    <w:spacing w:line="240" w:lineRule="auto"/>
                    <w:ind w:firstLine="0" w:firstLineChars="0"/>
                    <w:jc w:val="center"/>
                    <w:rPr>
                      <w:color w:val="auto"/>
                      <w:kern w:val="0"/>
                      <w:szCs w:val="21"/>
                      <w:lang w:bidi="ar"/>
                    </w:rPr>
                  </w:pPr>
                  <w:r>
                    <w:rPr>
                      <w:color w:val="auto"/>
                      <w:kern w:val="0"/>
                      <w:szCs w:val="21"/>
                      <w:lang w:bidi="ar"/>
                    </w:rPr>
                    <w:t>交市政环卫部门统一处置</w:t>
                  </w:r>
                </w:p>
              </w:tc>
              <w:tc>
                <w:tcPr>
                  <w:tcW w:w="3505" w:type="dxa"/>
                  <w:tcBorders>
                    <w:tl2br w:val="nil"/>
                    <w:tr2bl w:val="nil"/>
                  </w:tcBorders>
                  <w:vAlign w:val="center"/>
                </w:tcPr>
                <w:p>
                  <w:pPr>
                    <w:widowControl/>
                    <w:adjustRightInd/>
                    <w:snapToGrid/>
                    <w:spacing w:line="240" w:lineRule="auto"/>
                    <w:ind w:firstLine="0" w:firstLineChars="0"/>
                    <w:jc w:val="center"/>
                    <w:rPr>
                      <w:color w:val="auto"/>
                      <w:kern w:val="0"/>
                      <w:szCs w:val="21"/>
                      <w:lang w:bidi="ar"/>
                    </w:rPr>
                  </w:pPr>
                  <w:r>
                    <w:rPr>
                      <w:color w:val="auto"/>
                      <w:kern w:val="0"/>
                      <w:szCs w:val="21"/>
                      <w:lang w:bidi="ar"/>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64" w:type="dxa"/>
                  <w:tcBorders>
                    <w:tl2br w:val="nil"/>
                    <w:tr2bl w:val="nil"/>
                  </w:tcBorders>
                  <w:vAlign w:val="center"/>
                </w:tcPr>
                <w:p>
                  <w:pPr>
                    <w:widowControl/>
                    <w:adjustRightInd/>
                    <w:snapToGrid/>
                    <w:spacing w:line="240" w:lineRule="auto"/>
                    <w:ind w:firstLine="0" w:firstLineChars="0"/>
                    <w:jc w:val="center"/>
                    <w:rPr>
                      <w:color w:val="auto"/>
                      <w:kern w:val="0"/>
                      <w:szCs w:val="21"/>
                      <w:lang w:bidi="ar"/>
                    </w:rPr>
                  </w:pPr>
                  <w:r>
                    <w:rPr>
                      <w:color w:val="auto"/>
                      <w:kern w:val="0"/>
                      <w:szCs w:val="21"/>
                      <w:lang w:bidi="ar"/>
                    </w:rPr>
                    <w:t>4</w:t>
                  </w:r>
                </w:p>
              </w:tc>
              <w:tc>
                <w:tcPr>
                  <w:tcW w:w="1833" w:type="dxa"/>
                  <w:tcBorders>
                    <w:tl2br w:val="nil"/>
                    <w:tr2bl w:val="nil"/>
                  </w:tcBorders>
                  <w:vAlign w:val="center"/>
                </w:tcPr>
                <w:p>
                  <w:pPr>
                    <w:widowControl/>
                    <w:adjustRightInd/>
                    <w:snapToGrid/>
                    <w:spacing w:line="240" w:lineRule="auto"/>
                    <w:ind w:firstLine="0" w:firstLineChars="0"/>
                    <w:jc w:val="center"/>
                    <w:rPr>
                      <w:color w:val="auto"/>
                      <w:kern w:val="0"/>
                      <w:szCs w:val="21"/>
                      <w:highlight w:val="none"/>
                      <w:lang w:bidi="ar"/>
                    </w:rPr>
                  </w:pPr>
                  <w:r>
                    <w:rPr>
                      <w:color w:val="auto"/>
                      <w:kern w:val="0"/>
                      <w:szCs w:val="21"/>
                      <w:highlight w:val="none"/>
                      <w:lang w:bidi="ar"/>
                    </w:rPr>
                    <w:t>医疗废物</w:t>
                  </w:r>
                </w:p>
              </w:tc>
              <w:tc>
                <w:tcPr>
                  <w:tcW w:w="2816" w:type="dxa"/>
                  <w:tcBorders>
                    <w:tl2br w:val="nil"/>
                    <w:tr2bl w:val="nil"/>
                  </w:tcBorders>
                  <w:vAlign w:val="center"/>
                </w:tcPr>
                <w:p>
                  <w:pPr>
                    <w:widowControl/>
                    <w:adjustRightInd/>
                    <w:snapToGrid/>
                    <w:spacing w:line="240" w:lineRule="auto"/>
                    <w:ind w:firstLine="0" w:firstLineChars="0"/>
                    <w:jc w:val="center"/>
                    <w:rPr>
                      <w:color w:val="auto"/>
                      <w:kern w:val="0"/>
                      <w:szCs w:val="21"/>
                      <w:highlight w:val="none"/>
                      <w:lang w:bidi="ar"/>
                    </w:rPr>
                  </w:pPr>
                  <w:r>
                    <w:rPr>
                      <w:bCs/>
                      <w:color w:val="auto"/>
                      <w:highlight w:val="none"/>
                    </w:rPr>
                    <w:t>交</w:t>
                  </w:r>
                  <w:r>
                    <w:rPr>
                      <w:color w:val="auto"/>
                      <w:kern w:val="0"/>
                      <w:szCs w:val="21"/>
                      <w:highlight w:val="none"/>
                    </w:rPr>
                    <w:t>资质单位处置</w:t>
                  </w:r>
                </w:p>
              </w:tc>
              <w:tc>
                <w:tcPr>
                  <w:tcW w:w="3505" w:type="dxa"/>
                  <w:vMerge w:val="restart"/>
                  <w:tcBorders>
                    <w:tl2br w:val="nil"/>
                    <w:tr2bl w:val="nil"/>
                  </w:tcBorders>
                  <w:vAlign w:val="center"/>
                </w:tcPr>
                <w:p>
                  <w:pPr>
                    <w:widowControl/>
                    <w:adjustRightInd/>
                    <w:snapToGrid/>
                    <w:spacing w:line="240" w:lineRule="auto"/>
                    <w:ind w:firstLine="0" w:firstLineChars="0"/>
                    <w:rPr>
                      <w:color w:val="auto"/>
                      <w:kern w:val="0"/>
                      <w:szCs w:val="21"/>
                      <w:highlight w:val="none"/>
                      <w:lang w:bidi="ar"/>
                    </w:rPr>
                  </w:pPr>
                  <w:r>
                    <w:rPr>
                      <w:rFonts w:hint="eastAsia"/>
                      <w:bCs/>
                      <w:color w:val="auto"/>
                      <w:highlight w:val="none"/>
                    </w:rPr>
                    <w:t>根据调查，现有项目已签订医疗废物处置协议及无害化处置协议。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64" w:type="dxa"/>
                  <w:tcBorders>
                    <w:tl2br w:val="nil"/>
                    <w:tr2bl w:val="nil"/>
                  </w:tcBorders>
                  <w:vAlign w:val="center"/>
                </w:tcPr>
                <w:p>
                  <w:pPr>
                    <w:widowControl/>
                    <w:adjustRightInd/>
                    <w:snapToGrid/>
                    <w:spacing w:line="240" w:lineRule="auto"/>
                    <w:ind w:firstLine="0" w:firstLineChars="0"/>
                    <w:jc w:val="center"/>
                    <w:rPr>
                      <w:color w:val="auto"/>
                      <w:kern w:val="0"/>
                      <w:szCs w:val="21"/>
                      <w:lang w:bidi="ar"/>
                    </w:rPr>
                  </w:pPr>
                  <w:r>
                    <w:rPr>
                      <w:color w:val="auto"/>
                      <w:kern w:val="0"/>
                      <w:szCs w:val="21"/>
                      <w:lang w:bidi="ar"/>
                    </w:rPr>
                    <w:t>5</w:t>
                  </w:r>
                </w:p>
              </w:tc>
              <w:tc>
                <w:tcPr>
                  <w:tcW w:w="1833" w:type="dxa"/>
                  <w:tcBorders>
                    <w:tl2br w:val="nil"/>
                    <w:tr2bl w:val="nil"/>
                  </w:tcBorders>
                  <w:vAlign w:val="center"/>
                </w:tcPr>
                <w:p>
                  <w:pPr>
                    <w:widowControl/>
                    <w:adjustRightInd/>
                    <w:snapToGrid/>
                    <w:spacing w:line="240" w:lineRule="auto"/>
                    <w:ind w:firstLine="0" w:firstLineChars="0"/>
                    <w:jc w:val="center"/>
                    <w:rPr>
                      <w:color w:val="auto"/>
                      <w:kern w:val="0"/>
                      <w:szCs w:val="21"/>
                      <w:highlight w:val="none"/>
                      <w:lang w:bidi="ar"/>
                    </w:rPr>
                  </w:pPr>
                  <w:r>
                    <w:rPr>
                      <w:color w:val="auto"/>
                      <w:kern w:val="0"/>
                      <w:szCs w:val="21"/>
                      <w:highlight w:val="none"/>
                      <w:lang w:bidi="ar"/>
                    </w:rPr>
                    <w:t>动物尸体</w:t>
                  </w:r>
                </w:p>
              </w:tc>
              <w:tc>
                <w:tcPr>
                  <w:tcW w:w="2816" w:type="dxa"/>
                  <w:tcBorders>
                    <w:tl2br w:val="nil"/>
                    <w:tr2bl w:val="nil"/>
                  </w:tcBorders>
                  <w:vAlign w:val="center"/>
                </w:tcPr>
                <w:p>
                  <w:pPr>
                    <w:widowControl/>
                    <w:adjustRightInd/>
                    <w:snapToGrid/>
                    <w:spacing w:line="240" w:lineRule="auto"/>
                    <w:ind w:firstLine="0" w:firstLineChars="0"/>
                    <w:jc w:val="center"/>
                    <w:rPr>
                      <w:color w:val="auto"/>
                      <w:kern w:val="0"/>
                      <w:szCs w:val="21"/>
                      <w:highlight w:val="none"/>
                      <w:lang w:bidi="ar"/>
                    </w:rPr>
                  </w:pPr>
                  <w:r>
                    <w:rPr>
                      <w:color w:val="auto"/>
                      <w:kern w:val="0"/>
                      <w:szCs w:val="21"/>
                      <w:highlight w:val="none"/>
                      <w:lang w:bidi="ar"/>
                    </w:rPr>
                    <w:t>交</w:t>
                  </w:r>
                  <w:r>
                    <w:rPr>
                      <w:color w:val="auto"/>
                      <w:kern w:val="0"/>
                      <w:szCs w:val="21"/>
                      <w:highlight w:val="none"/>
                    </w:rPr>
                    <w:t>资质单位</w:t>
                  </w:r>
                  <w:r>
                    <w:rPr>
                      <w:color w:val="auto"/>
                      <w:kern w:val="0"/>
                      <w:szCs w:val="21"/>
                      <w:highlight w:val="none"/>
                      <w:lang w:bidi="ar"/>
                    </w:rPr>
                    <w:t>无害化处置</w:t>
                  </w:r>
                </w:p>
              </w:tc>
              <w:tc>
                <w:tcPr>
                  <w:tcW w:w="3505" w:type="dxa"/>
                  <w:vMerge w:val="continue"/>
                  <w:tcBorders>
                    <w:tl2br w:val="nil"/>
                    <w:tr2bl w:val="nil"/>
                  </w:tcBorders>
                  <w:vAlign w:val="center"/>
                </w:tcPr>
                <w:p>
                  <w:pPr>
                    <w:widowControl/>
                    <w:adjustRightInd/>
                    <w:snapToGrid/>
                    <w:spacing w:line="240" w:lineRule="auto"/>
                    <w:ind w:firstLine="0" w:firstLineChars="0"/>
                    <w:jc w:val="center"/>
                    <w:rPr>
                      <w:color w:val="auto"/>
                      <w:kern w:val="0"/>
                      <w:szCs w:val="21"/>
                      <w:highlight w:val="none"/>
                      <w:lang w:bidi="ar"/>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64" w:type="dxa"/>
                  <w:tcBorders>
                    <w:tl2br w:val="nil"/>
                    <w:tr2bl w:val="nil"/>
                  </w:tcBorders>
                  <w:vAlign w:val="center"/>
                </w:tcPr>
                <w:p>
                  <w:pPr>
                    <w:widowControl/>
                    <w:adjustRightInd/>
                    <w:snapToGrid/>
                    <w:spacing w:line="240" w:lineRule="auto"/>
                    <w:ind w:firstLine="0" w:firstLineChars="0"/>
                    <w:jc w:val="center"/>
                    <w:rPr>
                      <w:color w:val="auto"/>
                      <w:kern w:val="0"/>
                      <w:szCs w:val="21"/>
                      <w:lang w:bidi="ar"/>
                    </w:rPr>
                  </w:pPr>
                  <w:r>
                    <w:rPr>
                      <w:color w:val="auto"/>
                      <w:kern w:val="0"/>
                      <w:szCs w:val="21"/>
                      <w:lang w:bidi="ar"/>
                    </w:rPr>
                    <w:t>6</w:t>
                  </w:r>
                </w:p>
              </w:tc>
              <w:tc>
                <w:tcPr>
                  <w:tcW w:w="1833" w:type="dxa"/>
                  <w:tcBorders>
                    <w:tl2br w:val="nil"/>
                    <w:tr2bl w:val="nil"/>
                  </w:tcBorders>
                  <w:vAlign w:val="center"/>
                </w:tcPr>
                <w:p>
                  <w:pPr>
                    <w:widowControl/>
                    <w:adjustRightInd/>
                    <w:snapToGrid/>
                    <w:spacing w:line="240" w:lineRule="auto"/>
                    <w:ind w:firstLine="0" w:firstLineChars="0"/>
                    <w:jc w:val="center"/>
                    <w:rPr>
                      <w:color w:val="auto"/>
                      <w:kern w:val="0"/>
                      <w:szCs w:val="21"/>
                      <w:highlight w:val="none"/>
                      <w:lang w:bidi="ar"/>
                    </w:rPr>
                  </w:pPr>
                  <w:r>
                    <w:rPr>
                      <w:color w:val="auto"/>
                      <w:kern w:val="0"/>
                      <w:szCs w:val="21"/>
                      <w:highlight w:val="none"/>
                      <w:lang w:bidi="ar"/>
                    </w:rPr>
                    <w:t>废紫外线灯管</w:t>
                  </w:r>
                </w:p>
              </w:tc>
              <w:tc>
                <w:tcPr>
                  <w:tcW w:w="2816" w:type="dxa"/>
                  <w:tcBorders>
                    <w:tl2br w:val="nil"/>
                    <w:tr2bl w:val="nil"/>
                  </w:tcBorders>
                  <w:vAlign w:val="center"/>
                </w:tcPr>
                <w:p>
                  <w:pPr>
                    <w:widowControl/>
                    <w:adjustRightInd/>
                    <w:snapToGrid/>
                    <w:spacing w:line="240" w:lineRule="auto"/>
                    <w:ind w:firstLine="0" w:firstLineChars="0"/>
                    <w:jc w:val="center"/>
                    <w:rPr>
                      <w:color w:val="auto"/>
                      <w:kern w:val="0"/>
                      <w:szCs w:val="21"/>
                      <w:highlight w:val="none"/>
                      <w:lang w:bidi="ar"/>
                    </w:rPr>
                  </w:pPr>
                  <w:r>
                    <w:rPr>
                      <w:color w:val="auto"/>
                      <w:kern w:val="0"/>
                      <w:szCs w:val="21"/>
                      <w:highlight w:val="none"/>
                      <w:lang w:bidi="ar"/>
                    </w:rPr>
                    <w:t>定期更换，交资质单位处置</w:t>
                  </w:r>
                </w:p>
              </w:tc>
              <w:tc>
                <w:tcPr>
                  <w:tcW w:w="3505" w:type="dxa"/>
                  <w:tcBorders>
                    <w:tl2br w:val="nil"/>
                    <w:tr2bl w:val="nil"/>
                  </w:tcBorders>
                  <w:vAlign w:val="center"/>
                </w:tcPr>
                <w:p>
                  <w:pPr>
                    <w:widowControl/>
                    <w:adjustRightInd/>
                    <w:snapToGrid/>
                    <w:spacing w:line="240" w:lineRule="auto"/>
                    <w:ind w:firstLine="0" w:firstLineChars="0"/>
                    <w:rPr>
                      <w:color w:val="auto"/>
                      <w:kern w:val="0"/>
                      <w:szCs w:val="21"/>
                      <w:highlight w:val="none"/>
                      <w:lang w:bidi="ar"/>
                    </w:rPr>
                  </w:pPr>
                  <w:r>
                    <w:rPr>
                      <w:rFonts w:hint="eastAsia"/>
                      <w:color w:val="auto"/>
                      <w:kern w:val="0"/>
                      <w:szCs w:val="21"/>
                      <w:highlight w:val="none"/>
                      <w:lang w:bidi="ar"/>
                    </w:rPr>
                    <w:t>根据建设单位提供</w:t>
                  </w:r>
                  <w:r>
                    <w:rPr>
                      <w:rFonts w:hint="eastAsia"/>
                      <w:bCs/>
                      <w:color w:val="auto"/>
                      <w:highlight w:val="none"/>
                    </w:rPr>
                    <w:t>资料，现有项目在2024年前采用消毒液对院内消毒，2024年1月增设紫外线灯管，并结合消毒液进行消毒工作，紫外线灯管2~3年更换一次，废紫外线灯管产生后交资质单位处置。</w:t>
                  </w:r>
                </w:p>
              </w:tc>
            </w:tr>
          </w:tbl>
          <w:p>
            <w:pPr>
              <w:tabs>
                <w:tab w:val="left" w:pos="3681"/>
              </w:tabs>
              <w:adjustRightInd/>
              <w:snapToGrid/>
              <w:spacing w:before="120" w:beforeLines="50"/>
              <w:ind w:firstLine="422"/>
              <w:jc w:val="left"/>
              <w:rPr>
                <w:b/>
                <w:bCs/>
                <w:snapToGrid w:val="0"/>
                <w:color w:val="auto"/>
                <w:kern w:val="0"/>
                <w:szCs w:val="21"/>
              </w:rPr>
            </w:pPr>
            <w:r>
              <w:rPr>
                <w:b/>
                <w:bCs/>
                <w:snapToGrid w:val="0"/>
                <w:color w:val="auto"/>
                <w:kern w:val="0"/>
                <w:szCs w:val="21"/>
              </w:rPr>
              <w:t xml:space="preserve">3、企业现有环保投诉及主要环保问题 </w:t>
            </w:r>
          </w:p>
          <w:p>
            <w:pPr>
              <w:widowControl/>
              <w:adjustRightInd/>
              <w:snapToGrid/>
              <w:ind w:firstLine="422"/>
              <w:jc w:val="left"/>
              <w:rPr>
                <w:b/>
                <w:color w:val="auto"/>
              </w:rPr>
            </w:pPr>
            <w:r>
              <w:rPr>
                <w:b/>
                <w:color w:val="auto"/>
              </w:rPr>
              <w:t xml:space="preserve">（1）环保投诉情况 </w:t>
            </w:r>
          </w:p>
          <w:p>
            <w:pPr>
              <w:widowControl/>
              <w:adjustRightInd/>
              <w:snapToGrid/>
              <w:ind w:firstLine="420"/>
              <w:rPr>
                <w:color w:val="auto"/>
                <w:szCs w:val="21"/>
                <w:highlight w:val="none"/>
              </w:rPr>
            </w:pPr>
            <w:r>
              <w:rPr>
                <w:color w:val="auto"/>
                <w:kern w:val="0"/>
                <w:szCs w:val="21"/>
                <w:lang w:bidi="ar"/>
              </w:rPr>
              <w:t>本项目位于</w:t>
            </w:r>
            <w:r>
              <w:rPr>
                <w:rFonts w:hint="eastAsia"/>
                <w:color w:val="auto"/>
              </w:rPr>
              <w:t>重庆市江北区观音桥街道渝澳大道72号附14号</w:t>
            </w:r>
            <w:r>
              <w:rPr>
                <w:color w:val="auto"/>
              </w:rPr>
              <w:t xml:space="preserve"> </w:t>
            </w:r>
            <w:r>
              <w:rPr>
                <w:color w:val="auto"/>
                <w:kern w:val="0"/>
                <w:szCs w:val="21"/>
                <w:lang w:bidi="ar"/>
              </w:rPr>
              <w:t>，经调查，企业运行至今未发生环境</w:t>
            </w:r>
            <w:r>
              <w:rPr>
                <w:color w:val="auto"/>
                <w:kern w:val="0"/>
                <w:szCs w:val="21"/>
                <w:highlight w:val="none"/>
                <w:lang w:bidi="ar"/>
              </w:rPr>
              <w:t>污染和环保投诉问题。</w:t>
            </w:r>
          </w:p>
          <w:p>
            <w:pPr>
              <w:widowControl/>
              <w:adjustRightInd/>
              <w:snapToGrid/>
              <w:ind w:firstLine="422"/>
              <w:rPr>
                <w:b/>
                <w:color w:val="auto"/>
                <w:szCs w:val="21"/>
                <w:highlight w:val="none"/>
              </w:rPr>
            </w:pPr>
            <w:r>
              <w:rPr>
                <w:b/>
                <w:color w:val="auto"/>
                <w:kern w:val="0"/>
                <w:szCs w:val="21"/>
                <w:highlight w:val="none"/>
                <w:lang w:bidi="ar"/>
              </w:rPr>
              <w:t>（2）与项目有关的主要环境问题</w:t>
            </w:r>
          </w:p>
          <w:p>
            <w:pPr>
              <w:widowControl/>
              <w:adjustRightInd/>
              <w:snapToGrid/>
              <w:ind w:firstLine="420"/>
              <w:rPr>
                <w:color w:val="auto"/>
                <w:kern w:val="0"/>
                <w:szCs w:val="21"/>
                <w:highlight w:val="none"/>
                <w:lang w:bidi="ar"/>
              </w:rPr>
            </w:pPr>
            <w:r>
              <w:rPr>
                <w:rFonts w:hint="eastAsia"/>
                <w:color w:val="auto"/>
                <w:kern w:val="0"/>
                <w:szCs w:val="21"/>
                <w:highlight w:val="none"/>
                <w:lang w:bidi="ar"/>
              </w:rPr>
              <w:t>现有</w:t>
            </w:r>
            <w:r>
              <w:rPr>
                <w:color w:val="auto"/>
                <w:kern w:val="0"/>
                <w:szCs w:val="21"/>
                <w:highlight w:val="none"/>
                <w:lang w:bidi="ar"/>
              </w:rPr>
              <w:t>项目仅</w:t>
            </w:r>
            <w:r>
              <w:rPr>
                <w:rFonts w:hint="eastAsia"/>
                <w:color w:val="auto"/>
                <w:kern w:val="0"/>
                <w:szCs w:val="21"/>
                <w:highlight w:val="none"/>
                <w:lang w:bidi="ar"/>
              </w:rPr>
              <w:t>在</w:t>
            </w:r>
            <w:r>
              <w:rPr>
                <w:color w:val="auto"/>
                <w:kern w:val="0"/>
                <w:highlight w:val="none"/>
              </w:rPr>
              <w:t>诊室、</w:t>
            </w:r>
            <w:r>
              <w:rPr>
                <w:color w:val="auto"/>
                <w:highlight w:val="none"/>
              </w:rPr>
              <w:t>手术室、住院部等</w:t>
            </w:r>
            <w:r>
              <w:rPr>
                <w:rFonts w:hint="eastAsia"/>
                <w:color w:val="auto"/>
                <w:highlight w:val="none"/>
              </w:rPr>
              <w:t>产生点</w:t>
            </w:r>
            <w:r>
              <w:rPr>
                <w:rFonts w:hint="eastAsia"/>
                <w:color w:val="auto"/>
                <w:kern w:val="0"/>
                <w:szCs w:val="21"/>
                <w:highlight w:val="none"/>
                <w:lang w:bidi="ar"/>
              </w:rPr>
              <w:t>设置医疗废物专用收集桶分类收集</w:t>
            </w:r>
            <w:r>
              <w:rPr>
                <w:color w:val="auto"/>
                <w:kern w:val="0"/>
                <w:szCs w:val="21"/>
                <w:highlight w:val="none"/>
                <w:lang w:bidi="ar"/>
              </w:rPr>
              <w:t>医疗废物</w:t>
            </w:r>
            <w:r>
              <w:rPr>
                <w:rFonts w:hint="eastAsia"/>
                <w:color w:val="auto"/>
                <w:kern w:val="0"/>
                <w:szCs w:val="21"/>
                <w:highlight w:val="none"/>
                <w:lang w:bidi="ar"/>
              </w:rPr>
              <w:t>，未设置危险废物集中贮存点。</w:t>
            </w:r>
          </w:p>
          <w:p>
            <w:pPr>
              <w:widowControl/>
              <w:adjustRightInd/>
              <w:snapToGrid/>
              <w:ind w:firstLine="420"/>
              <w:rPr>
                <w:color w:val="auto"/>
                <w:kern w:val="0"/>
                <w:szCs w:val="21"/>
                <w:lang w:bidi="ar"/>
              </w:rPr>
            </w:pPr>
          </w:p>
          <w:p>
            <w:pPr>
              <w:widowControl/>
              <w:adjustRightInd/>
              <w:snapToGrid/>
              <w:ind w:firstLine="420"/>
              <w:rPr>
                <w:color w:val="auto"/>
              </w:rPr>
            </w:pPr>
          </w:p>
        </w:tc>
      </w:tr>
    </w:tbl>
    <w:p>
      <w:pPr>
        <w:pStyle w:val="35"/>
        <w:ind w:firstLine="720"/>
        <w:jc w:val="center"/>
        <w:rPr>
          <w:rFonts w:ascii="Times New Roman" w:hAnsi="Times New Roman"/>
          <w:snapToGrid w:val="0"/>
          <w:color w:val="auto"/>
          <w:sz w:val="36"/>
          <w:szCs w:val="36"/>
        </w:rPr>
        <w:sectPr>
          <w:pgSz w:w="11906" w:h="16838"/>
          <w:pgMar w:top="1440" w:right="1080" w:bottom="1440" w:left="1080" w:header="851" w:footer="851" w:gutter="0"/>
          <w:cols w:space="720" w:num="1"/>
          <w:docGrid w:linePitch="312" w:charSpace="0"/>
        </w:sectPr>
      </w:pPr>
    </w:p>
    <w:p>
      <w:pPr>
        <w:pStyle w:val="5"/>
        <w:rPr>
          <w:rFonts w:eastAsia="宋体"/>
          <w:snapToGrid w:val="0"/>
          <w:color w:val="auto"/>
        </w:rPr>
      </w:pPr>
      <w:r>
        <w:rPr>
          <w:rFonts w:eastAsia="宋体"/>
          <w:snapToGrid w:val="0"/>
          <w:color w:val="auto"/>
        </w:rPr>
        <w:t>三、区域环境质量现状、环境保护目标及评价标准</w:t>
      </w:r>
    </w:p>
    <w:tbl>
      <w:tblPr>
        <w:tblStyle w:val="40"/>
        <w:tblW w:w="99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6" w:hRule="atLeast"/>
          <w:jc w:val="center"/>
        </w:trPr>
        <w:tc>
          <w:tcPr>
            <w:tcW w:w="721" w:type="dxa"/>
            <w:vAlign w:val="center"/>
          </w:tcPr>
          <w:p>
            <w:pPr>
              <w:pStyle w:val="167"/>
              <w:rPr>
                <w:bCs/>
                <w:color w:val="auto"/>
                <w:szCs w:val="21"/>
              </w:rPr>
            </w:pPr>
            <w:r>
              <w:rPr>
                <w:bCs/>
                <w:color w:val="auto"/>
                <w:szCs w:val="21"/>
              </w:rPr>
              <w:t>区域环境质量现状</w:t>
            </w:r>
          </w:p>
        </w:tc>
        <w:tc>
          <w:tcPr>
            <w:tcW w:w="9242" w:type="dxa"/>
            <w:vAlign w:val="center"/>
          </w:tcPr>
          <w:p>
            <w:pPr>
              <w:adjustRightInd/>
              <w:snapToGrid/>
              <w:spacing w:before="120" w:beforeLines="50"/>
              <w:ind w:firstLine="422"/>
              <w:rPr>
                <w:b/>
                <w:color w:val="auto"/>
              </w:rPr>
            </w:pPr>
            <w:r>
              <w:rPr>
                <w:b/>
                <w:color w:val="auto"/>
              </w:rPr>
              <w:t>1、大气环境</w:t>
            </w:r>
          </w:p>
          <w:p>
            <w:pPr>
              <w:adjustRightInd/>
              <w:snapToGrid/>
              <w:ind w:firstLine="420"/>
              <w:rPr>
                <w:color w:val="auto"/>
                <w:kern w:val="0"/>
                <w:szCs w:val="21"/>
              </w:rPr>
            </w:pPr>
            <w:r>
              <w:rPr>
                <w:color w:val="auto"/>
                <w:kern w:val="0"/>
                <w:szCs w:val="21"/>
              </w:rPr>
              <w:t>本项目位于重庆市</w:t>
            </w:r>
            <w:r>
              <w:rPr>
                <w:rFonts w:hint="eastAsia"/>
                <w:color w:val="auto"/>
                <w:kern w:val="0"/>
                <w:szCs w:val="21"/>
              </w:rPr>
              <w:t>江北</w:t>
            </w:r>
            <w:r>
              <w:rPr>
                <w:color w:val="auto"/>
                <w:kern w:val="0"/>
                <w:szCs w:val="21"/>
              </w:rPr>
              <w:t>区，根据《重庆市人民政府关于印发重庆市环境空气质量功能区划分规定的通知》（渝府发</w:t>
            </w:r>
            <w:r>
              <w:rPr>
                <w:color w:val="auto"/>
              </w:rPr>
              <w:t>〔2016〕</w:t>
            </w:r>
            <w:r>
              <w:rPr>
                <w:color w:val="auto"/>
                <w:kern w:val="0"/>
                <w:szCs w:val="21"/>
              </w:rPr>
              <w:t>19号）等相关文件规定，项目所在区域环境空气功能区划为二类区。环境空气质量执行《环境空气质量标准》（GB3095-2012）二级标准。</w:t>
            </w:r>
          </w:p>
          <w:p>
            <w:pPr>
              <w:adjustRightInd/>
              <w:snapToGrid/>
              <w:ind w:firstLine="420"/>
              <w:rPr>
                <w:color w:val="auto"/>
                <w:szCs w:val="21"/>
                <w:highlight w:val="yellow"/>
              </w:rPr>
            </w:pPr>
            <w:r>
              <w:rPr>
                <w:color w:val="auto"/>
                <w:szCs w:val="21"/>
              </w:rPr>
              <w:t>本次评价因子PM</w:t>
            </w:r>
            <w:r>
              <w:rPr>
                <w:color w:val="auto"/>
                <w:szCs w:val="21"/>
                <w:vertAlign w:val="subscript"/>
              </w:rPr>
              <w:t>2.5</w:t>
            </w:r>
            <w:r>
              <w:rPr>
                <w:color w:val="auto"/>
                <w:szCs w:val="21"/>
              </w:rPr>
              <w:t>、PM</w:t>
            </w:r>
            <w:r>
              <w:rPr>
                <w:color w:val="auto"/>
                <w:szCs w:val="21"/>
                <w:vertAlign w:val="subscript"/>
              </w:rPr>
              <w:t>10</w:t>
            </w:r>
            <w:r>
              <w:rPr>
                <w:color w:val="auto"/>
                <w:szCs w:val="21"/>
              </w:rPr>
              <w:t>、SO</w:t>
            </w:r>
            <w:r>
              <w:rPr>
                <w:color w:val="auto"/>
                <w:szCs w:val="21"/>
                <w:vertAlign w:val="subscript"/>
              </w:rPr>
              <w:t>2</w:t>
            </w:r>
            <w:r>
              <w:rPr>
                <w:color w:val="auto"/>
                <w:szCs w:val="21"/>
              </w:rPr>
              <w:t>、NO</w:t>
            </w:r>
            <w:r>
              <w:rPr>
                <w:color w:val="auto"/>
                <w:szCs w:val="21"/>
                <w:vertAlign w:val="subscript"/>
              </w:rPr>
              <w:t>2</w:t>
            </w:r>
            <w:r>
              <w:rPr>
                <w:color w:val="auto"/>
                <w:szCs w:val="21"/>
              </w:rPr>
              <w:t>、O</w:t>
            </w:r>
            <w:r>
              <w:rPr>
                <w:color w:val="auto"/>
                <w:szCs w:val="21"/>
                <w:vertAlign w:val="subscript"/>
              </w:rPr>
              <w:t>3</w:t>
            </w:r>
            <w:r>
              <w:rPr>
                <w:color w:val="auto"/>
                <w:szCs w:val="21"/>
              </w:rPr>
              <w:t>、CO引用</w:t>
            </w:r>
            <w:r>
              <w:rPr>
                <w:rFonts w:hint="eastAsia"/>
                <w:color w:val="auto"/>
                <w:szCs w:val="21"/>
              </w:rPr>
              <w:t>《</w:t>
            </w:r>
            <w:r>
              <w:rPr>
                <w:color w:val="auto"/>
                <w:szCs w:val="21"/>
              </w:rPr>
              <w:t>2023年重庆市生态环境状况公报</w:t>
            </w:r>
            <w:r>
              <w:rPr>
                <w:rFonts w:hint="eastAsia"/>
                <w:color w:val="auto"/>
                <w:szCs w:val="21"/>
              </w:rPr>
              <w:t>》</w:t>
            </w:r>
            <w:r>
              <w:rPr>
                <w:color w:val="auto"/>
                <w:szCs w:val="21"/>
              </w:rPr>
              <w:t>中</w:t>
            </w:r>
            <w:r>
              <w:rPr>
                <w:rFonts w:hint="eastAsia"/>
                <w:color w:val="auto"/>
                <w:szCs w:val="21"/>
              </w:rPr>
              <w:t>江北</w:t>
            </w:r>
            <w:r>
              <w:rPr>
                <w:color w:val="auto"/>
                <w:szCs w:val="21"/>
              </w:rPr>
              <w:t>区环境空气质量现状数据进行分析。区域</w:t>
            </w:r>
            <w:r>
              <w:rPr>
                <w:bCs/>
                <w:color w:val="auto"/>
                <w:szCs w:val="21"/>
              </w:rPr>
              <w:t>基本污染物环境质量现状见表3-1</w:t>
            </w:r>
            <w:r>
              <w:rPr>
                <w:color w:val="auto"/>
                <w:szCs w:val="21"/>
              </w:rPr>
              <w:t>。</w:t>
            </w:r>
          </w:p>
          <w:p>
            <w:pPr>
              <w:tabs>
                <w:tab w:val="left" w:pos="9000"/>
              </w:tabs>
              <w:adjustRightInd/>
              <w:snapToGrid/>
              <w:spacing w:before="120" w:beforeLines="50" w:line="240" w:lineRule="auto"/>
              <w:ind w:firstLine="0" w:firstLineChars="0"/>
              <w:jc w:val="center"/>
              <w:rPr>
                <w:b/>
                <w:color w:val="auto"/>
                <w:szCs w:val="21"/>
              </w:rPr>
            </w:pPr>
            <w:r>
              <w:rPr>
                <w:b/>
                <w:color w:val="auto"/>
                <w:szCs w:val="21"/>
              </w:rPr>
              <w:t>表3-1   基本污染物环境空气质量状况一览表    单位：μg/m</w:t>
            </w:r>
            <w:r>
              <w:rPr>
                <w:b/>
                <w:color w:val="auto"/>
                <w:szCs w:val="21"/>
                <w:vertAlign w:val="superscript"/>
              </w:rPr>
              <w:t>3</w:t>
            </w:r>
          </w:p>
          <w:tbl>
            <w:tblPr>
              <w:tblStyle w:val="40"/>
              <w:tblW w:w="9020"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1959"/>
              <w:gridCol w:w="1272"/>
              <w:gridCol w:w="1503"/>
              <w:gridCol w:w="1503"/>
              <w:gridCol w:w="150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2"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污染物</w:t>
                  </w:r>
                </w:p>
              </w:tc>
              <w:tc>
                <w:tcPr>
                  <w:tcW w:w="1959"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年评价指标</w:t>
                  </w:r>
                </w:p>
              </w:tc>
              <w:tc>
                <w:tcPr>
                  <w:tcW w:w="1272"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现状浓度</w:t>
                  </w:r>
                </w:p>
              </w:tc>
              <w:tc>
                <w:tcPr>
                  <w:tcW w:w="1503"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标准值</w:t>
                  </w:r>
                </w:p>
              </w:tc>
              <w:tc>
                <w:tcPr>
                  <w:tcW w:w="1503"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占标率%</w:t>
                  </w:r>
                </w:p>
              </w:tc>
              <w:tc>
                <w:tcPr>
                  <w:tcW w:w="1501"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2"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bCs/>
                      <w:color w:val="auto"/>
                      <w:kern w:val="28"/>
                    </w:rPr>
                    <w:t>SO</w:t>
                  </w:r>
                  <w:r>
                    <w:rPr>
                      <w:bCs/>
                      <w:color w:val="auto"/>
                      <w:kern w:val="28"/>
                      <w:vertAlign w:val="subscript"/>
                    </w:rPr>
                    <w:t>2</w:t>
                  </w:r>
                </w:p>
              </w:tc>
              <w:tc>
                <w:tcPr>
                  <w:tcW w:w="1959"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年平均质量浓度</w:t>
                  </w:r>
                </w:p>
              </w:tc>
              <w:tc>
                <w:tcPr>
                  <w:tcW w:w="1272"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rFonts w:hint="eastAsia"/>
                      <w:color w:val="auto"/>
                      <w:szCs w:val="21"/>
                    </w:rPr>
                    <w:t>7</w:t>
                  </w:r>
                </w:p>
              </w:tc>
              <w:tc>
                <w:tcPr>
                  <w:tcW w:w="1503"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60</w:t>
                  </w:r>
                </w:p>
              </w:tc>
              <w:tc>
                <w:tcPr>
                  <w:tcW w:w="1503" w:type="dxa"/>
                  <w:tcBorders>
                    <w:tl2br w:val="nil"/>
                    <w:tr2bl w:val="nil"/>
                  </w:tcBorders>
                  <w:shd w:val="clear" w:color="auto" w:fill="auto"/>
                  <w:vAlign w:val="center"/>
                </w:tcPr>
                <w:p>
                  <w:pPr>
                    <w:spacing w:line="240" w:lineRule="auto"/>
                    <w:ind w:firstLine="0" w:firstLineChars="0"/>
                    <w:jc w:val="center"/>
                    <w:rPr>
                      <w:color w:val="auto"/>
                      <w:szCs w:val="21"/>
                    </w:rPr>
                  </w:pPr>
                  <w:r>
                    <w:rPr>
                      <w:rFonts w:hint="eastAsia"/>
                      <w:color w:val="auto"/>
                      <w:szCs w:val="21"/>
                    </w:rPr>
                    <w:t>11.7</w:t>
                  </w:r>
                </w:p>
              </w:tc>
              <w:tc>
                <w:tcPr>
                  <w:tcW w:w="1501" w:type="dxa"/>
                  <w:tcBorders>
                    <w:tl2br w:val="nil"/>
                    <w:tr2bl w:val="nil"/>
                  </w:tcBorders>
                  <w:shd w:val="clear" w:color="auto" w:fill="auto"/>
                  <w:vAlign w:val="center"/>
                </w:tcPr>
                <w:p>
                  <w:pPr>
                    <w:spacing w:line="240" w:lineRule="auto"/>
                    <w:ind w:firstLine="0" w:firstLineChars="0"/>
                    <w:jc w:val="center"/>
                    <w:rPr>
                      <w:color w:val="auto"/>
                      <w:szCs w:val="21"/>
                    </w:rPr>
                  </w:pPr>
                  <w:r>
                    <w:rPr>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2"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bCs/>
                      <w:color w:val="auto"/>
                      <w:kern w:val="28"/>
                    </w:rPr>
                    <w:t>NO</w:t>
                  </w:r>
                  <w:r>
                    <w:rPr>
                      <w:bCs/>
                      <w:color w:val="auto"/>
                      <w:kern w:val="28"/>
                      <w:vertAlign w:val="subscript"/>
                    </w:rPr>
                    <w:t>2</w:t>
                  </w:r>
                </w:p>
              </w:tc>
              <w:tc>
                <w:tcPr>
                  <w:tcW w:w="1959"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年平均质量浓度</w:t>
                  </w:r>
                </w:p>
              </w:tc>
              <w:tc>
                <w:tcPr>
                  <w:tcW w:w="1272"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rFonts w:hint="eastAsia"/>
                      <w:color w:val="auto"/>
                      <w:szCs w:val="21"/>
                    </w:rPr>
                    <w:t>37</w:t>
                  </w:r>
                </w:p>
              </w:tc>
              <w:tc>
                <w:tcPr>
                  <w:tcW w:w="1503"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40</w:t>
                  </w:r>
                </w:p>
              </w:tc>
              <w:tc>
                <w:tcPr>
                  <w:tcW w:w="1503" w:type="dxa"/>
                  <w:tcBorders>
                    <w:tl2br w:val="nil"/>
                    <w:tr2bl w:val="nil"/>
                  </w:tcBorders>
                  <w:shd w:val="clear" w:color="auto" w:fill="auto"/>
                  <w:vAlign w:val="center"/>
                </w:tcPr>
                <w:p>
                  <w:pPr>
                    <w:spacing w:line="240" w:lineRule="auto"/>
                    <w:ind w:firstLine="0" w:firstLineChars="0"/>
                    <w:jc w:val="center"/>
                    <w:rPr>
                      <w:color w:val="auto"/>
                      <w:szCs w:val="21"/>
                    </w:rPr>
                  </w:pPr>
                  <w:r>
                    <w:rPr>
                      <w:rFonts w:hint="eastAsia"/>
                      <w:color w:val="auto"/>
                      <w:szCs w:val="21"/>
                    </w:rPr>
                    <w:t>92.5</w:t>
                  </w:r>
                </w:p>
              </w:tc>
              <w:tc>
                <w:tcPr>
                  <w:tcW w:w="1501" w:type="dxa"/>
                  <w:tcBorders>
                    <w:tl2br w:val="nil"/>
                    <w:tr2bl w:val="nil"/>
                  </w:tcBorders>
                  <w:shd w:val="clear" w:color="auto" w:fill="auto"/>
                  <w:vAlign w:val="center"/>
                </w:tcPr>
                <w:p>
                  <w:pPr>
                    <w:spacing w:line="240" w:lineRule="auto"/>
                    <w:ind w:firstLine="0" w:firstLineChars="0"/>
                    <w:jc w:val="center"/>
                    <w:rPr>
                      <w:color w:val="auto"/>
                      <w:szCs w:val="21"/>
                    </w:rPr>
                  </w:pPr>
                  <w:r>
                    <w:rPr>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2"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bCs/>
                      <w:color w:val="auto"/>
                      <w:kern w:val="28"/>
                    </w:rPr>
                    <w:t>PM</w:t>
                  </w:r>
                  <w:r>
                    <w:rPr>
                      <w:bCs/>
                      <w:color w:val="auto"/>
                      <w:kern w:val="28"/>
                      <w:vertAlign w:val="subscript"/>
                    </w:rPr>
                    <w:t>10</w:t>
                  </w:r>
                </w:p>
              </w:tc>
              <w:tc>
                <w:tcPr>
                  <w:tcW w:w="1959"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年平均质量浓度</w:t>
                  </w:r>
                </w:p>
              </w:tc>
              <w:tc>
                <w:tcPr>
                  <w:tcW w:w="1272"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rFonts w:hint="eastAsia"/>
                      <w:color w:val="auto"/>
                      <w:szCs w:val="21"/>
                    </w:rPr>
                    <w:t>52</w:t>
                  </w:r>
                </w:p>
              </w:tc>
              <w:tc>
                <w:tcPr>
                  <w:tcW w:w="1503"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70</w:t>
                  </w:r>
                </w:p>
              </w:tc>
              <w:tc>
                <w:tcPr>
                  <w:tcW w:w="1503" w:type="dxa"/>
                  <w:tcBorders>
                    <w:tl2br w:val="nil"/>
                    <w:tr2bl w:val="nil"/>
                  </w:tcBorders>
                  <w:shd w:val="clear" w:color="auto" w:fill="auto"/>
                  <w:vAlign w:val="center"/>
                </w:tcPr>
                <w:p>
                  <w:pPr>
                    <w:spacing w:line="240" w:lineRule="auto"/>
                    <w:ind w:firstLine="0" w:firstLineChars="0"/>
                    <w:jc w:val="center"/>
                    <w:rPr>
                      <w:color w:val="auto"/>
                      <w:szCs w:val="21"/>
                    </w:rPr>
                  </w:pPr>
                  <w:r>
                    <w:rPr>
                      <w:rFonts w:hint="eastAsia"/>
                      <w:color w:val="auto"/>
                      <w:szCs w:val="21"/>
                    </w:rPr>
                    <w:t>74.3</w:t>
                  </w:r>
                </w:p>
              </w:tc>
              <w:tc>
                <w:tcPr>
                  <w:tcW w:w="1501" w:type="dxa"/>
                  <w:tcBorders>
                    <w:tl2br w:val="nil"/>
                    <w:tr2bl w:val="nil"/>
                  </w:tcBorders>
                  <w:shd w:val="clear" w:color="auto" w:fill="auto"/>
                  <w:vAlign w:val="center"/>
                </w:tcPr>
                <w:p>
                  <w:pPr>
                    <w:spacing w:line="240" w:lineRule="auto"/>
                    <w:ind w:firstLine="0" w:firstLineChars="0"/>
                    <w:jc w:val="center"/>
                    <w:rPr>
                      <w:color w:val="auto"/>
                      <w:szCs w:val="21"/>
                    </w:rPr>
                  </w:pPr>
                  <w:r>
                    <w:rPr>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2"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bCs/>
                      <w:color w:val="auto"/>
                      <w:kern w:val="28"/>
                    </w:rPr>
                    <w:t>PM</w:t>
                  </w:r>
                  <w:r>
                    <w:rPr>
                      <w:bCs/>
                      <w:color w:val="auto"/>
                      <w:kern w:val="28"/>
                      <w:vertAlign w:val="subscript"/>
                    </w:rPr>
                    <w:t>2.5</w:t>
                  </w:r>
                </w:p>
              </w:tc>
              <w:tc>
                <w:tcPr>
                  <w:tcW w:w="1959"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年平均质量浓度</w:t>
                  </w:r>
                </w:p>
              </w:tc>
              <w:tc>
                <w:tcPr>
                  <w:tcW w:w="1272"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rFonts w:hint="eastAsia"/>
                      <w:color w:val="auto"/>
                      <w:szCs w:val="21"/>
                    </w:rPr>
                    <w:t>35</w:t>
                  </w:r>
                </w:p>
              </w:tc>
              <w:tc>
                <w:tcPr>
                  <w:tcW w:w="1503"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35</w:t>
                  </w:r>
                </w:p>
              </w:tc>
              <w:tc>
                <w:tcPr>
                  <w:tcW w:w="1503" w:type="dxa"/>
                  <w:tcBorders>
                    <w:tl2br w:val="nil"/>
                    <w:tr2bl w:val="nil"/>
                  </w:tcBorders>
                  <w:shd w:val="clear" w:color="auto" w:fill="auto"/>
                  <w:vAlign w:val="center"/>
                </w:tcPr>
                <w:p>
                  <w:pPr>
                    <w:spacing w:line="240" w:lineRule="auto"/>
                    <w:ind w:firstLine="0" w:firstLineChars="0"/>
                    <w:jc w:val="center"/>
                    <w:rPr>
                      <w:color w:val="auto"/>
                      <w:szCs w:val="21"/>
                    </w:rPr>
                  </w:pPr>
                  <w:r>
                    <w:rPr>
                      <w:rFonts w:hint="eastAsia"/>
                      <w:color w:val="auto"/>
                      <w:szCs w:val="21"/>
                    </w:rPr>
                    <w:t>100</w:t>
                  </w:r>
                </w:p>
              </w:tc>
              <w:tc>
                <w:tcPr>
                  <w:tcW w:w="1501" w:type="dxa"/>
                  <w:tcBorders>
                    <w:tl2br w:val="nil"/>
                    <w:tr2bl w:val="nil"/>
                  </w:tcBorders>
                  <w:shd w:val="clear" w:color="auto" w:fill="auto"/>
                  <w:vAlign w:val="center"/>
                </w:tcPr>
                <w:p>
                  <w:pPr>
                    <w:spacing w:line="240" w:lineRule="auto"/>
                    <w:ind w:firstLine="0" w:firstLineChars="0"/>
                    <w:jc w:val="center"/>
                    <w:rPr>
                      <w:b/>
                      <w:color w:val="auto"/>
                      <w:szCs w:val="21"/>
                    </w:rPr>
                  </w:pPr>
                  <w:r>
                    <w:rPr>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2"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CO</w:t>
                  </w:r>
                </w:p>
              </w:tc>
              <w:tc>
                <w:tcPr>
                  <w:tcW w:w="1959" w:type="dxa"/>
                  <w:tcBorders>
                    <w:tl2br w:val="nil"/>
                    <w:tr2bl w:val="nil"/>
                  </w:tcBorders>
                  <w:shd w:val="clear" w:color="auto" w:fill="auto"/>
                  <w:vAlign w:val="center"/>
                </w:tcPr>
                <w:p>
                  <w:pPr>
                    <w:adjustRightInd/>
                    <w:snapToGrid/>
                    <w:spacing w:line="240" w:lineRule="auto"/>
                    <w:ind w:firstLine="0" w:firstLineChars="0"/>
                    <w:jc w:val="center"/>
                    <w:rPr>
                      <w:bCs/>
                      <w:color w:val="auto"/>
                      <w:kern w:val="28"/>
                      <w:szCs w:val="21"/>
                    </w:rPr>
                  </w:pPr>
                  <w:r>
                    <w:rPr>
                      <w:bCs/>
                      <w:color w:val="auto"/>
                      <w:kern w:val="28"/>
                      <w:szCs w:val="21"/>
                    </w:rPr>
                    <w:t>第95百分位数日均浓度的</w:t>
                  </w:r>
                </w:p>
              </w:tc>
              <w:tc>
                <w:tcPr>
                  <w:tcW w:w="1272"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rFonts w:hint="eastAsia"/>
                      <w:color w:val="auto"/>
                      <w:szCs w:val="21"/>
                    </w:rPr>
                    <w:t>1100</w:t>
                  </w:r>
                </w:p>
              </w:tc>
              <w:tc>
                <w:tcPr>
                  <w:tcW w:w="1503"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4000</w:t>
                  </w:r>
                </w:p>
              </w:tc>
              <w:tc>
                <w:tcPr>
                  <w:tcW w:w="1503" w:type="dxa"/>
                  <w:tcBorders>
                    <w:tl2br w:val="nil"/>
                    <w:tr2bl w:val="nil"/>
                  </w:tcBorders>
                  <w:shd w:val="clear" w:color="auto" w:fill="auto"/>
                  <w:vAlign w:val="center"/>
                </w:tcPr>
                <w:p>
                  <w:pPr>
                    <w:spacing w:line="240" w:lineRule="auto"/>
                    <w:ind w:firstLine="0" w:firstLineChars="0"/>
                    <w:jc w:val="center"/>
                    <w:rPr>
                      <w:color w:val="auto"/>
                      <w:szCs w:val="21"/>
                    </w:rPr>
                  </w:pPr>
                  <w:r>
                    <w:rPr>
                      <w:rFonts w:hint="eastAsia"/>
                      <w:color w:val="auto"/>
                      <w:szCs w:val="21"/>
                    </w:rPr>
                    <w:t>27.5</w:t>
                  </w:r>
                </w:p>
              </w:tc>
              <w:tc>
                <w:tcPr>
                  <w:tcW w:w="1501" w:type="dxa"/>
                  <w:tcBorders>
                    <w:tl2br w:val="nil"/>
                    <w:tr2bl w:val="nil"/>
                  </w:tcBorders>
                  <w:shd w:val="clear" w:color="auto" w:fill="auto"/>
                  <w:vAlign w:val="center"/>
                </w:tcPr>
                <w:p>
                  <w:pPr>
                    <w:spacing w:line="240" w:lineRule="auto"/>
                    <w:ind w:firstLine="0" w:firstLineChars="0"/>
                    <w:jc w:val="center"/>
                    <w:rPr>
                      <w:color w:val="auto"/>
                      <w:szCs w:val="21"/>
                    </w:rPr>
                  </w:pPr>
                  <w:r>
                    <w:rPr>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2"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bCs/>
                      <w:color w:val="auto"/>
                      <w:kern w:val="28"/>
                    </w:rPr>
                    <w:t>O</w:t>
                  </w:r>
                  <w:r>
                    <w:rPr>
                      <w:bCs/>
                      <w:color w:val="auto"/>
                      <w:kern w:val="28"/>
                      <w:vertAlign w:val="subscript"/>
                    </w:rPr>
                    <w:t>3</w:t>
                  </w:r>
                </w:p>
              </w:tc>
              <w:tc>
                <w:tcPr>
                  <w:tcW w:w="1959" w:type="dxa"/>
                  <w:tcBorders>
                    <w:tl2br w:val="nil"/>
                    <w:tr2bl w:val="nil"/>
                  </w:tcBorders>
                  <w:shd w:val="clear" w:color="auto" w:fill="auto"/>
                  <w:vAlign w:val="center"/>
                </w:tcPr>
                <w:p>
                  <w:pPr>
                    <w:adjustRightInd/>
                    <w:snapToGrid/>
                    <w:spacing w:line="240" w:lineRule="auto"/>
                    <w:ind w:firstLine="0" w:firstLineChars="0"/>
                    <w:jc w:val="center"/>
                    <w:rPr>
                      <w:bCs/>
                      <w:color w:val="auto"/>
                      <w:kern w:val="28"/>
                      <w:szCs w:val="21"/>
                    </w:rPr>
                  </w:pPr>
                  <w:r>
                    <w:rPr>
                      <w:bCs/>
                      <w:color w:val="auto"/>
                      <w:kern w:val="28"/>
                      <w:szCs w:val="21"/>
                    </w:rPr>
                    <w:t>第90百分位数日最大8h平均浓度</w:t>
                  </w:r>
                </w:p>
              </w:tc>
              <w:tc>
                <w:tcPr>
                  <w:tcW w:w="1272"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rFonts w:hint="eastAsia"/>
                      <w:color w:val="auto"/>
                      <w:szCs w:val="21"/>
                    </w:rPr>
                    <w:t>168</w:t>
                  </w:r>
                </w:p>
              </w:tc>
              <w:tc>
                <w:tcPr>
                  <w:tcW w:w="1503"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160</w:t>
                  </w:r>
                </w:p>
              </w:tc>
              <w:tc>
                <w:tcPr>
                  <w:tcW w:w="1503" w:type="dxa"/>
                  <w:tcBorders>
                    <w:tl2br w:val="nil"/>
                    <w:tr2bl w:val="nil"/>
                  </w:tcBorders>
                  <w:shd w:val="clear" w:color="auto" w:fill="auto"/>
                  <w:vAlign w:val="center"/>
                </w:tcPr>
                <w:p>
                  <w:pPr>
                    <w:spacing w:line="240" w:lineRule="auto"/>
                    <w:ind w:firstLine="0" w:firstLineChars="0"/>
                    <w:jc w:val="center"/>
                    <w:rPr>
                      <w:color w:val="auto"/>
                      <w:szCs w:val="21"/>
                    </w:rPr>
                  </w:pPr>
                  <w:r>
                    <w:rPr>
                      <w:rFonts w:hint="eastAsia"/>
                      <w:color w:val="auto"/>
                      <w:szCs w:val="21"/>
                    </w:rPr>
                    <w:t>105</w:t>
                  </w:r>
                </w:p>
              </w:tc>
              <w:tc>
                <w:tcPr>
                  <w:tcW w:w="1501" w:type="dxa"/>
                  <w:tcBorders>
                    <w:tl2br w:val="nil"/>
                    <w:tr2bl w:val="nil"/>
                  </w:tcBorders>
                  <w:shd w:val="clear" w:color="auto" w:fill="auto"/>
                  <w:vAlign w:val="center"/>
                </w:tcPr>
                <w:p>
                  <w:pPr>
                    <w:spacing w:line="240" w:lineRule="auto"/>
                    <w:ind w:firstLine="0" w:firstLineChars="0"/>
                    <w:jc w:val="center"/>
                    <w:rPr>
                      <w:b/>
                      <w:bCs/>
                      <w:color w:val="auto"/>
                      <w:szCs w:val="21"/>
                    </w:rPr>
                  </w:pPr>
                  <w:r>
                    <w:rPr>
                      <w:rFonts w:hint="eastAsia"/>
                      <w:b/>
                      <w:bCs/>
                      <w:color w:val="auto"/>
                      <w:szCs w:val="21"/>
                    </w:rPr>
                    <w:t>超标</w:t>
                  </w:r>
                </w:p>
              </w:tc>
            </w:tr>
          </w:tbl>
          <w:p>
            <w:pPr>
              <w:adjustRightInd/>
              <w:snapToGrid/>
              <w:ind w:firstLine="444"/>
              <w:rPr>
                <w:color w:val="auto"/>
                <w:szCs w:val="21"/>
              </w:rPr>
            </w:pPr>
            <w:r>
              <w:rPr>
                <w:color w:val="auto"/>
                <w:spacing w:val="6"/>
                <w:szCs w:val="21"/>
              </w:rPr>
              <w:t>由表3-1可知</w:t>
            </w:r>
            <w:r>
              <w:rPr>
                <w:color w:val="auto"/>
                <w:szCs w:val="21"/>
              </w:rPr>
              <w:t>，项目所在区域基本污染物中</w:t>
            </w:r>
            <w:r>
              <w:rPr>
                <w:bCs/>
                <w:color w:val="auto"/>
                <w:szCs w:val="21"/>
              </w:rPr>
              <w:t>SO</w:t>
            </w:r>
            <w:r>
              <w:rPr>
                <w:bCs/>
                <w:color w:val="auto"/>
                <w:szCs w:val="21"/>
                <w:vertAlign w:val="subscript"/>
              </w:rPr>
              <w:t>2</w:t>
            </w:r>
            <w:r>
              <w:rPr>
                <w:bCs/>
                <w:color w:val="auto"/>
                <w:szCs w:val="21"/>
              </w:rPr>
              <w:t>、NO</w:t>
            </w:r>
            <w:r>
              <w:rPr>
                <w:bCs/>
                <w:color w:val="auto"/>
                <w:szCs w:val="21"/>
                <w:vertAlign w:val="subscript"/>
              </w:rPr>
              <w:t>2</w:t>
            </w:r>
            <w:r>
              <w:rPr>
                <w:bCs/>
                <w:color w:val="auto"/>
                <w:szCs w:val="21"/>
              </w:rPr>
              <w:t>、PM</w:t>
            </w:r>
            <w:r>
              <w:rPr>
                <w:bCs/>
                <w:color w:val="auto"/>
                <w:szCs w:val="21"/>
                <w:vertAlign w:val="subscript"/>
              </w:rPr>
              <w:t>10</w:t>
            </w:r>
            <w:r>
              <w:rPr>
                <w:bCs/>
                <w:color w:val="auto"/>
                <w:szCs w:val="21"/>
              </w:rPr>
              <w:t>、PM</w:t>
            </w:r>
            <w:r>
              <w:rPr>
                <w:bCs/>
                <w:color w:val="auto"/>
                <w:szCs w:val="21"/>
                <w:vertAlign w:val="subscript"/>
              </w:rPr>
              <w:t>2.5</w:t>
            </w:r>
            <w:r>
              <w:rPr>
                <w:bCs/>
                <w:color w:val="auto"/>
                <w:szCs w:val="21"/>
              </w:rPr>
              <w:t>、CO、</w:t>
            </w:r>
            <w:r>
              <w:rPr>
                <w:color w:val="auto"/>
                <w:szCs w:val="21"/>
              </w:rPr>
              <w:t>满足《环境空气质量标准》（GB3095-2012）中的二级</w:t>
            </w:r>
            <w:r>
              <w:rPr>
                <w:rFonts w:hint="eastAsia"/>
                <w:color w:val="auto"/>
                <w:szCs w:val="21"/>
              </w:rPr>
              <w:t>标准</w:t>
            </w:r>
            <w:r>
              <w:rPr>
                <w:color w:val="auto"/>
                <w:szCs w:val="21"/>
              </w:rPr>
              <w:t>，</w:t>
            </w:r>
            <w:r>
              <w:rPr>
                <w:bCs/>
                <w:color w:val="auto"/>
                <w:szCs w:val="21"/>
              </w:rPr>
              <w:t>O</w:t>
            </w:r>
            <w:r>
              <w:rPr>
                <w:bCs/>
                <w:color w:val="auto"/>
                <w:szCs w:val="21"/>
                <w:vertAlign w:val="subscript"/>
              </w:rPr>
              <w:t>3</w:t>
            </w:r>
            <w:r>
              <w:rPr>
                <w:rFonts w:hint="eastAsia"/>
                <w:color w:val="auto"/>
                <w:szCs w:val="21"/>
              </w:rPr>
              <w:t>存在超标情况，故本项目所在区域为不</w:t>
            </w:r>
            <w:r>
              <w:rPr>
                <w:color w:val="auto"/>
                <w:szCs w:val="21"/>
              </w:rPr>
              <w:t>达标区。</w:t>
            </w:r>
          </w:p>
          <w:p>
            <w:pPr>
              <w:adjustRightInd/>
              <w:snapToGrid/>
              <w:ind w:firstLine="444"/>
              <w:rPr>
                <w:color w:val="auto"/>
                <w:spacing w:val="6"/>
                <w:szCs w:val="21"/>
              </w:rPr>
            </w:pPr>
            <w:r>
              <w:rPr>
                <w:rFonts w:hint="eastAsia"/>
                <w:color w:val="auto"/>
                <w:spacing w:val="6"/>
                <w:szCs w:val="21"/>
              </w:rPr>
              <w:t>根据《江北区“十四五”生态环境保护规划和二〇三五年远景目标》，内容如下：</w:t>
            </w:r>
          </w:p>
          <w:p>
            <w:pPr>
              <w:adjustRightInd/>
              <w:snapToGrid/>
              <w:ind w:firstLine="444"/>
              <w:rPr>
                <w:color w:val="auto"/>
                <w:spacing w:val="6"/>
                <w:szCs w:val="21"/>
              </w:rPr>
            </w:pPr>
            <w:r>
              <w:rPr>
                <w:rFonts w:hint="eastAsia"/>
                <w:color w:val="auto"/>
                <w:spacing w:val="6"/>
                <w:szCs w:val="21"/>
              </w:rPr>
              <w:t>①推动产业结构调整：严格落实产业准入限制。发挥主体功能定位、生态环境功能定位和“三线一单”在产业布局结构和规模中的基础性约束作用，严格落实长江经济带发展清单硬约束，优化江北生态环境保护“准入清单”。严格限制“两高一资”项目，对国家和重庆市明令禁止的过剩产能项目，不予审批环境影响评价文件；推进产业绿色转型升级。以绿色发展理念引领高质量发展，推动农业、工业、服务业绿色发展；支持环保产业发展。大力发展先进环保技术和设备，推进发展环保材料、环保药剂等环保产品，加快发展家用和商用电器、照明、建材和汽车等高效节能产品，探索发展 环保产业服务体系。</w:t>
            </w:r>
          </w:p>
          <w:p>
            <w:pPr>
              <w:adjustRightInd/>
              <w:snapToGrid/>
              <w:ind w:firstLine="444"/>
              <w:rPr>
                <w:color w:val="auto"/>
                <w:spacing w:val="6"/>
                <w:szCs w:val="21"/>
              </w:rPr>
            </w:pPr>
            <w:r>
              <w:rPr>
                <w:rFonts w:hint="eastAsia"/>
                <w:color w:val="auto"/>
                <w:spacing w:val="6"/>
                <w:szCs w:val="21"/>
              </w:rPr>
              <w:t>②推动绿色低碳发展：推动资源节约利用。继续推行水资源、能耗、建设用地总量、强度“双控”行动；推动碳达峰、碳中和工作。结合市局下达的达峰目标任务，指导工业、能源、交通、建筑、农业和大数据等重点领域编制专项达峰行动方案，制定明确的达峰目标、路线图和实施方案；探索建立碳排放总量控制制度，开展重点企业温室气体排放普查试点，建立项目碳排放与环境影响评价、排污许可联动管理机制。</w:t>
            </w:r>
          </w:p>
          <w:p>
            <w:pPr>
              <w:adjustRightInd/>
              <w:snapToGrid/>
              <w:ind w:firstLine="444"/>
              <w:rPr>
                <w:color w:val="auto"/>
                <w:spacing w:val="6"/>
                <w:szCs w:val="21"/>
              </w:rPr>
            </w:pPr>
            <w:r>
              <w:rPr>
                <w:rFonts w:hint="eastAsia"/>
                <w:color w:val="auto"/>
                <w:spacing w:val="6"/>
                <w:szCs w:val="21"/>
              </w:rPr>
              <w:t>③持续改善大气环境质量：深入治理工业废气。推进锅炉氮氧化物超低排放改造；全面遏制交通污染。大力推广新能源车，公交车、公共用车、市政环卫车、公务车推广使用新能源汽车；严格控制扬尘污染。严格要求施工现场实行封闭施工，落实施工扬尘控制“十项”强制措施；深入管控生活污染。完成市级下达的公共机构食堂油烟整治、餐饮业油烟治理任务；巩固高污染燃料禁燃区整治成果，全域禁止销售和使 用高污染燃料。加强燃放烟花爆竹禁放管理，禁止销售燃放烟花爆竹。禁止露天焚烧行为。</w:t>
            </w:r>
          </w:p>
          <w:p>
            <w:pPr>
              <w:adjustRightInd/>
              <w:snapToGrid/>
              <w:ind w:firstLine="444"/>
              <w:rPr>
                <w:color w:val="auto"/>
                <w:spacing w:val="6"/>
                <w:szCs w:val="21"/>
              </w:rPr>
            </w:pPr>
            <w:r>
              <w:rPr>
                <w:rFonts w:hint="eastAsia"/>
                <w:color w:val="auto"/>
                <w:spacing w:val="6"/>
                <w:szCs w:val="21"/>
              </w:rPr>
              <w:t>在执行相应的整治措施后，可改善区域环境质量达标情况。</w:t>
            </w:r>
          </w:p>
          <w:p>
            <w:pPr>
              <w:ind w:firstLine="422"/>
              <w:rPr>
                <w:b/>
                <w:color w:val="auto"/>
              </w:rPr>
            </w:pPr>
            <w:r>
              <w:rPr>
                <w:b/>
                <w:color w:val="auto"/>
              </w:rPr>
              <w:t>2、地表水环境</w:t>
            </w:r>
          </w:p>
          <w:p>
            <w:pPr>
              <w:ind w:firstLine="420"/>
              <w:rPr>
                <w:color w:val="auto"/>
              </w:rPr>
            </w:pPr>
            <w:r>
              <w:rPr>
                <w:color w:val="auto"/>
              </w:rPr>
              <w:t>项目所在区域受纳水体为长江。根据《重庆市人民政府批转重庆市地表水环境功能类别调整方案的通知》（渝府发〔2012〕4号），</w:t>
            </w:r>
            <w:r>
              <w:rPr>
                <w:rFonts w:hint="eastAsia"/>
                <w:color w:val="auto"/>
              </w:rPr>
              <w:t>项目受纳水域的</w:t>
            </w:r>
            <w:r>
              <w:rPr>
                <w:color w:val="auto"/>
              </w:rPr>
              <w:t>长江</w:t>
            </w:r>
            <w:r>
              <w:rPr>
                <w:rFonts w:hint="eastAsia"/>
                <w:color w:val="auto"/>
              </w:rPr>
              <w:t>干流段</w:t>
            </w:r>
            <w:r>
              <w:rPr>
                <w:color w:val="auto"/>
              </w:rPr>
              <w:t>属于</w:t>
            </w:r>
            <w:r>
              <w:rPr>
                <w:color w:val="auto"/>
                <w:szCs w:val="21"/>
              </w:rPr>
              <w:t>III</w:t>
            </w:r>
            <w:r>
              <w:rPr>
                <w:color w:val="auto"/>
              </w:rPr>
              <w:t>类水域，执行《地表水环境质量标准》（GB3838-2002）</w:t>
            </w:r>
            <w:r>
              <w:rPr>
                <w:rFonts w:hint="eastAsia"/>
                <w:color w:val="auto"/>
              </w:rPr>
              <w:t>Ⅲ</w:t>
            </w:r>
            <w:r>
              <w:rPr>
                <w:color w:val="auto"/>
              </w:rPr>
              <w:t>类水域标准。</w:t>
            </w:r>
          </w:p>
          <w:p>
            <w:pPr>
              <w:ind w:firstLine="420"/>
              <w:rPr>
                <w:color w:val="auto"/>
              </w:rPr>
            </w:pPr>
            <w:r>
              <w:rPr>
                <w:color w:val="auto"/>
              </w:rPr>
              <w:t>项目所在区域地表水体达标情况判定优先采用国务院生态环境保护主管部门统一发布的水环境状况信息。根据重庆市生态环境局公布的《2023重庆市生态环境状况公报》，“长江干流重庆段水质为优，20个监测断面水质均为Ⅱ类。”地表水环境质量总体较好，项目所在的地表水水质达标率为100%。</w:t>
            </w:r>
          </w:p>
          <w:p>
            <w:pPr>
              <w:ind w:firstLine="422"/>
              <w:rPr>
                <w:b/>
                <w:color w:val="auto"/>
                <w:kern w:val="0"/>
              </w:rPr>
            </w:pPr>
            <w:r>
              <w:rPr>
                <w:b/>
                <w:color w:val="auto"/>
                <w:kern w:val="0"/>
              </w:rPr>
              <w:t>3、声</w:t>
            </w:r>
            <w:r>
              <w:rPr>
                <w:b/>
                <w:color w:val="auto"/>
              </w:rPr>
              <w:t>环境</w:t>
            </w:r>
          </w:p>
          <w:p>
            <w:pPr>
              <w:ind w:firstLine="420"/>
              <w:rPr>
                <w:color w:val="auto"/>
                <w:kern w:val="0"/>
              </w:rPr>
            </w:pPr>
            <w:r>
              <w:rPr>
                <w:color w:val="auto"/>
                <w:kern w:val="0"/>
              </w:rPr>
              <w:t>项目位于</w:t>
            </w:r>
            <w:r>
              <w:rPr>
                <w:rFonts w:hint="eastAsia"/>
                <w:color w:val="auto"/>
                <w:kern w:val="0"/>
              </w:rPr>
              <w:t>重庆市江北区观音桥街道渝澳大道72号附14号</w:t>
            </w:r>
            <w:r>
              <w:rPr>
                <w:color w:val="auto"/>
                <w:kern w:val="0"/>
              </w:rPr>
              <w:t xml:space="preserve"> ，根据《重庆市中心城区声环境功能区划分方案（2023年）》</w:t>
            </w:r>
            <w:r>
              <w:rPr>
                <w:rFonts w:hint="eastAsia" w:ascii="Times New Roman" w:hAnsi="Times New Roman" w:eastAsia="宋体" w:cs="Times New Roman"/>
                <w:color w:val="auto"/>
                <w:lang w:val="en-US" w:eastAsia="zh-CN"/>
              </w:rPr>
              <w:t>（渝环〔2023〕61号）</w:t>
            </w:r>
            <w:r>
              <w:rPr>
                <w:color w:val="auto"/>
                <w:kern w:val="0"/>
              </w:rPr>
              <w:t>可知，项目所在区域属于2类声功能区。</w:t>
            </w:r>
          </w:p>
          <w:p>
            <w:pPr>
              <w:ind w:firstLine="420"/>
              <w:rPr>
                <w:color w:val="auto"/>
                <w:kern w:val="0"/>
              </w:rPr>
            </w:pPr>
            <w:r>
              <w:rPr>
                <w:color w:val="auto"/>
                <w:kern w:val="0"/>
              </w:rPr>
              <w:t>根据《建设项目环境影响报告表编制技术指南污染影响类</w:t>
            </w:r>
            <w:r>
              <w:rPr>
                <w:rFonts w:hint="eastAsia"/>
                <w:color w:val="auto"/>
                <w:kern w:val="0"/>
              </w:rPr>
              <w:t>（试行）》</w:t>
            </w:r>
            <w:r>
              <w:rPr>
                <w:color w:val="auto"/>
                <w:kern w:val="0"/>
              </w:rPr>
              <w:t>：“厂界外周边50米范围内存在声环境保护目标的建设项目，应监测保护目标声环境质量现状并评价达标情况。各点位应监测昼夜间噪声，监测时间不少于 1 天，项目夜间不生产则仅监测昼间噪声”。</w:t>
            </w:r>
          </w:p>
          <w:p>
            <w:pPr>
              <w:ind w:firstLine="420"/>
              <w:rPr>
                <w:color w:val="auto"/>
              </w:rPr>
            </w:pPr>
            <w:r>
              <w:rPr>
                <w:color w:val="auto"/>
              </w:rPr>
              <w:t>为了了解项目评价范围内声环境保护目标处的声环境质量现状，本次评价委托重庆智海科技有限责任公司于20</w:t>
            </w:r>
            <w:r>
              <w:rPr>
                <w:rFonts w:hint="eastAsia"/>
                <w:color w:val="auto"/>
              </w:rPr>
              <w:t>25</w:t>
            </w:r>
            <w:r>
              <w:rPr>
                <w:color w:val="auto"/>
              </w:rPr>
              <w:t>年</w:t>
            </w:r>
            <w:r>
              <w:rPr>
                <w:rFonts w:hint="eastAsia"/>
                <w:color w:val="auto"/>
              </w:rPr>
              <w:t>1</w:t>
            </w:r>
            <w:r>
              <w:rPr>
                <w:color w:val="auto"/>
              </w:rPr>
              <w:t>月</w:t>
            </w:r>
            <w:r>
              <w:rPr>
                <w:rFonts w:hint="eastAsia"/>
                <w:color w:val="auto"/>
              </w:rPr>
              <w:t>8</w:t>
            </w:r>
            <w:r>
              <w:rPr>
                <w:color w:val="auto"/>
              </w:rPr>
              <w:t>日进行现场实测，</w:t>
            </w:r>
            <w:r>
              <w:rPr>
                <w:rFonts w:hint="eastAsia"/>
                <w:color w:val="auto"/>
                <w:lang w:val="en-US" w:eastAsia="zh-CN"/>
              </w:rPr>
              <w:t>监测时，宠物医院正常营业，</w:t>
            </w:r>
            <w:r>
              <w:rPr>
                <w:color w:val="auto"/>
              </w:rPr>
              <w:t>具体情况如下：</w:t>
            </w:r>
          </w:p>
          <w:p>
            <w:pPr>
              <w:ind w:firstLine="420"/>
              <w:rPr>
                <w:color w:val="auto"/>
              </w:rPr>
            </w:pPr>
            <w:r>
              <w:rPr>
                <w:color w:val="auto"/>
              </w:rPr>
              <w:t>（1）监测布点：设1个噪声监测点，即N1</w:t>
            </w:r>
            <w:r>
              <w:rPr>
                <w:rFonts w:hint="eastAsia"/>
                <w:color w:val="auto"/>
              </w:rPr>
              <w:t>招商锦星汇1幢</w:t>
            </w:r>
            <w:r>
              <w:rPr>
                <w:color w:val="auto"/>
              </w:rPr>
              <w:t>；</w:t>
            </w:r>
          </w:p>
          <w:p>
            <w:pPr>
              <w:ind w:firstLine="420"/>
              <w:rPr>
                <w:color w:val="auto"/>
              </w:rPr>
            </w:pPr>
            <w:r>
              <w:rPr>
                <w:color w:val="auto"/>
              </w:rPr>
              <w:t>（2）监测项目、监测频率：昼、夜等效A声级；连续监测1天，每天昼间、夜间监测1次；</w:t>
            </w:r>
          </w:p>
          <w:p>
            <w:pPr>
              <w:ind w:firstLine="420"/>
              <w:rPr>
                <w:color w:val="auto"/>
              </w:rPr>
            </w:pPr>
            <w:r>
              <w:rPr>
                <w:color w:val="auto"/>
              </w:rPr>
              <w:t>（3）评价标准：环境噪声执行《声环境质量标准》（GB3096-2008）中2类标准，即昼间：60dB，夜间50dB；</w:t>
            </w:r>
          </w:p>
          <w:p>
            <w:pPr>
              <w:ind w:firstLine="420"/>
              <w:rPr>
                <w:color w:val="auto"/>
              </w:rPr>
            </w:pPr>
            <w:r>
              <w:rPr>
                <w:color w:val="auto"/>
              </w:rPr>
              <w:t>（4）监测结果：监测结果统计如下表。</w:t>
            </w:r>
          </w:p>
          <w:p>
            <w:pPr>
              <w:ind w:firstLine="420"/>
              <w:rPr>
                <w:color w:val="auto"/>
              </w:rPr>
            </w:pPr>
            <w:r>
              <w:rPr>
                <w:color w:val="auto"/>
              </w:rPr>
              <w:t>监测结果统计如下表。</w:t>
            </w:r>
          </w:p>
          <w:p>
            <w:pPr>
              <w:pStyle w:val="234"/>
              <w:spacing w:before="120"/>
              <w:ind w:firstLine="422"/>
              <w:rPr>
                <w:color w:val="auto"/>
              </w:rPr>
            </w:pPr>
            <w:r>
              <w:rPr>
                <w:color w:val="auto"/>
              </w:rPr>
              <w:t>表3-2   环境噪声监测统计结果等效声级    LAeq：dB</w:t>
            </w:r>
          </w:p>
          <w:tbl>
            <w:tblPr>
              <w:tblStyle w:val="40"/>
              <w:tblW w:w="8989"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35"/>
              <w:gridCol w:w="1071"/>
              <w:gridCol w:w="920"/>
              <w:gridCol w:w="888"/>
              <w:gridCol w:w="1080"/>
              <w:gridCol w:w="901"/>
              <w:gridCol w:w="890"/>
              <w:gridCol w:w="110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2135" w:type="dxa"/>
                  <w:vMerge w:val="restart"/>
                  <w:tcBorders>
                    <w:tl2br w:val="nil"/>
                    <w:tr2bl w:val="nil"/>
                  </w:tcBorders>
                  <w:vAlign w:val="center"/>
                </w:tcPr>
                <w:p>
                  <w:pPr>
                    <w:pStyle w:val="242"/>
                    <w:jc w:val="center"/>
                    <w:rPr>
                      <w:color w:val="auto"/>
                      <w:szCs w:val="21"/>
                    </w:rPr>
                  </w:pPr>
                  <w:r>
                    <w:rPr>
                      <w:color w:val="auto"/>
                      <w:szCs w:val="21"/>
                    </w:rPr>
                    <w:t>监测点位</w:t>
                  </w:r>
                </w:p>
              </w:tc>
              <w:tc>
                <w:tcPr>
                  <w:tcW w:w="1071" w:type="dxa"/>
                  <w:vMerge w:val="restart"/>
                  <w:tcBorders>
                    <w:tl2br w:val="nil"/>
                    <w:tr2bl w:val="nil"/>
                  </w:tcBorders>
                  <w:vAlign w:val="center"/>
                </w:tcPr>
                <w:p>
                  <w:pPr>
                    <w:pStyle w:val="242"/>
                    <w:jc w:val="center"/>
                    <w:rPr>
                      <w:color w:val="auto"/>
                      <w:szCs w:val="21"/>
                    </w:rPr>
                  </w:pPr>
                  <w:r>
                    <w:rPr>
                      <w:color w:val="auto"/>
                      <w:szCs w:val="21"/>
                    </w:rPr>
                    <w:t>监测时间</w:t>
                  </w:r>
                </w:p>
              </w:tc>
              <w:tc>
                <w:tcPr>
                  <w:tcW w:w="2888" w:type="dxa"/>
                  <w:gridSpan w:val="3"/>
                  <w:tcBorders>
                    <w:tl2br w:val="nil"/>
                    <w:tr2bl w:val="nil"/>
                  </w:tcBorders>
                  <w:vAlign w:val="center"/>
                </w:tcPr>
                <w:p>
                  <w:pPr>
                    <w:pStyle w:val="242"/>
                    <w:jc w:val="center"/>
                    <w:rPr>
                      <w:color w:val="auto"/>
                      <w:szCs w:val="21"/>
                    </w:rPr>
                  </w:pPr>
                  <w:r>
                    <w:rPr>
                      <w:color w:val="auto"/>
                      <w:szCs w:val="21"/>
                    </w:rPr>
                    <w:t>昼间</w:t>
                  </w:r>
                </w:p>
              </w:tc>
              <w:tc>
                <w:tcPr>
                  <w:tcW w:w="2895" w:type="dxa"/>
                  <w:gridSpan w:val="3"/>
                  <w:tcBorders>
                    <w:tl2br w:val="nil"/>
                    <w:tr2bl w:val="nil"/>
                  </w:tcBorders>
                  <w:shd w:val="clear" w:color="auto" w:fill="auto"/>
                  <w:vAlign w:val="center"/>
                </w:tcPr>
                <w:p>
                  <w:pPr>
                    <w:pStyle w:val="242"/>
                    <w:jc w:val="center"/>
                    <w:rPr>
                      <w:color w:val="auto"/>
                      <w:szCs w:val="21"/>
                    </w:rPr>
                  </w:pPr>
                  <w:r>
                    <w:rPr>
                      <w:rFonts w:hint="eastAsia"/>
                      <w:color w:val="auto"/>
                      <w:szCs w:val="21"/>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2135" w:type="dxa"/>
                  <w:vMerge w:val="continue"/>
                  <w:tcBorders>
                    <w:tl2br w:val="nil"/>
                    <w:tr2bl w:val="nil"/>
                  </w:tcBorders>
                  <w:vAlign w:val="center"/>
                </w:tcPr>
                <w:p>
                  <w:pPr>
                    <w:pStyle w:val="242"/>
                    <w:jc w:val="center"/>
                    <w:rPr>
                      <w:color w:val="auto"/>
                      <w:szCs w:val="21"/>
                    </w:rPr>
                  </w:pPr>
                </w:p>
              </w:tc>
              <w:tc>
                <w:tcPr>
                  <w:tcW w:w="1071" w:type="dxa"/>
                  <w:vMerge w:val="continue"/>
                  <w:tcBorders>
                    <w:tl2br w:val="nil"/>
                    <w:tr2bl w:val="nil"/>
                  </w:tcBorders>
                  <w:vAlign w:val="center"/>
                </w:tcPr>
                <w:p>
                  <w:pPr>
                    <w:pStyle w:val="242"/>
                    <w:jc w:val="center"/>
                    <w:rPr>
                      <w:color w:val="auto"/>
                      <w:szCs w:val="21"/>
                    </w:rPr>
                  </w:pPr>
                </w:p>
              </w:tc>
              <w:tc>
                <w:tcPr>
                  <w:tcW w:w="920" w:type="dxa"/>
                  <w:tcBorders>
                    <w:tl2br w:val="nil"/>
                    <w:tr2bl w:val="nil"/>
                  </w:tcBorders>
                  <w:vAlign w:val="center"/>
                </w:tcPr>
                <w:p>
                  <w:pPr>
                    <w:pStyle w:val="242"/>
                    <w:jc w:val="center"/>
                    <w:rPr>
                      <w:color w:val="auto"/>
                      <w:szCs w:val="21"/>
                    </w:rPr>
                  </w:pPr>
                  <w:r>
                    <w:rPr>
                      <w:color w:val="auto"/>
                      <w:szCs w:val="21"/>
                    </w:rPr>
                    <w:t>监测值</w:t>
                  </w:r>
                </w:p>
              </w:tc>
              <w:tc>
                <w:tcPr>
                  <w:tcW w:w="888" w:type="dxa"/>
                  <w:tcBorders>
                    <w:tl2br w:val="nil"/>
                    <w:tr2bl w:val="nil"/>
                  </w:tcBorders>
                  <w:vAlign w:val="center"/>
                </w:tcPr>
                <w:p>
                  <w:pPr>
                    <w:pStyle w:val="242"/>
                    <w:jc w:val="center"/>
                    <w:rPr>
                      <w:color w:val="auto"/>
                      <w:szCs w:val="21"/>
                    </w:rPr>
                  </w:pPr>
                  <w:r>
                    <w:rPr>
                      <w:color w:val="auto"/>
                      <w:szCs w:val="21"/>
                    </w:rPr>
                    <w:t>标准值</w:t>
                  </w:r>
                </w:p>
              </w:tc>
              <w:tc>
                <w:tcPr>
                  <w:tcW w:w="1080" w:type="dxa"/>
                  <w:tcBorders>
                    <w:tl2br w:val="nil"/>
                    <w:tr2bl w:val="nil"/>
                  </w:tcBorders>
                  <w:vAlign w:val="center"/>
                </w:tcPr>
                <w:p>
                  <w:pPr>
                    <w:pStyle w:val="242"/>
                    <w:jc w:val="center"/>
                    <w:rPr>
                      <w:color w:val="auto"/>
                      <w:szCs w:val="21"/>
                    </w:rPr>
                  </w:pPr>
                  <w:r>
                    <w:rPr>
                      <w:color w:val="auto"/>
                      <w:szCs w:val="21"/>
                    </w:rPr>
                    <w:t>达标情况</w:t>
                  </w:r>
                </w:p>
              </w:tc>
              <w:tc>
                <w:tcPr>
                  <w:tcW w:w="901" w:type="dxa"/>
                  <w:tcBorders>
                    <w:tl2br w:val="nil"/>
                    <w:tr2bl w:val="nil"/>
                  </w:tcBorders>
                  <w:shd w:val="clear" w:color="auto" w:fill="auto"/>
                  <w:vAlign w:val="center"/>
                </w:tcPr>
                <w:p>
                  <w:pPr>
                    <w:pStyle w:val="242"/>
                    <w:jc w:val="center"/>
                    <w:rPr>
                      <w:color w:val="auto"/>
                      <w:szCs w:val="21"/>
                    </w:rPr>
                  </w:pPr>
                  <w:r>
                    <w:rPr>
                      <w:color w:val="auto"/>
                      <w:szCs w:val="21"/>
                    </w:rPr>
                    <w:t>监测值</w:t>
                  </w:r>
                </w:p>
              </w:tc>
              <w:tc>
                <w:tcPr>
                  <w:tcW w:w="890" w:type="dxa"/>
                  <w:tcBorders>
                    <w:tl2br w:val="nil"/>
                    <w:tr2bl w:val="nil"/>
                  </w:tcBorders>
                  <w:shd w:val="clear" w:color="auto" w:fill="auto"/>
                  <w:vAlign w:val="center"/>
                </w:tcPr>
                <w:p>
                  <w:pPr>
                    <w:pStyle w:val="242"/>
                    <w:jc w:val="center"/>
                    <w:rPr>
                      <w:color w:val="auto"/>
                      <w:szCs w:val="21"/>
                    </w:rPr>
                  </w:pPr>
                  <w:r>
                    <w:rPr>
                      <w:color w:val="auto"/>
                      <w:szCs w:val="21"/>
                    </w:rPr>
                    <w:t>标准值</w:t>
                  </w:r>
                </w:p>
              </w:tc>
              <w:tc>
                <w:tcPr>
                  <w:tcW w:w="1104" w:type="dxa"/>
                  <w:tcBorders>
                    <w:tl2br w:val="nil"/>
                    <w:tr2bl w:val="nil"/>
                  </w:tcBorders>
                  <w:shd w:val="clear" w:color="auto" w:fill="auto"/>
                  <w:vAlign w:val="center"/>
                </w:tcPr>
                <w:p>
                  <w:pPr>
                    <w:pStyle w:val="242"/>
                    <w:jc w:val="center"/>
                    <w:rPr>
                      <w:color w:val="auto"/>
                      <w:szCs w:val="21"/>
                    </w:rPr>
                  </w:pPr>
                  <w:r>
                    <w:rPr>
                      <w:color w:val="auto"/>
                      <w:szCs w:val="21"/>
                    </w:rPr>
                    <w:t>达标情况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2135" w:type="dxa"/>
                  <w:tcBorders>
                    <w:tl2br w:val="nil"/>
                    <w:tr2bl w:val="nil"/>
                  </w:tcBorders>
                  <w:vAlign w:val="center"/>
                </w:tcPr>
                <w:p>
                  <w:pPr>
                    <w:pStyle w:val="242"/>
                    <w:jc w:val="center"/>
                    <w:rPr>
                      <w:color w:val="auto"/>
                      <w:szCs w:val="21"/>
                    </w:rPr>
                  </w:pPr>
                  <w:r>
                    <w:rPr>
                      <w:color w:val="auto"/>
                      <w:szCs w:val="21"/>
                    </w:rPr>
                    <w:t>N1</w:t>
                  </w:r>
                  <w:r>
                    <w:rPr>
                      <w:rFonts w:hint="eastAsia"/>
                      <w:color w:val="auto"/>
                      <w:szCs w:val="21"/>
                    </w:rPr>
                    <w:t xml:space="preserve"> 招商锦星汇</w:t>
                  </w:r>
                  <w:r>
                    <w:rPr>
                      <w:color w:val="auto"/>
                      <w:szCs w:val="21"/>
                    </w:rPr>
                    <w:t>1幢</w:t>
                  </w:r>
                </w:p>
              </w:tc>
              <w:tc>
                <w:tcPr>
                  <w:tcW w:w="1071" w:type="dxa"/>
                  <w:tcBorders>
                    <w:tl2br w:val="nil"/>
                    <w:tr2bl w:val="nil"/>
                  </w:tcBorders>
                  <w:vAlign w:val="center"/>
                </w:tcPr>
                <w:p>
                  <w:pPr>
                    <w:pStyle w:val="242"/>
                    <w:jc w:val="center"/>
                    <w:rPr>
                      <w:color w:val="auto"/>
                      <w:szCs w:val="21"/>
                    </w:rPr>
                  </w:pPr>
                  <w:r>
                    <w:rPr>
                      <w:color w:val="auto"/>
                      <w:szCs w:val="21"/>
                    </w:rPr>
                    <w:t>2025年1月8日</w:t>
                  </w:r>
                </w:p>
              </w:tc>
              <w:tc>
                <w:tcPr>
                  <w:tcW w:w="920" w:type="dxa"/>
                  <w:tcBorders>
                    <w:tl2br w:val="nil"/>
                    <w:tr2bl w:val="nil"/>
                  </w:tcBorders>
                  <w:vAlign w:val="center"/>
                </w:tcPr>
                <w:p>
                  <w:pPr>
                    <w:pStyle w:val="242"/>
                    <w:jc w:val="center"/>
                    <w:rPr>
                      <w:color w:val="auto"/>
                      <w:szCs w:val="21"/>
                    </w:rPr>
                  </w:pPr>
                  <w:r>
                    <w:rPr>
                      <w:rFonts w:hint="eastAsia"/>
                      <w:color w:val="auto"/>
                      <w:szCs w:val="21"/>
                    </w:rPr>
                    <w:t>58</w:t>
                  </w:r>
                </w:p>
              </w:tc>
              <w:tc>
                <w:tcPr>
                  <w:tcW w:w="888" w:type="dxa"/>
                  <w:tcBorders>
                    <w:tl2br w:val="nil"/>
                    <w:tr2bl w:val="nil"/>
                  </w:tcBorders>
                  <w:vAlign w:val="center"/>
                </w:tcPr>
                <w:p>
                  <w:pPr>
                    <w:pStyle w:val="242"/>
                    <w:jc w:val="center"/>
                    <w:rPr>
                      <w:color w:val="auto"/>
                      <w:szCs w:val="21"/>
                    </w:rPr>
                  </w:pPr>
                  <w:r>
                    <w:rPr>
                      <w:rFonts w:hint="eastAsia"/>
                      <w:color w:val="auto"/>
                      <w:szCs w:val="21"/>
                    </w:rPr>
                    <w:t>60</w:t>
                  </w:r>
                </w:p>
              </w:tc>
              <w:tc>
                <w:tcPr>
                  <w:tcW w:w="1080" w:type="dxa"/>
                  <w:tcBorders>
                    <w:tl2br w:val="nil"/>
                    <w:tr2bl w:val="nil"/>
                  </w:tcBorders>
                  <w:vAlign w:val="center"/>
                </w:tcPr>
                <w:p>
                  <w:pPr>
                    <w:pStyle w:val="242"/>
                    <w:jc w:val="center"/>
                    <w:rPr>
                      <w:color w:val="auto"/>
                      <w:szCs w:val="21"/>
                    </w:rPr>
                  </w:pPr>
                  <w:r>
                    <w:rPr>
                      <w:color w:val="auto"/>
                      <w:szCs w:val="21"/>
                    </w:rPr>
                    <w:t>达标</w:t>
                  </w:r>
                </w:p>
              </w:tc>
              <w:tc>
                <w:tcPr>
                  <w:tcW w:w="901" w:type="dxa"/>
                  <w:tcBorders>
                    <w:tl2br w:val="nil"/>
                    <w:tr2bl w:val="nil"/>
                  </w:tcBorders>
                  <w:shd w:val="clear" w:color="auto" w:fill="auto"/>
                  <w:vAlign w:val="center"/>
                </w:tcPr>
                <w:p>
                  <w:pPr>
                    <w:pStyle w:val="242"/>
                    <w:jc w:val="center"/>
                    <w:rPr>
                      <w:color w:val="auto"/>
                      <w:szCs w:val="21"/>
                    </w:rPr>
                  </w:pPr>
                  <w:r>
                    <w:rPr>
                      <w:rFonts w:hint="eastAsia"/>
                      <w:color w:val="auto"/>
                      <w:szCs w:val="21"/>
                    </w:rPr>
                    <w:t>44</w:t>
                  </w:r>
                </w:p>
              </w:tc>
              <w:tc>
                <w:tcPr>
                  <w:tcW w:w="890" w:type="dxa"/>
                  <w:tcBorders>
                    <w:tl2br w:val="nil"/>
                    <w:tr2bl w:val="nil"/>
                  </w:tcBorders>
                  <w:shd w:val="clear" w:color="auto" w:fill="auto"/>
                  <w:vAlign w:val="center"/>
                </w:tcPr>
                <w:p>
                  <w:pPr>
                    <w:pStyle w:val="242"/>
                    <w:jc w:val="center"/>
                    <w:rPr>
                      <w:color w:val="auto"/>
                      <w:szCs w:val="21"/>
                    </w:rPr>
                  </w:pPr>
                  <w:r>
                    <w:rPr>
                      <w:rFonts w:hint="eastAsia"/>
                      <w:color w:val="auto"/>
                      <w:szCs w:val="21"/>
                    </w:rPr>
                    <w:t>50</w:t>
                  </w:r>
                </w:p>
              </w:tc>
              <w:tc>
                <w:tcPr>
                  <w:tcW w:w="1104" w:type="dxa"/>
                  <w:tcBorders>
                    <w:tl2br w:val="nil"/>
                    <w:tr2bl w:val="nil"/>
                  </w:tcBorders>
                  <w:shd w:val="clear" w:color="auto" w:fill="auto"/>
                  <w:vAlign w:val="center"/>
                </w:tcPr>
                <w:p>
                  <w:pPr>
                    <w:pStyle w:val="242"/>
                    <w:jc w:val="center"/>
                    <w:rPr>
                      <w:color w:val="auto"/>
                      <w:szCs w:val="21"/>
                    </w:rPr>
                  </w:pPr>
                  <w:r>
                    <w:rPr>
                      <w:color w:val="auto"/>
                      <w:szCs w:val="21"/>
                    </w:rPr>
                    <w:t>达标</w:t>
                  </w:r>
                </w:p>
              </w:tc>
            </w:tr>
          </w:tbl>
          <w:p>
            <w:pPr>
              <w:adjustRightInd/>
              <w:snapToGrid/>
              <w:spacing w:before="120" w:beforeLines="50"/>
              <w:ind w:firstLine="420"/>
              <w:rPr>
                <w:color w:val="auto"/>
                <w:szCs w:val="21"/>
              </w:rPr>
            </w:pPr>
            <w:r>
              <w:rPr>
                <w:color w:val="auto"/>
              </w:rPr>
              <w:t>由监测数据可知，声环境保护目标处昼间、夜间环境噪声均满足《声环境质量标准》（GB3096-2008）中的2类标准要求限值。</w:t>
            </w:r>
          </w:p>
          <w:p>
            <w:pPr>
              <w:ind w:firstLine="422"/>
              <w:rPr>
                <w:b/>
                <w:color w:val="auto"/>
              </w:rPr>
            </w:pPr>
            <w:r>
              <w:rPr>
                <w:b/>
                <w:color w:val="auto"/>
              </w:rPr>
              <w:t>4、生态环境</w:t>
            </w:r>
          </w:p>
          <w:p>
            <w:pPr>
              <w:ind w:firstLine="420"/>
              <w:rPr>
                <w:color w:val="auto"/>
              </w:rPr>
            </w:pPr>
            <w:r>
              <w:rPr>
                <w:color w:val="auto"/>
              </w:rPr>
              <w:t>项目位于</w:t>
            </w:r>
            <w:r>
              <w:rPr>
                <w:rFonts w:hint="eastAsia"/>
                <w:color w:val="auto"/>
              </w:rPr>
              <w:t>重庆市江北区观音桥街道渝澳大道72号附14号</w:t>
            </w:r>
            <w:r>
              <w:rPr>
                <w:color w:val="auto"/>
              </w:rPr>
              <w:t xml:space="preserve"> ，租用现有商业用房进行经营活动，不新增用地，不新建构筑物，项目所在区域属于城市建成区，周围分布为居住小区、商业楼等，评价范围内生态结构较简单、植被稀疏、无珍稀野生动植物分布，无自然保护区、饮用水源地等生态保护区分布。故无需对生态环境进行评价。</w:t>
            </w:r>
          </w:p>
          <w:p>
            <w:pPr>
              <w:ind w:firstLine="422"/>
              <w:rPr>
                <w:b/>
                <w:color w:val="auto"/>
              </w:rPr>
            </w:pPr>
            <w:r>
              <w:rPr>
                <w:b/>
                <w:color w:val="auto"/>
              </w:rPr>
              <w:t>5、电磁辐射</w:t>
            </w:r>
          </w:p>
          <w:p>
            <w:pPr>
              <w:ind w:firstLine="420"/>
              <w:rPr>
                <w:color w:val="auto"/>
              </w:rPr>
            </w:pPr>
            <w:r>
              <w:rPr>
                <w:color w:val="auto"/>
              </w:rPr>
              <w:t>项目不属于新建或改建、扩建广播电台、差转台、电视塔台、卫星地球上行站、雷达等电磁辐射类项目，无需对电磁辐射现状开展监测与评价。</w:t>
            </w:r>
          </w:p>
          <w:p>
            <w:pPr>
              <w:ind w:firstLine="420"/>
              <w:rPr>
                <w:color w:val="auto"/>
              </w:rPr>
            </w:pPr>
            <w:r>
              <w:rPr>
                <w:color w:val="auto"/>
              </w:rPr>
              <w:t>项目配备1台DR</w:t>
            </w:r>
            <w:r>
              <w:rPr>
                <w:rFonts w:hint="eastAsia"/>
                <w:color w:val="auto"/>
              </w:rPr>
              <w:t>机</w:t>
            </w:r>
            <w:r>
              <w:rPr>
                <w:color w:val="auto"/>
              </w:rPr>
              <w:t>，</w:t>
            </w:r>
            <w:r>
              <w:rPr>
                <w:color w:val="auto"/>
                <w:highlight w:val="none"/>
              </w:rPr>
              <w:t>不纳入本次评价</w:t>
            </w:r>
            <w:r>
              <w:rPr>
                <w:color w:val="auto"/>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2" w:hRule="atLeast"/>
          <w:jc w:val="center"/>
        </w:trPr>
        <w:tc>
          <w:tcPr>
            <w:tcW w:w="721" w:type="dxa"/>
            <w:vAlign w:val="center"/>
          </w:tcPr>
          <w:p>
            <w:pPr>
              <w:ind w:firstLine="0" w:firstLineChars="0"/>
              <w:rPr>
                <w:color w:val="auto"/>
                <w:kern w:val="0"/>
                <w:szCs w:val="21"/>
              </w:rPr>
            </w:pPr>
            <w:r>
              <w:rPr>
                <w:color w:val="auto"/>
                <w:kern w:val="0"/>
                <w:szCs w:val="21"/>
              </w:rPr>
              <w:t>环境保护目标</w:t>
            </w:r>
          </w:p>
        </w:tc>
        <w:tc>
          <w:tcPr>
            <w:tcW w:w="9242" w:type="dxa"/>
            <w:vAlign w:val="center"/>
          </w:tcPr>
          <w:p>
            <w:pPr>
              <w:adjustRightInd/>
              <w:snapToGrid/>
              <w:spacing w:before="120" w:beforeLines="50"/>
              <w:ind w:firstLine="422"/>
              <w:rPr>
                <w:b/>
                <w:color w:val="auto"/>
              </w:rPr>
            </w:pPr>
            <w:r>
              <w:rPr>
                <w:b/>
                <w:color w:val="auto"/>
              </w:rPr>
              <w:t>1、大气环境保护目标</w:t>
            </w:r>
          </w:p>
          <w:p>
            <w:pPr>
              <w:ind w:firstLine="420"/>
              <w:rPr>
                <w:color w:val="auto"/>
              </w:rPr>
            </w:pPr>
            <w:r>
              <w:rPr>
                <w:color w:val="auto"/>
              </w:rPr>
              <w:t>项目位于</w:t>
            </w:r>
            <w:r>
              <w:rPr>
                <w:rFonts w:hint="eastAsia"/>
                <w:color w:val="auto"/>
              </w:rPr>
              <w:t>重庆市江北区观音桥街道渝澳大道72号附14号</w:t>
            </w:r>
            <w:r>
              <w:rPr>
                <w:color w:val="auto"/>
              </w:rPr>
              <w:t>，属城市建成区。周边500m范围内无风景名胜区、自然保护区、取水口、饮用水源保护区和重点文物保护单位等环境保护目标，也未发现珍稀动植物和矿产资源等自然资源。500m范围内的大气环境保护目标主要为居住小区、学校、医院等。</w:t>
            </w:r>
          </w:p>
          <w:p>
            <w:pPr>
              <w:ind w:firstLine="420"/>
              <w:rPr>
                <w:color w:val="auto"/>
              </w:rPr>
            </w:pPr>
            <w:r>
              <w:rPr>
                <w:color w:val="auto"/>
              </w:rPr>
              <w:t>大气环境保护目标见表3-3。</w:t>
            </w:r>
          </w:p>
          <w:p>
            <w:pPr>
              <w:adjustRightInd/>
              <w:snapToGrid/>
              <w:spacing w:before="120" w:beforeLines="50" w:line="240" w:lineRule="auto"/>
              <w:ind w:firstLine="0" w:firstLineChars="0"/>
              <w:jc w:val="center"/>
              <w:rPr>
                <w:b/>
                <w:color w:val="auto"/>
                <w:szCs w:val="21"/>
              </w:rPr>
            </w:pPr>
            <w:r>
              <w:rPr>
                <w:b/>
                <w:color w:val="auto"/>
                <w:szCs w:val="21"/>
              </w:rPr>
              <w:t>表3-3   大气环境保护目标一览表</w:t>
            </w:r>
          </w:p>
          <w:tbl>
            <w:tblPr>
              <w:tblStyle w:val="40"/>
              <w:tblW w:w="9004"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27"/>
              <w:gridCol w:w="1304"/>
              <w:gridCol w:w="1096"/>
              <w:gridCol w:w="944"/>
              <w:gridCol w:w="1964"/>
              <w:gridCol w:w="669"/>
              <w:gridCol w:w="664"/>
              <w:gridCol w:w="825"/>
              <w:gridCol w:w="101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vMerge w:val="restart"/>
                  <w:tcBorders>
                    <w:tl2br w:val="nil"/>
                    <w:tr2bl w:val="nil"/>
                  </w:tcBorders>
                  <w:vAlign w:val="center"/>
                </w:tcPr>
                <w:p>
                  <w:pPr>
                    <w:adjustRightInd/>
                    <w:snapToGrid/>
                    <w:spacing w:line="240" w:lineRule="auto"/>
                    <w:ind w:firstLine="0" w:firstLineChars="0"/>
                    <w:jc w:val="center"/>
                    <w:rPr>
                      <w:bCs/>
                      <w:color w:val="auto"/>
                      <w:kern w:val="0"/>
                      <w:szCs w:val="21"/>
                    </w:rPr>
                  </w:pPr>
                  <w:r>
                    <w:rPr>
                      <w:bCs/>
                      <w:color w:val="auto"/>
                      <w:kern w:val="0"/>
                      <w:szCs w:val="21"/>
                    </w:rPr>
                    <w:t>序号</w:t>
                  </w:r>
                </w:p>
              </w:tc>
              <w:tc>
                <w:tcPr>
                  <w:tcW w:w="1304" w:type="dxa"/>
                  <w:vMerge w:val="restart"/>
                  <w:tcBorders>
                    <w:tl2br w:val="nil"/>
                    <w:tr2bl w:val="nil"/>
                  </w:tcBorders>
                  <w:vAlign w:val="center"/>
                </w:tcPr>
                <w:p>
                  <w:pPr>
                    <w:adjustRightInd/>
                    <w:snapToGrid/>
                    <w:spacing w:line="240" w:lineRule="auto"/>
                    <w:ind w:firstLine="0" w:firstLineChars="0"/>
                    <w:jc w:val="center"/>
                    <w:rPr>
                      <w:bCs/>
                      <w:color w:val="auto"/>
                      <w:kern w:val="0"/>
                      <w:szCs w:val="21"/>
                    </w:rPr>
                  </w:pPr>
                  <w:r>
                    <w:rPr>
                      <w:bCs/>
                      <w:color w:val="auto"/>
                      <w:kern w:val="0"/>
                      <w:szCs w:val="21"/>
                    </w:rPr>
                    <w:t>名称</w:t>
                  </w:r>
                </w:p>
              </w:tc>
              <w:tc>
                <w:tcPr>
                  <w:tcW w:w="2040" w:type="dxa"/>
                  <w:gridSpan w:val="2"/>
                  <w:tcBorders>
                    <w:tl2br w:val="nil"/>
                    <w:tr2bl w:val="nil"/>
                  </w:tcBorders>
                  <w:vAlign w:val="center"/>
                </w:tcPr>
                <w:p>
                  <w:pPr>
                    <w:adjustRightInd/>
                    <w:snapToGrid/>
                    <w:spacing w:line="240" w:lineRule="auto"/>
                    <w:ind w:firstLine="0" w:firstLineChars="0"/>
                    <w:jc w:val="center"/>
                    <w:rPr>
                      <w:bCs/>
                      <w:color w:val="auto"/>
                      <w:szCs w:val="21"/>
                    </w:rPr>
                  </w:pPr>
                  <w:r>
                    <w:rPr>
                      <w:bCs/>
                      <w:color w:val="auto"/>
                      <w:szCs w:val="21"/>
                    </w:rPr>
                    <w:t>坐标</w:t>
                  </w:r>
                </w:p>
              </w:tc>
              <w:tc>
                <w:tcPr>
                  <w:tcW w:w="1964" w:type="dxa"/>
                  <w:vMerge w:val="restart"/>
                  <w:tcBorders>
                    <w:tl2br w:val="nil"/>
                    <w:tr2bl w:val="nil"/>
                  </w:tcBorders>
                  <w:vAlign w:val="center"/>
                </w:tcPr>
                <w:p>
                  <w:pPr>
                    <w:adjustRightInd/>
                    <w:snapToGrid/>
                    <w:spacing w:line="240" w:lineRule="auto"/>
                    <w:ind w:firstLine="0" w:firstLineChars="0"/>
                    <w:jc w:val="center"/>
                    <w:rPr>
                      <w:bCs/>
                      <w:color w:val="auto"/>
                      <w:szCs w:val="21"/>
                    </w:rPr>
                  </w:pPr>
                  <w:r>
                    <w:rPr>
                      <w:bCs/>
                      <w:color w:val="auto"/>
                      <w:szCs w:val="21"/>
                    </w:rPr>
                    <w:t>保护对象</w:t>
                  </w:r>
                </w:p>
              </w:tc>
              <w:tc>
                <w:tcPr>
                  <w:tcW w:w="669" w:type="dxa"/>
                  <w:vMerge w:val="restart"/>
                  <w:tcBorders>
                    <w:tl2br w:val="nil"/>
                    <w:tr2bl w:val="nil"/>
                  </w:tcBorders>
                  <w:vAlign w:val="center"/>
                </w:tcPr>
                <w:p>
                  <w:pPr>
                    <w:adjustRightInd/>
                    <w:snapToGrid/>
                    <w:spacing w:line="240" w:lineRule="auto"/>
                    <w:ind w:firstLine="0" w:firstLineChars="0"/>
                    <w:jc w:val="center"/>
                    <w:rPr>
                      <w:bCs/>
                      <w:color w:val="auto"/>
                      <w:kern w:val="0"/>
                      <w:szCs w:val="21"/>
                    </w:rPr>
                  </w:pPr>
                  <w:r>
                    <w:rPr>
                      <w:bCs/>
                      <w:color w:val="auto"/>
                      <w:kern w:val="0"/>
                      <w:szCs w:val="21"/>
                    </w:rPr>
                    <w:t>保护内容</w:t>
                  </w:r>
                </w:p>
              </w:tc>
              <w:tc>
                <w:tcPr>
                  <w:tcW w:w="664" w:type="dxa"/>
                  <w:vMerge w:val="restart"/>
                  <w:tcBorders>
                    <w:tl2br w:val="nil"/>
                    <w:tr2bl w:val="nil"/>
                  </w:tcBorders>
                  <w:vAlign w:val="center"/>
                </w:tcPr>
                <w:p>
                  <w:pPr>
                    <w:adjustRightInd/>
                    <w:snapToGrid/>
                    <w:spacing w:line="240" w:lineRule="auto"/>
                    <w:ind w:firstLine="0" w:firstLineChars="0"/>
                    <w:jc w:val="center"/>
                    <w:rPr>
                      <w:bCs/>
                      <w:color w:val="auto"/>
                      <w:kern w:val="0"/>
                      <w:szCs w:val="21"/>
                    </w:rPr>
                  </w:pPr>
                  <w:r>
                    <w:rPr>
                      <w:bCs/>
                      <w:color w:val="auto"/>
                      <w:kern w:val="0"/>
                      <w:szCs w:val="21"/>
                    </w:rPr>
                    <w:t>环境功能区</w:t>
                  </w:r>
                </w:p>
              </w:tc>
              <w:tc>
                <w:tcPr>
                  <w:tcW w:w="825" w:type="dxa"/>
                  <w:vMerge w:val="restart"/>
                  <w:tcBorders>
                    <w:tl2br w:val="nil"/>
                    <w:tr2bl w:val="nil"/>
                  </w:tcBorders>
                  <w:vAlign w:val="center"/>
                </w:tcPr>
                <w:p>
                  <w:pPr>
                    <w:adjustRightInd/>
                    <w:snapToGrid/>
                    <w:spacing w:line="240" w:lineRule="auto"/>
                    <w:ind w:firstLine="0" w:firstLineChars="0"/>
                    <w:jc w:val="center"/>
                    <w:rPr>
                      <w:bCs/>
                      <w:color w:val="auto"/>
                      <w:kern w:val="0"/>
                      <w:szCs w:val="21"/>
                    </w:rPr>
                  </w:pPr>
                  <w:r>
                    <w:rPr>
                      <w:bCs/>
                      <w:color w:val="auto"/>
                      <w:kern w:val="0"/>
                      <w:szCs w:val="21"/>
                    </w:rPr>
                    <w:t>相对厂界方位</w:t>
                  </w:r>
                </w:p>
              </w:tc>
              <w:tc>
                <w:tcPr>
                  <w:tcW w:w="1011" w:type="dxa"/>
                  <w:vMerge w:val="restart"/>
                  <w:tcBorders>
                    <w:tl2br w:val="nil"/>
                    <w:tr2bl w:val="nil"/>
                  </w:tcBorders>
                  <w:vAlign w:val="center"/>
                </w:tcPr>
                <w:p>
                  <w:pPr>
                    <w:adjustRightInd/>
                    <w:snapToGrid/>
                    <w:spacing w:line="240" w:lineRule="auto"/>
                    <w:ind w:firstLine="0" w:firstLineChars="0"/>
                    <w:jc w:val="center"/>
                    <w:rPr>
                      <w:bCs/>
                      <w:color w:val="auto"/>
                      <w:kern w:val="0"/>
                      <w:szCs w:val="21"/>
                    </w:rPr>
                  </w:pPr>
                  <w:r>
                    <w:rPr>
                      <w:bCs/>
                      <w:color w:val="auto"/>
                      <w:kern w:val="0"/>
                      <w:szCs w:val="21"/>
                    </w:rPr>
                    <w:t>相对厂界距离（m）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vMerge w:val="continue"/>
                  <w:tcBorders>
                    <w:tl2br w:val="nil"/>
                    <w:tr2bl w:val="nil"/>
                  </w:tcBorders>
                  <w:vAlign w:val="center"/>
                </w:tcPr>
                <w:p>
                  <w:pPr>
                    <w:adjustRightInd/>
                    <w:snapToGrid/>
                    <w:spacing w:line="240" w:lineRule="auto"/>
                    <w:ind w:firstLine="0" w:firstLineChars="0"/>
                    <w:jc w:val="center"/>
                    <w:rPr>
                      <w:bCs/>
                      <w:color w:val="auto"/>
                      <w:kern w:val="0"/>
                      <w:szCs w:val="21"/>
                    </w:rPr>
                  </w:pPr>
                </w:p>
              </w:tc>
              <w:tc>
                <w:tcPr>
                  <w:tcW w:w="1304" w:type="dxa"/>
                  <w:vMerge w:val="continue"/>
                  <w:tcBorders>
                    <w:tl2br w:val="nil"/>
                    <w:tr2bl w:val="nil"/>
                  </w:tcBorders>
                  <w:vAlign w:val="center"/>
                </w:tcPr>
                <w:p>
                  <w:pPr>
                    <w:adjustRightInd/>
                    <w:snapToGrid/>
                    <w:spacing w:line="240" w:lineRule="auto"/>
                    <w:ind w:firstLine="0" w:firstLineChars="0"/>
                    <w:jc w:val="center"/>
                    <w:rPr>
                      <w:bCs/>
                      <w:color w:val="auto"/>
                      <w:kern w:val="0"/>
                      <w:szCs w:val="21"/>
                    </w:rPr>
                  </w:pPr>
                </w:p>
              </w:tc>
              <w:tc>
                <w:tcPr>
                  <w:tcW w:w="1096" w:type="dxa"/>
                  <w:tcBorders>
                    <w:tl2br w:val="nil"/>
                    <w:tr2bl w:val="nil"/>
                  </w:tcBorders>
                  <w:vAlign w:val="center"/>
                </w:tcPr>
                <w:p>
                  <w:pPr>
                    <w:adjustRightInd/>
                    <w:snapToGrid/>
                    <w:spacing w:line="240" w:lineRule="auto"/>
                    <w:ind w:firstLine="0" w:firstLineChars="0"/>
                    <w:jc w:val="center"/>
                    <w:rPr>
                      <w:bCs/>
                      <w:color w:val="auto"/>
                      <w:kern w:val="0"/>
                      <w:szCs w:val="21"/>
                    </w:rPr>
                  </w:pPr>
                  <w:r>
                    <w:rPr>
                      <w:color w:val="auto"/>
                    </w:rPr>
                    <w:t>经度</w:t>
                  </w:r>
                </w:p>
              </w:tc>
              <w:tc>
                <w:tcPr>
                  <w:tcW w:w="944" w:type="dxa"/>
                  <w:tcBorders>
                    <w:tl2br w:val="nil"/>
                    <w:tr2bl w:val="nil"/>
                  </w:tcBorders>
                  <w:vAlign w:val="center"/>
                </w:tcPr>
                <w:p>
                  <w:pPr>
                    <w:adjustRightInd/>
                    <w:snapToGrid/>
                    <w:spacing w:line="240" w:lineRule="auto"/>
                    <w:ind w:firstLine="0" w:firstLineChars="0"/>
                    <w:jc w:val="center"/>
                    <w:rPr>
                      <w:bCs/>
                      <w:color w:val="auto"/>
                      <w:kern w:val="0"/>
                      <w:szCs w:val="21"/>
                    </w:rPr>
                  </w:pPr>
                  <w:r>
                    <w:rPr>
                      <w:color w:val="auto"/>
                    </w:rPr>
                    <w:t>纬度</w:t>
                  </w:r>
                </w:p>
              </w:tc>
              <w:tc>
                <w:tcPr>
                  <w:tcW w:w="1964" w:type="dxa"/>
                  <w:vMerge w:val="continue"/>
                  <w:tcBorders>
                    <w:tl2br w:val="nil"/>
                    <w:tr2bl w:val="nil"/>
                  </w:tcBorders>
                  <w:vAlign w:val="center"/>
                </w:tcPr>
                <w:p>
                  <w:pPr>
                    <w:adjustRightInd/>
                    <w:snapToGrid/>
                    <w:spacing w:line="240" w:lineRule="auto"/>
                    <w:ind w:firstLine="0" w:firstLineChars="0"/>
                    <w:jc w:val="center"/>
                    <w:rPr>
                      <w:bCs/>
                      <w:color w:val="auto"/>
                      <w:szCs w:val="21"/>
                    </w:rPr>
                  </w:pPr>
                </w:p>
              </w:tc>
              <w:tc>
                <w:tcPr>
                  <w:tcW w:w="669" w:type="dxa"/>
                  <w:vMerge w:val="continue"/>
                  <w:tcBorders>
                    <w:tl2br w:val="nil"/>
                    <w:tr2bl w:val="nil"/>
                  </w:tcBorders>
                  <w:vAlign w:val="center"/>
                </w:tcPr>
                <w:p>
                  <w:pPr>
                    <w:adjustRightInd/>
                    <w:snapToGrid/>
                    <w:spacing w:line="240" w:lineRule="auto"/>
                    <w:ind w:firstLine="0" w:firstLineChars="0"/>
                    <w:jc w:val="center"/>
                    <w:rPr>
                      <w:bCs/>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bCs/>
                      <w:color w:val="auto"/>
                      <w:kern w:val="0"/>
                      <w:szCs w:val="21"/>
                    </w:rPr>
                  </w:pPr>
                </w:p>
              </w:tc>
              <w:tc>
                <w:tcPr>
                  <w:tcW w:w="825" w:type="dxa"/>
                  <w:vMerge w:val="continue"/>
                  <w:tcBorders>
                    <w:tl2br w:val="nil"/>
                    <w:tr2bl w:val="nil"/>
                  </w:tcBorders>
                  <w:vAlign w:val="center"/>
                </w:tcPr>
                <w:p>
                  <w:pPr>
                    <w:adjustRightInd/>
                    <w:snapToGrid/>
                    <w:spacing w:line="240" w:lineRule="auto"/>
                    <w:ind w:firstLine="0" w:firstLineChars="0"/>
                    <w:jc w:val="center"/>
                    <w:rPr>
                      <w:bCs/>
                      <w:color w:val="auto"/>
                      <w:kern w:val="0"/>
                      <w:szCs w:val="21"/>
                    </w:rPr>
                  </w:pPr>
                </w:p>
              </w:tc>
              <w:tc>
                <w:tcPr>
                  <w:tcW w:w="1011" w:type="dxa"/>
                  <w:vMerge w:val="continue"/>
                  <w:tcBorders>
                    <w:tl2br w:val="nil"/>
                    <w:tr2bl w:val="nil"/>
                  </w:tcBorders>
                  <w:vAlign w:val="center"/>
                </w:tcPr>
                <w:p>
                  <w:pPr>
                    <w:adjustRightInd/>
                    <w:snapToGrid/>
                    <w:spacing w:line="240" w:lineRule="auto"/>
                    <w:ind w:firstLine="0" w:firstLineChars="0"/>
                    <w:jc w:val="center"/>
                    <w:rPr>
                      <w:bCs/>
                      <w:color w:val="auto"/>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bCs/>
                      <w:snapToGrid w:val="0"/>
                      <w:color w:val="auto"/>
                      <w:kern w:val="0"/>
                      <w:szCs w:val="21"/>
                    </w:rPr>
                    <w:t>1</w:t>
                  </w:r>
                </w:p>
              </w:tc>
              <w:tc>
                <w:tcPr>
                  <w:tcW w:w="1304"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招商锦星汇</w:t>
                  </w:r>
                </w:p>
              </w:tc>
              <w:tc>
                <w:tcPr>
                  <w:tcW w:w="1096" w:type="dxa"/>
                  <w:tcBorders>
                    <w:tl2br w:val="nil"/>
                    <w:tr2bl w:val="nil"/>
                  </w:tcBorders>
                  <w:vAlign w:val="center"/>
                </w:tcPr>
                <w:p>
                  <w:pPr>
                    <w:adjustRightInd/>
                    <w:snapToGrid/>
                    <w:spacing w:line="240" w:lineRule="auto"/>
                    <w:ind w:firstLine="0" w:firstLineChars="0"/>
                    <w:jc w:val="center"/>
                    <w:rPr>
                      <w:snapToGrid w:val="0"/>
                      <w:color w:val="auto"/>
                      <w:kern w:val="0"/>
                      <w:szCs w:val="21"/>
                    </w:rPr>
                  </w:pPr>
                  <w:r>
                    <w:rPr>
                      <w:rFonts w:hint="eastAsia"/>
                      <w:snapToGrid w:val="0"/>
                      <w:color w:val="auto"/>
                      <w:kern w:val="0"/>
                      <w:szCs w:val="21"/>
                    </w:rPr>
                    <w:t>106.5186</w:t>
                  </w:r>
                </w:p>
              </w:tc>
              <w:tc>
                <w:tcPr>
                  <w:tcW w:w="944" w:type="dxa"/>
                  <w:tcBorders>
                    <w:tl2br w:val="nil"/>
                    <w:tr2bl w:val="nil"/>
                  </w:tcBorders>
                  <w:vAlign w:val="center"/>
                </w:tcPr>
                <w:p>
                  <w:pPr>
                    <w:adjustRightInd/>
                    <w:snapToGrid/>
                    <w:spacing w:line="240" w:lineRule="auto"/>
                    <w:ind w:firstLine="0" w:firstLineChars="0"/>
                    <w:jc w:val="center"/>
                    <w:rPr>
                      <w:snapToGrid w:val="0"/>
                      <w:color w:val="auto"/>
                      <w:kern w:val="0"/>
                      <w:szCs w:val="21"/>
                    </w:rPr>
                  </w:pPr>
                  <w:r>
                    <w:rPr>
                      <w:rFonts w:hint="eastAsia"/>
                      <w:snapToGrid w:val="0"/>
                      <w:color w:val="auto"/>
                      <w:kern w:val="0"/>
                      <w:szCs w:val="21"/>
                    </w:rPr>
                    <w:t>29.5801</w:t>
                  </w:r>
                </w:p>
              </w:tc>
              <w:tc>
                <w:tcPr>
                  <w:tcW w:w="1964" w:type="dxa"/>
                  <w:tcBorders>
                    <w:tl2br w:val="nil"/>
                    <w:tr2bl w:val="nil"/>
                  </w:tcBorders>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1200户，3000人</w:t>
                  </w:r>
                </w:p>
              </w:tc>
              <w:tc>
                <w:tcPr>
                  <w:tcW w:w="669" w:type="dxa"/>
                  <w:vMerge w:val="restart"/>
                  <w:tcBorders>
                    <w:tl2br w:val="nil"/>
                    <w:tr2bl w:val="nil"/>
                  </w:tcBorders>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环境空气</w:t>
                  </w:r>
                </w:p>
              </w:tc>
              <w:tc>
                <w:tcPr>
                  <w:tcW w:w="664" w:type="dxa"/>
                  <w:vMerge w:val="restart"/>
                  <w:tcBorders>
                    <w:tl2br w:val="nil"/>
                    <w:tr2bl w:val="nil"/>
                  </w:tcBorders>
                  <w:vAlign w:val="center"/>
                </w:tcPr>
                <w:p>
                  <w:pPr>
                    <w:autoSpaceDE w:val="0"/>
                    <w:autoSpaceDN w:val="0"/>
                    <w:adjustRightInd/>
                    <w:snapToGrid/>
                    <w:spacing w:line="240" w:lineRule="auto"/>
                    <w:ind w:firstLine="0" w:firstLineChars="0"/>
                    <w:jc w:val="center"/>
                    <w:rPr>
                      <w:bCs/>
                      <w:color w:val="auto"/>
                      <w:szCs w:val="21"/>
                    </w:rPr>
                  </w:pPr>
                  <w:r>
                    <w:rPr>
                      <w:bCs/>
                      <w:color w:val="auto"/>
                      <w:szCs w:val="21"/>
                    </w:rPr>
                    <w:t>大气环境功能二类区</w:t>
                  </w: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紧邻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bCs/>
                      <w:snapToGrid w:val="0"/>
                      <w:color w:val="auto"/>
                      <w:kern w:val="0"/>
                      <w:szCs w:val="21"/>
                    </w:rPr>
                    <w:t>2</w:t>
                  </w:r>
                </w:p>
              </w:tc>
              <w:tc>
                <w:tcPr>
                  <w:tcW w:w="1304"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黄桷园</w:t>
                  </w:r>
                </w:p>
              </w:tc>
              <w:tc>
                <w:tcPr>
                  <w:tcW w:w="1096" w:type="dxa"/>
                  <w:tcBorders>
                    <w:tl2br w:val="nil"/>
                    <w:tr2bl w:val="nil"/>
                  </w:tcBorders>
                  <w:vAlign w:val="center"/>
                </w:tcPr>
                <w:p>
                  <w:pPr>
                    <w:adjustRightInd/>
                    <w:snapToGrid/>
                    <w:spacing w:line="240" w:lineRule="auto"/>
                    <w:ind w:firstLine="0" w:firstLineChars="0"/>
                    <w:jc w:val="center"/>
                    <w:rPr>
                      <w:snapToGrid w:val="0"/>
                      <w:color w:val="auto"/>
                      <w:kern w:val="0"/>
                      <w:szCs w:val="21"/>
                    </w:rPr>
                  </w:pPr>
                  <w:r>
                    <w:rPr>
                      <w:rFonts w:hint="eastAsia"/>
                      <w:snapToGrid w:val="0"/>
                      <w:color w:val="auto"/>
                      <w:kern w:val="0"/>
                      <w:szCs w:val="21"/>
                    </w:rPr>
                    <w:t>106.5195</w:t>
                  </w:r>
                </w:p>
              </w:tc>
              <w:tc>
                <w:tcPr>
                  <w:tcW w:w="944" w:type="dxa"/>
                  <w:tcBorders>
                    <w:tl2br w:val="nil"/>
                    <w:tr2bl w:val="nil"/>
                  </w:tcBorders>
                  <w:vAlign w:val="center"/>
                </w:tcPr>
                <w:p>
                  <w:pPr>
                    <w:adjustRightInd/>
                    <w:snapToGrid/>
                    <w:spacing w:line="240" w:lineRule="auto"/>
                    <w:ind w:firstLine="0" w:firstLineChars="0"/>
                    <w:jc w:val="center"/>
                    <w:rPr>
                      <w:snapToGrid w:val="0"/>
                      <w:color w:val="auto"/>
                      <w:kern w:val="0"/>
                      <w:szCs w:val="21"/>
                    </w:rPr>
                  </w:pPr>
                  <w:r>
                    <w:rPr>
                      <w:rFonts w:hint="eastAsia"/>
                      <w:snapToGrid w:val="0"/>
                      <w:color w:val="auto"/>
                      <w:kern w:val="0"/>
                      <w:szCs w:val="21"/>
                    </w:rPr>
                    <w:t>29.5785</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550户，1500人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utoSpaceDE w:val="0"/>
                    <w:autoSpaceDN w:val="0"/>
                    <w:adjustRightInd/>
                    <w:snapToGrid/>
                    <w:spacing w:line="240" w:lineRule="auto"/>
                    <w:ind w:firstLine="0" w:firstLineChars="0"/>
                    <w:jc w:val="center"/>
                    <w:rPr>
                      <w:bCs/>
                      <w:color w:val="auto"/>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SE</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170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
                      <w:bCs/>
                      <w:snapToGrid w:val="0"/>
                      <w:color w:val="auto"/>
                      <w:kern w:val="0"/>
                      <w:szCs w:val="21"/>
                    </w:rPr>
                  </w:pPr>
                  <w:r>
                    <w:rPr>
                      <w:bCs/>
                      <w:snapToGrid w:val="0"/>
                      <w:color w:val="auto"/>
                      <w:kern w:val="0"/>
                      <w:szCs w:val="21"/>
                    </w:rPr>
                    <w:t>3</w:t>
                  </w:r>
                </w:p>
              </w:tc>
              <w:tc>
                <w:tcPr>
                  <w:tcW w:w="1304"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小苑社区</w:t>
                  </w:r>
                </w:p>
              </w:tc>
              <w:tc>
                <w:tcPr>
                  <w:tcW w:w="1096" w:type="dxa"/>
                  <w:tcBorders>
                    <w:tl2br w:val="nil"/>
                    <w:tr2bl w:val="nil"/>
                  </w:tcBorders>
                  <w:vAlign w:val="center"/>
                </w:tcPr>
                <w:p>
                  <w:pPr>
                    <w:adjustRightInd/>
                    <w:snapToGrid/>
                    <w:spacing w:line="240" w:lineRule="auto"/>
                    <w:ind w:firstLine="0" w:firstLineChars="0"/>
                    <w:jc w:val="center"/>
                    <w:rPr>
                      <w:snapToGrid w:val="0"/>
                      <w:color w:val="auto"/>
                      <w:kern w:val="0"/>
                      <w:szCs w:val="21"/>
                    </w:rPr>
                  </w:pPr>
                  <w:r>
                    <w:rPr>
                      <w:rFonts w:hint="eastAsia"/>
                      <w:snapToGrid w:val="0"/>
                      <w:color w:val="auto"/>
                      <w:kern w:val="0"/>
                      <w:szCs w:val="21"/>
                    </w:rPr>
                    <w:t>106.5212</w:t>
                  </w:r>
                </w:p>
              </w:tc>
              <w:tc>
                <w:tcPr>
                  <w:tcW w:w="944" w:type="dxa"/>
                  <w:tcBorders>
                    <w:tl2br w:val="nil"/>
                    <w:tr2bl w:val="nil"/>
                  </w:tcBorders>
                  <w:vAlign w:val="center"/>
                </w:tcPr>
                <w:p>
                  <w:pPr>
                    <w:adjustRightInd/>
                    <w:snapToGrid/>
                    <w:spacing w:line="240" w:lineRule="auto"/>
                    <w:ind w:firstLine="0" w:firstLineChars="0"/>
                    <w:jc w:val="center"/>
                    <w:rPr>
                      <w:snapToGrid w:val="0"/>
                      <w:color w:val="auto"/>
                      <w:kern w:val="0"/>
                      <w:szCs w:val="21"/>
                    </w:rPr>
                  </w:pPr>
                  <w:r>
                    <w:rPr>
                      <w:rFonts w:hint="eastAsia"/>
                      <w:snapToGrid w:val="0"/>
                      <w:color w:val="auto"/>
                      <w:kern w:val="0"/>
                      <w:szCs w:val="21"/>
                    </w:rPr>
                    <w:t>29.5763</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4000户，约10000人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utoSpaceDE w:val="0"/>
                    <w:autoSpaceDN w:val="0"/>
                    <w:adjustRightInd/>
                    <w:snapToGrid/>
                    <w:spacing w:line="240" w:lineRule="auto"/>
                    <w:ind w:firstLine="0" w:firstLineChars="0"/>
                    <w:jc w:val="center"/>
                    <w:rPr>
                      <w:bCs/>
                      <w:color w:val="auto"/>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SE</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300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bCs/>
                      <w:snapToGrid w:val="0"/>
                      <w:color w:val="auto"/>
                      <w:kern w:val="0"/>
                      <w:szCs w:val="21"/>
                    </w:rPr>
                    <w:t>4</w:t>
                  </w:r>
                </w:p>
              </w:tc>
              <w:tc>
                <w:tcPr>
                  <w:tcW w:w="1304"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香港置地</w:t>
                  </w:r>
                </w:p>
              </w:tc>
              <w:tc>
                <w:tcPr>
                  <w:tcW w:w="1096" w:type="dxa"/>
                  <w:tcBorders>
                    <w:tl2br w:val="nil"/>
                    <w:tr2bl w:val="nil"/>
                  </w:tcBorders>
                  <w:vAlign w:val="center"/>
                </w:tcPr>
                <w:p>
                  <w:pPr>
                    <w:adjustRightInd/>
                    <w:snapToGrid/>
                    <w:spacing w:line="240" w:lineRule="auto"/>
                    <w:ind w:firstLine="0" w:firstLineChars="0"/>
                    <w:jc w:val="center"/>
                    <w:rPr>
                      <w:snapToGrid w:val="0"/>
                      <w:color w:val="auto"/>
                      <w:kern w:val="0"/>
                      <w:szCs w:val="21"/>
                    </w:rPr>
                  </w:pPr>
                  <w:r>
                    <w:rPr>
                      <w:rFonts w:hint="eastAsia"/>
                      <w:snapToGrid w:val="0"/>
                      <w:color w:val="auto"/>
                      <w:kern w:val="0"/>
                      <w:szCs w:val="21"/>
                    </w:rPr>
                    <w:t>106.5226</w:t>
                  </w:r>
                </w:p>
              </w:tc>
              <w:tc>
                <w:tcPr>
                  <w:tcW w:w="944" w:type="dxa"/>
                  <w:tcBorders>
                    <w:tl2br w:val="nil"/>
                    <w:tr2bl w:val="nil"/>
                  </w:tcBorders>
                  <w:vAlign w:val="center"/>
                </w:tcPr>
                <w:p>
                  <w:pPr>
                    <w:adjustRightInd/>
                    <w:snapToGrid/>
                    <w:spacing w:line="240" w:lineRule="auto"/>
                    <w:ind w:firstLine="0" w:firstLineChars="0"/>
                    <w:jc w:val="center"/>
                    <w:rPr>
                      <w:snapToGrid w:val="0"/>
                      <w:color w:val="auto"/>
                      <w:kern w:val="0"/>
                      <w:szCs w:val="21"/>
                    </w:rPr>
                  </w:pPr>
                  <w:r>
                    <w:rPr>
                      <w:rFonts w:hint="eastAsia"/>
                      <w:snapToGrid w:val="0"/>
                      <w:color w:val="auto"/>
                      <w:kern w:val="0"/>
                      <w:szCs w:val="21"/>
                    </w:rPr>
                    <w:t>29.5751</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200户，约500人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SE</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bCs/>
                      <w:snapToGrid w:val="0"/>
                      <w:color w:val="auto"/>
                      <w:kern w:val="0"/>
                      <w:szCs w:val="21"/>
                    </w:rPr>
                    <w:t>5</w:t>
                  </w:r>
                </w:p>
              </w:tc>
              <w:tc>
                <w:tcPr>
                  <w:tcW w:w="1304"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飞扬世纪</w:t>
                  </w:r>
                </w:p>
              </w:tc>
              <w:tc>
                <w:tcPr>
                  <w:tcW w:w="1096" w:type="dxa"/>
                  <w:tcBorders>
                    <w:tl2br w:val="nil"/>
                    <w:tr2bl w:val="nil"/>
                  </w:tcBorders>
                  <w:vAlign w:val="center"/>
                </w:tcPr>
                <w:p>
                  <w:pPr>
                    <w:adjustRightInd/>
                    <w:snapToGrid/>
                    <w:spacing w:line="240" w:lineRule="auto"/>
                    <w:ind w:firstLine="0" w:firstLineChars="0"/>
                    <w:jc w:val="center"/>
                    <w:rPr>
                      <w:snapToGrid w:val="0"/>
                      <w:color w:val="auto"/>
                      <w:kern w:val="0"/>
                      <w:szCs w:val="21"/>
                    </w:rPr>
                  </w:pPr>
                  <w:r>
                    <w:rPr>
                      <w:rFonts w:hint="eastAsia"/>
                      <w:snapToGrid w:val="0"/>
                      <w:color w:val="auto"/>
                      <w:kern w:val="0"/>
                      <w:szCs w:val="21"/>
                    </w:rPr>
                    <w:t>106.5231</w:t>
                  </w:r>
                </w:p>
              </w:tc>
              <w:tc>
                <w:tcPr>
                  <w:tcW w:w="944" w:type="dxa"/>
                  <w:tcBorders>
                    <w:tl2br w:val="nil"/>
                    <w:tr2bl w:val="nil"/>
                  </w:tcBorders>
                  <w:vAlign w:val="center"/>
                </w:tcPr>
                <w:p>
                  <w:pPr>
                    <w:adjustRightInd/>
                    <w:snapToGrid/>
                    <w:spacing w:line="240" w:lineRule="auto"/>
                    <w:ind w:firstLine="0" w:firstLineChars="0"/>
                    <w:jc w:val="center"/>
                    <w:rPr>
                      <w:snapToGrid w:val="0"/>
                      <w:color w:val="auto"/>
                      <w:kern w:val="0"/>
                      <w:szCs w:val="21"/>
                    </w:rPr>
                  </w:pPr>
                  <w:r>
                    <w:rPr>
                      <w:rFonts w:hint="eastAsia"/>
                      <w:snapToGrid w:val="0"/>
                      <w:color w:val="auto"/>
                      <w:kern w:val="0"/>
                      <w:szCs w:val="21"/>
                    </w:rPr>
                    <w:t>29.5767</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200户约500人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SE</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bCs/>
                      <w:snapToGrid w:val="0"/>
                      <w:color w:val="auto"/>
                      <w:kern w:val="0"/>
                      <w:szCs w:val="21"/>
                    </w:rPr>
                    <w:t>6</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燃气小区</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106.5227</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29.5780</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1000户，约2500人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ESE</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420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bCs/>
                      <w:snapToGrid w:val="0"/>
                      <w:color w:val="auto"/>
                      <w:kern w:val="0"/>
                      <w:szCs w:val="21"/>
                    </w:rPr>
                    <w:t>7</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和谐静苑</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106.5219</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29.5788</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200户，约500人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ESE</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380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bCs/>
                      <w:snapToGrid w:val="0"/>
                      <w:color w:val="auto"/>
                      <w:kern w:val="0"/>
                      <w:szCs w:val="21"/>
                    </w:rPr>
                    <w:t>8</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规划居住区</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106.5216</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29.5801</w:t>
                  </w:r>
                </w:p>
              </w:tc>
              <w:tc>
                <w:tcPr>
                  <w:tcW w:w="1964" w:type="dxa"/>
                  <w:tcBorders>
                    <w:tl2br w:val="nil"/>
                    <w:tr2bl w:val="nil"/>
                  </w:tcBorders>
                  <w:vAlign w:val="center"/>
                </w:tcPr>
                <w:p>
                  <w:pPr>
                    <w:adjustRightInd/>
                    <w:snapToGrid/>
                    <w:spacing w:line="240" w:lineRule="auto"/>
                    <w:ind w:firstLine="0" w:firstLineChars="0"/>
                    <w:jc w:val="center"/>
                    <w:rPr>
                      <w:snapToGrid w:val="0"/>
                      <w:color w:val="auto"/>
                      <w:kern w:val="0"/>
                      <w:szCs w:val="21"/>
                    </w:rPr>
                  </w:pPr>
                  <w:r>
                    <w:rPr>
                      <w:rFonts w:hint="eastAsia"/>
                      <w:snapToGrid w:val="0"/>
                      <w:color w:val="auto"/>
                      <w:kern w:val="0"/>
                      <w:szCs w:val="21"/>
                    </w:rPr>
                    <w:t>以实际为准</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E</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180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bCs/>
                      <w:snapToGrid w:val="0"/>
                      <w:color w:val="auto"/>
                      <w:kern w:val="0"/>
                      <w:szCs w:val="21"/>
                    </w:rPr>
                    <w:t>9</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电测小区</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106.5215</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29.5818</w:t>
                  </w:r>
                </w:p>
              </w:tc>
              <w:tc>
                <w:tcPr>
                  <w:tcW w:w="1964" w:type="dxa"/>
                  <w:tcBorders>
                    <w:tl2br w:val="nil"/>
                    <w:tr2bl w:val="nil"/>
                  </w:tcBorders>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1200户，约3000人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NE</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330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bCs/>
                      <w:snapToGrid w:val="0"/>
                      <w:color w:val="auto"/>
                      <w:kern w:val="0"/>
                      <w:szCs w:val="21"/>
                    </w:rPr>
                    <w:t>10</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观音桥小学</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106.52229</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29.5822</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学校，在校师生，约</w:t>
                  </w:r>
                  <w:r>
                    <w:rPr>
                      <w:rFonts w:hint="eastAsia"/>
                      <w:snapToGrid w:val="0"/>
                      <w:color w:val="auto"/>
                      <w:kern w:val="0"/>
                      <w:szCs w:val="21"/>
                    </w:rPr>
                    <w:t>1300</w:t>
                  </w:r>
                  <w:r>
                    <w:rPr>
                      <w:snapToGrid w:val="0"/>
                      <w:color w:val="auto"/>
                      <w:kern w:val="0"/>
                      <w:szCs w:val="21"/>
                    </w:rPr>
                    <w:t>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NE</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420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bCs/>
                      <w:snapToGrid w:val="0"/>
                      <w:color w:val="auto"/>
                      <w:kern w:val="0"/>
                      <w:szCs w:val="21"/>
                    </w:rPr>
                    <w:t>11</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建北大社区</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106.5233</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29.5823</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3000户，约8000人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NE</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bCs/>
                      <w:snapToGrid w:val="0"/>
                      <w:color w:val="auto"/>
                      <w:kern w:val="0"/>
                      <w:szCs w:val="21"/>
                    </w:rPr>
                    <w:t>12</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观音桥中学</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106.5210</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29.5827</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学校，在校师生，约</w:t>
                  </w:r>
                  <w:r>
                    <w:rPr>
                      <w:rFonts w:hint="eastAsia"/>
                      <w:snapToGrid w:val="0"/>
                      <w:color w:val="auto"/>
                      <w:kern w:val="0"/>
                      <w:szCs w:val="21"/>
                    </w:rPr>
                    <w:t>1400</w:t>
                  </w:r>
                  <w:r>
                    <w:rPr>
                      <w:snapToGrid w:val="0"/>
                      <w:color w:val="auto"/>
                      <w:kern w:val="0"/>
                      <w:szCs w:val="21"/>
                    </w:rPr>
                    <w:t>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NE</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330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bCs/>
                      <w:snapToGrid w:val="0"/>
                      <w:color w:val="auto"/>
                      <w:kern w:val="0"/>
                      <w:szCs w:val="21"/>
                    </w:rPr>
                    <w:t>13</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龙湖新壹街</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106.5217</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29.5833</w:t>
                  </w:r>
                </w:p>
              </w:tc>
              <w:tc>
                <w:tcPr>
                  <w:tcW w:w="1964" w:type="dxa"/>
                  <w:tcBorders>
                    <w:tl2br w:val="nil"/>
                    <w:tr2bl w:val="nil"/>
                  </w:tcBorders>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5000户，约15000人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NE</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450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bCs/>
                      <w:snapToGrid w:val="0"/>
                      <w:color w:val="auto"/>
                      <w:kern w:val="0"/>
                      <w:szCs w:val="21"/>
                    </w:rPr>
                    <w:t>14</w:t>
                  </w:r>
                </w:p>
              </w:tc>
              <w:tc>
                <w:tcPr>
                  <w:tcW w:w="1304" w:type="dxa"/>
                  <w:tcBorders>
                    <w:tl2br w:val="nil"/>
                    <w:tr2bl w:val="nil"/>
                  </w:tcBorders>
                  <w:vAlign w:val="center"/>
                </w:tcPr>
                <w:p>
                  <w:pPr>
                    <w:adjustRightInd/>
                    <w:snapToGrid/>
                    <w:spacing w:line="240" w:lineRule="auto"/>
                    <w:ind w:firstLine="0" w:firstLineChars="0"/>
                    <w:rPr>
                      <w:snapToGrid w:val="0"/>
                      <w:color w:val="auto"/>
                    </w:rPr>
                  </w:pPr>
                  <w:r>
                    <w:rPr>
                      <w:rFonts w:hint="eastAsia"/>
                      <w:snapToGrid w:val="0"/>
                      <w:color w:val="auto"/>
                    </w:rPr>
                    <w:t>中专毕业生就业指导服务中心</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106.5202</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29.5847</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行政办公，人群，约</w:t>
                  </w:r>
                  <w:r>
                    <w:rPr>
                      <w:rFonts w:hint="eastAsia"/>
                      <w:snapToGrid w:val="0"/>
                      <w:color w:val="auto"/>
                      <w:kern w:val="0"/>
                      <w:szCs w:val="21"/>
                    </w:rPr>
                    <w:t>3</w:t>
                  </w:r>
                  <w:r>
                    <w:rPr>
                      <w:snapToGrid w:val="0"/>
                      <w:color w:val="auto"/>
                      <w:kern w:val="0"/>
                      <w:szCs w:val="21"/>
                    </w:rPr>
                    <w:t>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NE</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bCs/>
                      <w:snapToGrid w:val="0"/>
                      <w:color w:val="auto"/>
                      <w:kern w:val="0"/>
                      <w:szCs w:val="21"/>
                    </w:rPr>
                    <w:t>15</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中耀大厦</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106.5192</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29.5847</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行政办公，人群，约</w:t>
                  </w:r>
                  <w:r>
                    <w:rPr>
                      <w:rFonts w:hint="eastAsia"/>
                      <w:snapToGrid w:val="0"/>
                      <w:color w:val="auto"/>
                      <w:kern w:val="0"/>
                      <w:szCs w:val="21"/>
                    </w:rPr>
                    <w:t>300</w:t>
                  </w:r>
                  <w:r>
                    <w:rPr>
                      <w:snapToGrid w:val="0"/>
                      <w:color w:val="auto"/>
                      <w:kern w:val="0"/>
                      <w:szCs w:val="21"/>
                    </w:rPr>
                    <w:t>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NNE</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bCs/>
                      <w:snapToGrid w:val="0"/>
                      <w:color w:val="auto"/>
                      <w:kern w:val="0"/>
                      <w:szCs w:val="21"/>
                    </w:rPr>
                    <w:t>16</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读书一村</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106.5184</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29.5838</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350户，约900人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N</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350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bCs/>
                      <w:snapToGrid w:val="0"/>
                      <w:color w:val="auto"/>
                      <w:kern w:val="0"/>
                      <w:szCs w:val="21"/>
                    </w:rPr>
                    <w:t>17</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重庆宝莱生殖健康医院</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106.5174</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29.5828</w:t>
                  </w:r>
                </w:p>
              </w:tc>
              <w:tc>
                <w:tcPr>
                  <w:tcW w:w="1964" w:type="dxa"/>
                  <w:tcBorders>
                    <w:tl2br w:val="nil"/>
                    <w:tr2bl w:val="nil"/>
                  </w:tcBorders>
                  <w:vAlign w:val="center"/>
                </w:tcPr>
                <w:p>
                  <w:pPr>
                    <w:adjustRightInd/>
                    <w:snapToGrid/>
                    <w:spacing w:line="240" w:lineRule="auto"/>
                    <w:ind w:firstLine="0" w:firstLineChars="0"/>
                    <w:jc w:val="center"/>
                    <w:rPr>
                      <w:snapToGrid w:val="0"/>
                      <w:color w:val="auto"/>
                      <w:kern w:val="0"/>
                      <w:szCs w:val="21"/>
                    </w:rPr>
                  </w:pPr>
                  <w:r>
                    <w:rPr>
                      <w:rFonts w:hint="eastAsia"/>
                      <w:snapToGrid w:val="0"/>
                      <w:color w:val="auto"/>
                      <w:kern w:val="0"/>
                      <w:szCs w:val="21"/>
                    </w:rPr>
                    <w:t>医院，床位30张</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NNW</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270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bCs/>
                      <w:snapToGrid w:val="0"/>
                      <w:color w:val="auto"/>
                      <w:kern w:val="0"/>
                      <w:szCs w:val="21"/>
                    </w:rPr>
                    <w:t>18</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建北小学</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106.5193</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29.5830</w:t>
                  </w:r>
                </w:p>
              </w:tc>
              <w:tc>
                <w:tcPr>
                  <w:tcW w:w="1964" w:type="dxa"/>
                  <w:tcBorders>
                    <w:tl2br w:val="nil"/>
                    <w:tr2bl w:val="nil"/>
                  </w:tcBorders>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学校，在校师生，约</w:t>
                  </w:r>
                  <w:r>
                    <w:rPr>
                      <w:rFonts w:hint="eastAsia"/>
                      <w:snapToGrid w:val="0"/>
                      <w:color w:val="auto"/>
                      <w:kern w:val="0"/>
                      <w:szCs w:val="21"/>
                    </w:rPr>
                    <w:t>900</w:t>
                  </w:r>
                  <w:r>
                    <w:rPr>
                      <w:snapToGrid w:val="0"/>
                      <w:color w:val="auto"/>
                      <w:kern w:val="0"/>
                      <w:szCs w:val="21"/>
                    </w:rPr>
                    <w:t>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NNE</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300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bCs/>
                      <w:snapToGrid w:val="0"/>
                      <w:color w:val="auto"/>
                      <w:kern w:val="0"/>
                      <w:szCs w:val="21"/>
                    </w:rPr>
                    <w:t>19</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华新逸景</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106.5180</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29.5819</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900户，约2300人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N</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150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20</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江北区老年大学</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106.5186</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29.5822</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学校，在校师生，约</w:t>
                  </w:r>
                  <w:r>
                    <w:rPr>
                      <w:rFonts w:hint="eastAsia"/>
                      <w:snapToGrid w:val="0"/>
                      <w:color w:val="auto"/>
                      <w:kern w:val="0"/>
                      <w:szCs w:val="21"/>
                    </w:rPr>
                    <w:t>5</w:t>
                  </w:r>
                  <w:r>
                    <w:rPr>
                      <w:snapToGrid w:val="0"/>
                      <w:color w:val="auto"/>
                      <w:kern w:val="0"/>
                      <w:szCs w:val="21"/>
                    </w:rPr>
                    <w:t>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NNE</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200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21</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新村印刷厂家属院</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106.5189</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29.5814</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100户，约300人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NE</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22</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电测村10号院</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106.5190</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29.5808</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300户，约800人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NE</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70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23</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富悦阳光</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106.5160</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29.5843</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1200户，约3500人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NNW</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440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24</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黄金堡小区</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106.5141</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29.5843</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850户，约1700人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NW</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450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25</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都市庭院</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106.5131</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29.5818</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530户，约1100人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WNW</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460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26</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景馨院</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106.5146</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29.5825</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240户，约500人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WNW</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370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27</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坡月山庄</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106.5158</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29.5827</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w:t>
                  </w:r>
                  <w:r>
                    <w:rPr>
                      <w:rFonts w:hint="eastAsia"/>
                      <w:snapToGrid w:val="0"/>
                      <w:color w:val="auto"/>
                      <w:kern w:val="0"/>
                      <w:szCs w:val="21"/>
                    </w:rPr>
                    <w:t>120户，约250人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NW</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270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28</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半山花园</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106.5143</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29.5814</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w:t>
                  </w:r>
                  <w:r>
                    <w:rPr>
                      <w:rFonts w:hint="eastAsia"/>
                      <w:snapToGrid w:val="0"/>
                      <w:color w:val="auto"/>
                      <w:kern w:val="0"/>
                      <w:szCs w:val="21"/>
                    </w:rPr>
                    <w:t>500户，约1000人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WNW</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300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29</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爱丁堡</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106.5163</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29.5815</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w:t>
                  </w:r>
                  <w:r>
                    <w:rPr>
                      <w:rFonts w:hint="eastAsia"/>
                      <w:snapToGrid w:val="0"/>
                      <w:color w:val="auto"/>
                      <w:kern w:val="0"/>
                      <w:szCs w:val="21"/>
                    </w:rPr>
                    <w:t>850户，约1700人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NW</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180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30</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黄金堡城市花园</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106.5145</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29.5804</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 xml:space="preserve">680户，约1400人 </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W</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250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31</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爱丁新甸</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106.5169</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29.5803</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340户，约700人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W</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32</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华立天地豪园</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106.5134</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29.5787</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540户约1100人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SW</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440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33</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流金家园</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106.5165</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29.5792</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340户，约700人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SW</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120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34</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洪恩丽舍</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106.5162</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29.5777</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380户，约800人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SW</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300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35</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新城绿洲</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106.5178</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29.5782</w:t>
                  </w:r>
                </w:p>
              </w:tc>
              <w:tc>
                <w:tcPr>
                  <w:tcW w:w="1964" w:type="dxa"/>
                  <w:tcBorders>
                    <w:tl2br w:val="nil"/>
                    <w:tr2bl w:val="nil"/>
                  </w:tcBorders>
                  <w:shd w:val="clear" w:color="auto" w:fill="auto"/>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900户，约2000人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rFonts w:hint="eastAsia"/>
                      <w:color w:val="auto"/>
                      <w:szCs w:val="21"/>
                    </w:rPr>
                    <w:t>SSW</w:t>
                  </w:r>
                </w:p>
              </w:tc>
              <w:tc>
                <w:tcPr>
                  <w:tcW w:w="1011"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rFonts w:hint="eastAsia"/>
                      <w:color w:val="auto"/>
                      <w:szCs w:val="21"/>
                    </w:rPr>
                    <w:t>170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36</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燃气大厦</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106.5175</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29.5761</w:t>
                  </w:r>
                </w:p>
              </w:tc>
              <w:tc>
                <w:tcPr>
                  <w:tcW w:w="1964" w:type="dxa"/>
                  <w:tcBorders>
                    <w:tl2br w:val="nil"/>
                    <w:tr2bl w:val="nil"/>
                  </w:tcBorders>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行政办公，人群，约</w:t>
                  </w:r>
                  <w:r>
                    <w:rPr>
                      <w:rFonts w:hint="eastAsia"/>
                      <w:snapToGrid w:val="0"/>
                      <w:color w:val="auto"/>
                      <w:kern w:val="0"/>
                      <w:szCs w:val="21"/>
                    </w:rPr>
                    <w:t>4000</w:t>
                  </w:r>
                  <w:r>
                    <w:rPr>
                      <w:snapToGrid w:val="0"/>
                      <w:color w:val="auto"/>
                      <w:kern w:val="0"/>
                      <w:szCs w:val="21"/>
                    </w:rPr>
                    <w:t>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SSW</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390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527" w:type="dxa"/>
                  <w:tcBorders>
                    <w:tl2br w:val="nil"/>
                    <w:tr2bl w:val="nil"/>
                  </w:tcBorders>
                  <w:vAlign w:val="center"/>
                </w:tcPr>
                <w:p>
                  <w:pPr>
                    <w:adjustRightInd/>
                    <w:snapToGrid/>
                    <w:spacing w:line="240" w:lineRule="auto"/>
                    <w:ind w:firstLine="0" w:firstLineChars="0"/>
                    <w:jc w:val="center"/>
                    <w:rPr>
                      <w:bCs/>
                      <w:snapToGrid w:val="0"/>
                      <w:color w:val="auto"/>
                      <w:kern w:val="0"/>
                      <w:szCs w:val="21"/>
                    </w:rPr>
                  </w:pPr>
                  <w:r>
                    <w:rPr>
                      <w:rFonts w:hint="eastAsia"/>
                      <w:bCs/>
                      <w:snapToGrid w:val="0"/>
                      <w:color w:val="auto"/>
                      <w:kern w:val="0"/>
                      <w:szCs w:val="21"/>
                    </w:rPr>
                    <w:t>37</w:t>
                  </w:r>
                </w:p>
              </w:tc>
              <w:tc>
                <w:tcPr>
                  <w:tcW w:w="130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志龙鸿馆</w:t>
                  </w:r>
                </w:p>
              </w:tc>
              <w:tc>
                <w:tcPr>
                  <w:tcW w:w="1096"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106.5185</w:t>
                  </w:r>
                </w:p>
              </w:tc>
              <w:tc>
                <w:tcPr>
                  <w:tcW w:w="944" w:type="dxa"/>
                  <w:tcBorders>
                    <w:tl2br w:val="nil"/>
                    <w:tr2bl w:val="nil"/>
                  </w:tcBorders>
                  <w:vAlign w:val="center"/>
                </w:tcPr>
                <w:p>
                  <w:pPr>
                    <w:adjustRightInd/>
                    <w:snapToGrid/>
                    <w:spacing w:line="240" w:lineRule="auto"/>
                    <w:ind w:firstLine="0" w:firstLineChars="0"/>
                    <w:jc w:val="center"/>
                    <w:rPr>
                      <w:snapToGrid w:val="0"/>
                      <w:color w:val="auto"/>
                    </w:rPr>
                  </w:pPr>
                  <w:r>
                    <w:rPr>
                      <w:rFonts w:hint="eastAsia"/>
                      <w:snapToGrid w:val="0"/>
                      <w:color w:val="auto"/>
                    </w:rPr>
                    <w:t>29.5764</w:t>
                  </w:r>
                </w:p>
              </w:tc>
              <w:tc>
                <w:tcPr>
                  <w:tcW w:w="1964" w:type="dxa"/>
                  <w:tcBorders>
                    <w:tl2br w:val="nil"/>
                    <w:tr2bl w:val="nil"/>
                  </w:tcBorders>
                  <w:vAlign w:val="center"/>
                </w:tcPr>
                <w:p>
                  <w:pPr>
                    <w:adjustRightInd/>
                    <w:snapToGrid/>
                    <w:spacing w:line="240" w:lineRule="auto"/>
                    <w:ind w:firstLine="0" w:firstLineChars="0"/>
                    <w:jc w:val="center"/>
                    <w:rPr>
                      <w:snapToGrid w:val="0"/>
                      <w:color w:val="auto"/>
                      <w:kern w:val="0"/>
                      <w:szCs w:val="21"/>
                    </w:rPr>
                  </w:pPr>
                  <w:r>
                    <w:rPr>
                      <w:snapToGrid w:val="0"/>
                      <w:color w:val="auto"/>
                      <w:kern w:val="0"/>
                      <w:szCs w:val="21"/>
                    </w:rPr>
                    <w:t>居民区，约</w:t>
                  </w:r>
                  <w:r>
                    <w:rPr>
                      <w:rFonts w:hint="eastAsia"/>
                      <w:snapToGrid w:val="0"/>
                      <w:color w:val="auto"/>
                      <w:kern w:val="0"/>
                      <w:szCs w:val="21"/>
                    </w:rPr>
                    <w:t>360户，约800人</w:t>
                  </w:r>
                </w:p>
              </w:tc>
              <w:tc>
                <w:tcPr>
                  <w:tcW w:w="669"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664" w:type="dxa"/>
                  <w:vMerge w:val="continue"/>
                  <w:tcBorders>
                    <w:tl2br w:val="nil"/>
                    <w:tr2bl w:val="nil"/>
                  </w:tcBorders>
                  <w:vAlign w:val="center"/>
                </w:tcPr>
                <w:p>
                  <w:pPr>
                    <w:adjustRightInd/>
                    <w:snapToGrid/>
                    <w:spacing w:line="240" w:lineRule="auto"/>
                    <w:ind w:firstLine="0" w:firstLineChars="0"/>
                    <w:jc w:val="center"/>
                    <w:rPr>
                      <w:snapToGrid w:val="0"/>
                      <w:color w:val="auto"/>
                      <w:kern w:val="0"/>
                      <w:szCs w:val="21"/>
                    </w:rPr>
                  </w:pPr>
                </w:p>
              </w:tc>
              <w:tc>
                <w:tcPr>
                  <w:tcW w:w="825"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S</w:t>
                  </w:r>
                </w:p>
              </w:tc>
              <w:tc>
                <w:tcPr>
                  <w:tcW w:w="1011" w:type="dxa"/>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370</w:t>
                  </w:r>
                </w:p>
              </w:tc>
            </w:tr>
          </w:tbl>
          <w:p>
            <w:pPr>
              <w:spacing w:before="120" w:beforeLines="50"/>
              <w:ind w:firstLine="422"/>
              <w:rPr>
                <w:b/>
                <w:color w:val="auto"/>
              </w:rPr>
            </w:pPr>
            <w:r>
              <w:rPr>
                <w:b/>
                <w:color w:val="auto"/>
              </w:rPr>
              <w:t>2、声环境保护目标</w:t>
            </w:r>
          </w:p>
          <w:p>
            <w:pPr>
              <w:ind w:firstLine="420"/>
              <w:rPr>
                <w:color w:val="auto"/>
              </w:rPr>
            </w:pPr>
            <w:r>
              <w:rPr>
                <w:color w:val="auto"/>
              </w:rPr>
              <w:t>项目周边50m范围内存在</w:t>
            </w:r>
            <w:r>
              <w:rPr>
                <w:rFonts w:hint="eastAsia"/>
                <w:color w:val="auto"/>
                <w:lang w:val="en-US" w:eastAsia="zh-CN"/>
              </w:rPr>
              <w:t>1</w:t>
            </w:r>
            <w:r>
              <w:rPr>
                <w:color w:val="auto"/>
              </w:rPr>
              <w:t>处声环境保护目标，为</w:t>
            </w:r>
            <w:r>
              <w:rPr>
                <w:rFonts w:hint="eastAsia"/>
                <w:color w:val="auto"/>
              </w:rPr>
              <w:t>招商锦星汇</w:t>
            </w:r>
            <w:r>
              <w:rPr>
                <w:color w:val="auto"/>
              </w:rPr>
              <w:t>小区。</w:t>
            </w:r>
          </w:p>
          <w:p>
            <w:pPr>
              <w:adjustRightInd/>
              <w:snapToGrid/>
              <w:spacing w:before="120" w:beforeLines="50" w:line="240" w:lineRule="auto"/>
              <w:ind w:firstLine="0" w:firstLineChars="0"/>
              <w:jc w:val="center"/>
              <w:rPr>
                <w:b/>
                <w:color w:val="auto"/>
                <w:szCs w:val="21"/>
              </w:rPr>
            </w:pPr>
            <w:r>
              <w:rPr>
                <w:b/>
                <w:color w:val="auto"/>
                <w:szCs w:val="21"/>
              </w:rPr>
              <w:t>表3-4   声环境保护目标一览表</w:t>
            </w:r>
          </w:p>
          <w:tbl>
            <w:tblPr>
              <w:tblStyle w:val="40"/>
              <w:tblW w:w="9016"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46"/>
              <w:gridCol w:w="1183"/>
              <w:gridCol w:w="1104"/>
              <w:gridCol w:w="1177"/>
              <w:gridCol w:w="1172"/>
              <w:gridCol w:w="878"/>
              <w:gridCol w:w="878"/>
              <w:gridCol w:w="878"/>
              <w:gridCol w:w="13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446" w:type="dxa"/>
                  <w:vMerge w:val="restart"/>
                  <w:tcBorders>
                    <w:tl2br w:val="nil"/>
                    <w:tr2bl w:val="nil"/>
                  </w:tcBorders>
                  <w:vAlign w:val="center"/>
                </w:tcPr>
                <w:p>
                  <w:pPr>
                    <w:pStyle w:val="242"/>
                    <w:jc w:val="center"/>
                    <w:rPr>
                      <w:color w:val="auto"/>
                    </w:rPr>
                  </w:pPr>
                  <w:r>
                    <w:rPr>
                      <w:color w:val="auto"/>
                    </w:rPr>
                    <w:t>序号</w:t>
                  </w:r>
                </w:p>
              </w:tc>
              <w:tc>
                <w:tcPr>
                  <w:tcW w:w="1183" w:type="dxa"/>
                  <w:vMerge w:val="restart"/>
                  <w:tcBorders>
                    <w:tl2br w:val="nil"/>
                    <w:tr2bl w:val="nil"/>
                  </w:tcBorders>
                  <w:vAlign w:val="center"/>
                </w:tcPr>
                <w:p>
                  <w:pPr>
                    <w:pStyle w:val="242"/>
                    <w:jc w:val="center"/>
                    <w:rPr>
                      <w:color w:val="auto"/>
                    </w:rPr>
                  </w:pPr>
                  <w:r>
                    <w:rPr>
                      <w:color w:val="auto"/>
                    </w:rPr>
                    <w:t>名称</w:t>
                  </w:r>
                </w:p>
              </w:tc>
              <w:tc>
                <w:tcPr>
                  <w:tcW w:w="2281" w:type="dxa"/>
                  <w:gridSpan w:val="2"/>
                  <w:tcBorders>
                    <w:tl2br w:val="nil"/>
                    <w:tr2bl w:val="nil"/>
                  </w:tcBorders>
                  <w:vAlign w:val="center"/>
                </w:tcPr>
                <w:p>
                  <w:pPr>
                    <w:pStyle w:val="242"/>
                    <w:jc w:val="center"/>
                    <w:rPr>
                      <w:color w:val="auto"/>
                    </w:rPr>
                  </w:pPr>
                  <w:r>
                    <w:rPr>
                      <w:color w:val="auto"/>
                    </w:rPr>
                    <w:t>坐标</w:t>
                  </w:r>
                </w:p>
              </w:tc>
              <w:tc>
                <w:tcPr>
                  <w:tcW w:w="1172" w:type="dxa"/>
                  <w:vMerge w:val="restart"/>
                  <w:tcBorders>
                    <w:tl2br w:val="nil"/>
                    <w:tr2bl w:val="nil"/>
                  </w:tcBorders>
                  <w:vAlign w:val="center"/>
                </w:tcPr>
                <w:p>
                  <w:pPr>
                    <w:pStyle w:val="242"/>
                    <w:jc w:val="center"/>
                    <w:rPr>
                      <w:color w:val="auto"/>
                    </w:rPr>
                  </w:pPr>
                  <w:r>
                    <w:rPr>
                      <w:color w:val="auto"/>
                    </w:rPr>
                    <w:t>保护对象</w:t>
                  </w:r>
                </w:p>
              </w:tc>
              <w:tc>
                <w:tcPr>
                  <w:tcW w:w="878" w:type="dxa"/>
                  <w:vMerge w:val="restart"/>
                  <w:tcBorders>
                    <w:tl2br w:val="nil"/>
                    <w:tr2bl w:val="nil"/>
                  </w:tcBorders>
                  <w:vAlign w:val="center"/>
                </w:tcPr>
                <w:p>
                  <w:pPr>
                    <w:pStyle w:val="242"/>
                    <w:jc w:val="center"/>
                    <w:rPr>
                      <w:color w:val="auto"/>
                    </w:rPr>
                  </w:pPr>
                  <w:r>
                    <w:rPr>
                      <w:color w:val="auto"/>
                    </w:rPr>
                    <w:t>保护内容</w:t>
                  </w:r>
                </w:p>
              </w:tc>
              <w:tc>
                <w:tcPr>
                  <w:tcW w:w="878" w:type="dxa"/>
                  <w:vMerge w:val="restart"/>
                  <w:tcBorders>
                    <w:tl2br w:val="nil"/>
                    <w:tr2bl w:val="nil"/>
                  </w:tcBorders>
                  <w:vAlign w:val="center"/>
                </w:tcPr>
                <w:p>
                  <w:pPr>
                    <w:pStyle w:val="242"/>
                    <w:jc w:val="center"/>
                    <w:rPr>
                      <w:color w:val="auto"/>
                    </w:rPr>
                  </w:pPr>
                  <w:r>
                    <w:rPr>
                      <w:color w:val="auto"/>
                    </w:rPr>
                    <w:t>环境功能区</w:t>
                  </w:r>
                </w:p>
              </w:tc>
              <w:tc>
                <w:tcPr>
                  <w:tcW w:w="878" w:type="dxa"/>
                  <w:vMerge w:val="restart"/>
                  <w:tcBorders>
                    <w:tl2br w:val="nil"/>
                    <w:tr2bl w:val="nil"/>
                  </w:tcBorders>
                  <w:vAlign w:val="center"/>
                </w:tcPr>
                <w:p>
                  <w:pPr>
                    <w:pStyle w:val="242"/>
                    <w:jc w:val="center"/>
                    <w:rPr>
                      <w:color w:val="auto"/>
                    </w:rPr>
                  </w:pPr>
                  <w:r>
                    <w:rPr>
                      <w:color w:val="auto"/>
                    </w:rPr>
                    <w:t>相对厂址方位</w:t>
                  </w:r>
                </w:p>
              </w:tc>
              <w:tc>
                <w:tcPr>
                  <w:tcW w:w="1300" w:type="dxa"/>
                  <w:vMerge w:val="restart"/>
                  <w:tcBorders>
                    <w:tl2br w:val="nil"/>
                    <w:tr2bl w:val="nil"/>
                  </w:tcBorders>
                  <w:vAlign w:val="center"/>
                </w:tcPr>
                <w:p>
                  <w:pPr>
                    <w:pStyle w:val="242"/>
                    <w:jc w:val="center"/>
                    <w:rPr>
                      <w:color w:val="auto"/>
                    </w:rPr>
                  </w:pPr>
                  <w:r>
                    <w:rPr>
                      <w:color w:val="auto"/>
                    </w:rPr>
                    <w:t>相对厂界距离（m）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446" w:type="dxa"/>
                  <w:vMerge w:val="continue"/>
                  <w:tcBorders>
                    <w:tl2br w:val="nil"/>
                    <w:tr2bl w:val="nil"/>
                  </w:tcBorders>
                  <w:vAlign w:val="center"/>
                </w:tcPr>
                <w:p>
                  <w:pPr>
                    <w:pStyle w:val="242"/>
                    <w:jc w:val="center"/>
                    <w:rPr>
                      <w:color w:val="auto"/>
                    </w:rPr>
                  </w:pPr>
                </w:p>
              </w:tc>
              <w:tc>
                <w:tcPr>
                  <w:tcW w:w="1183" w:type="dxa"/>
                  <w:vMerge w:val="continue"/>
                  <w:tcBorders>
                    <w:tl2br w:val="nil"/>
                    <w:tr2bl w:val="nil"/>
                  </w:tcBorders>
                  <w:vAlign w:val="center"/>
                </w:tcPr>
                <w:p>
                  <w:pPr>
                    <w:pStyle w:val="242"/>
                    <w:jc w:val="center"/>
                    <w:rPr>
                      <w:color w:val="auto"/>
                    </w:rPr>
                  </w:pPr>
                </w:p>
              </w:tc>
              <w:tc>
                <w:tcPr>
                  <w:tcW w:w="1104" w:type="dxa"/>
                  <w:tcBorders>
                    <w:tl2br w:val="nil"/>
                    <w:tr2bl w:val="nil"/>
                  </w:tcBorders>
                  <w:vAlign w:val="center"/>
                </w:tcPr>
                <w:p>
                  <w:pPr>
                    <w:pStyle w:val="242"/>
                    <w:jc w:val="center"/>
                    <w:rPr>
                      <w:color w:val="auto"/>
                    </w:rPr>
                  </w:pPr>
                  <w:r>
                    <w:rPr>
                      <w:color w:val="auto"/>
                    </w:rPr>
                    <w:t>经度</w:t>
                  </w:r>
                </w:p>
              </w:tc>
              <w:tc>
                <w:tcPr>
                  <w:tcW w:w="1177" w:type="dxa"/>
                  <w:tcBorders>
                    <w:tl2br w:val="nil"/>
                    <w:tr2bl w:val="nil"/>
                  </w:tcBorders>
                  <w:vAlign w:val="center"/>
                </w:tcPr>
                <w:p>
                  <w:pPr>
                    <w:pStyle w:val="242"/>
                    <w:jc w:val="center"/>
                    <w:rPr>
                      <w:color w:val="auto"/>
                    </w:rPr>
                  </w:pPr>
                  <w:r>
                    <w:rPr>
                      <w:color w:val="auto"/>
                    </w:rPr>
                    <w:t>纬度</w:t>
                  </w:r>
                </w:p>
              </w:tc>
              <w:tc>
                <w:tcPr>
                  <w:tcW w:w="1172" w:type="dxa"/>
                  <w:vMerge w:val="continue"/>
                  <w:tcBorders>
                    <w:tl2br w:val="nil"/>
                    <w:tr2bl w:val="nil"/>
                  </w:tcBorders>
                  <w:vAlign w:val="center"/>
                </w:tcPr>
                <w:p>
                  <w:pPr>
                    <w:pStyle w:val="242"/>
                    <w:jc w:val="center"/>
                    <w:rPr>
                      <w:color w:val="auto"/>
                    </w:rPr>
                  </w:pPr>
                </w:p>
              </w:tc>
              <w:tc>
                <w:tcPr>
                  <w:tcW w:w="878" w:type="dxa"/>
                  <w:vMerge w:val="continue"/>
                  <w:tcBorders>
                    <w:tl2br w:val="nil"/>
                    <w:tr2bl w:val="nil"/>
                  </w:tcBorders>
                  <w:vAlign w:val="center"/>
                </w:tcPr>
                <w:p>
                  <w:pPr>
                    <w:pStyle w:val="242"/>
                    <w:jc w:val="center"/>
                    <w:rPr>
                      <w:color w:val="auto"/>
                    </w:rPr>
                  </w:pPr>
                </w:p>
              </w:tc>
              <w:tc>
                <w:tcPr>
                  <w:tcW w:w="878" w:type="dxa"/>
                  <w:vMerge w:val="continue"/>
                  <w:tcBorders>
                    <w:tl2br w:val="nil"/>
                    <w:tr2bl w:val="nil"/>
                  </w:tcBorders>
                  <w:vAlign w:val="center"/>
                </w:tcPr>
                <w:p>
                  <w:pPr>
                    <w:pStyle w:val="242"/>
                    <w:jc w:val="center"/>
                    <w:rPr>
                      <w:color w:val="auto"/>
                    </w:rPr>
                  </w:pPr>
                </w:p>
              </w:tc>
              <w:tc>
                <w:tcPr>
                  <w:tcW w:w="878" w:type="dxa"/>
                  <w:vMerge w:val="continue"/>
                  <w:tcBorders>
                    <w:tl2br w:val="nil"/>
                    <w:tr2bl w:val="nil"/>
                  </w:tcBorders>
                  <w:vAlign w:val="center"/>
                </w:tcPr>
                <w:p>
                  <w:pPr>
                    <w:pStyle w:val="242"/>
                    <w:jc w:val="center"/>
                    <w:rPr>
                      <w:color w:val="auto"/>
                    </w:rPr>
                  </w:pPr>
                </w:p>
              </w:tc>
              <w:tc>
                <w:tcPr>
                  <w:tcW w:w="1300" w:type="dxa"/>
                  <w:vMerge w:val="continue"/>
                  <w:tcBorders>
                    <w:tl2br w:val="nil"/>
                    <w:tr2bl w:val="nil"/>
                  </w:tcBorders>
                  <w:vAlign w:val="center"/>
                </w:tcPr>
                <w:p>
                  <w:pPr>
                    <w:pStyle w:val="242"/>
                    <w:jc w:val="center"/>
                    <w:rPr>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446" w:type="dxa"/>
                  <w:tcBorders>
                    <w:tl2br w:val="nil"/>
                    <w:tr2bl w:val="nil"/>
                  </w:tcBorders>
                  <w:vAlign w:val="center"/>
                </w:tcPr>
                <w:p>
                  <w:pPr>
                    <w:pStyle w:val="242"/>
                    <w:jc w:val="center"/>
                    <w:rPr>
                      <w:color w:val="auto"/>
                    </w:rPr>
                  </w:pPr>
                  <w:r>
                    <w:rPr>
                      <w:color w:val="auto"/>
                    </w:rPr>
                    <w:t>1</w:t>
                  </w:r>
                </w:p>
              </w:tc>
              <w:tc>
                <w:tcPr>
                  <w:tcW w:w="1183" w:type="dxa"/>
                  <w:tcBorders>
                    <w:tl2br w:val="nil"/>
                    <w:tr2bl w:val="nil"/>
                  </w:tcBorders>
                  <w:vAlign w:val="center"/>
                </w:tcPr>
                <w:p>
                  <w:pPr>
                    <w:adjustRightInd/>
                    <w:snapToGrid/>
                    <w:spacing w:line="240" w:lineRule="auto"/>
                    <w:ind w:firstLine="0" w:firstLineChars="0"/>
                    <w:jc w:val="center"/>
                    <w:rPr>
                      <w:color w:val="auto"/>
                    </w:rPr>
                  </w:pPr>
                  <w:r>
                    <w:rPr>
                      <w:rFonts w:hint="eastAsia"/>
                      <w:bCs/>
                      <w:snapToGrid w:val="0"/>
                      <w:color w:val="auto"/>
                      <w:kern w:val="0"/>
                      <w:szCs w:val="21"/>
                    </w:rPr>
                    <w:t>招商锦星汇</w:t>
                  </w:r>
                </w:p>
              </w:tc>
              <w:tc>
                <w:tcPr>
                  <w:tcW w:w="1104" w:type="dxa"/>
                  <w:tcBorders>
                    <w:tl2br w:val="nil"/>
                    <w:tr2bl w:val="nil"/>
                  </w:tcBorders>
                  <w:vAlign w:val="center"/>
                </w:tcPr>
                <w:p>
                  <w:pPr>
                    <w:adjustRightInd/>
                    <w:snapToGrid/>
                    <w:spacing w:line="240" w:lineRule="auto"/>
                    <w:ind w:firstLine="0" w:firstLineChars="0"/>
                    <w:jc w:val="center"/>
                    <w:rPr>
                      <w:color w:val="auto"/>
                    </w:rPr>
                  </w:pPr>
                  <w:r>
                    <w:rPr>
                      <w:rFonts w:hint="eastAsia"/>
                      <w:snapToGrid w:val="0"/>
                      <w:color w:val="auto"/>
                      <w:kern w:val="0"/>
                      <w:szCs w:val="21"/>
                    </w:rPr>
                    <w:t>106.5186</w:t>
                  </w:r>
                </w:p>
              </w:tc>
              <w:tc>
                <w:tcPr>
                  <w:tcW w:w="1177" w:type="dxa"/>
                  <w:tcBorders>
                    <w:tl2br w:val="nil"/>
                    <w:tr2bl w:val="nil"/>
                  </w:tcBorders>
                  <w:vAlign w:val="center"/>
                </w:tcPr>
                <w:p>
                  <w:pPr>
                    <w:adjustRightInd/>
                    <w:snapToGrid/>
                    <w:spacing w:line="240" w:lineRule="auto"/>
                    <w:ind w:firstLine="0" w:firstLineChars="0"/>
                    <w:jc w:val="center"/>
                    <w:rPr>
                      <w:color w:val="auto"/>
                    </w:rPr>
                  </w:pPr>
                  <w:r>
                    <w:rPr>
                      <w:rFonts w:hint="eastAsia"/>
                      <w:snapToGrid w:val="0"/>
                      <w:color w:val="auto"/>
                      <w:kern w:val="0"/>
                      <w:szCs w:val="21"/>
                    </w:rPr>
                    <w:t>29.5801</w:t>
                  </w:r>
                </w:p>
              </w:tc>
              <w:tc>
                <w:tcPr>
                  <w:tcW w:w="1172" w:type="dxa"/>
                  <w:tcBorders>
                    <w:tl2br w:val="nil"/>
                    <w:tr2bl w:val="nil"/>
                  </w:tcBorders>
                  <w:vAlign w:val="center"/>
                </w:tcPr>
                <w:p>
                  <w:pPr>
                    <w:pStyle w:val="242"/>
                    <w:jc w:val="center"/>
                    <w:rPr>
                      <w:color w:val="auto"/>
                    </w:rPr>
                  </w:pPr>
                  <w:r>
                    <w:rPr>
                      <w:snapToGrid w:val="0"/>
                      <w:color w:val="auto"/>
                      <w:kern w:val="0"/>
                      <w:szCs w:val="21"/>
                    </w:rPr>
                    <w:t>居民区，约</w:t>
                  </w:r>
                  <w:r>
                    <w:rPr>
                      <w:rFonts w:hint="eastAsia"/>
                      <w:snapToGrid w:val="0"/>
                      <w:color w:val="auto"/>
                      <w:kern w:val="0"/>
                      <w:szCs w:val="21"/>
                    </w:rPr>
                    <w:t>600户</w:t>
                  </w:r>
                </w:p>
              </w:tc>
              <w:tc>
                <w:tcPr>
                  <w:tcW w:w="878" w:type="dxa"/>
                  <w:tcBorders>
                    <w:tl2br w:val="nil"/>
                    <w:tr2bl w:val="nil"/>
                  </w:tcBorders>
                  <w:vAlign w:val="center"/>
                </w:tcPr>
                <w:p>
                  <w:pPr>
                    <w:pStyle w:val="242"/>
                    <w:jc w:val="center"/>
                    <w:rPr>
                      <w:color w:val="auto"/>
                    </w:rPr>
                  </w:pPr>
                  <w:r>
                    <w:rPr>
                      <w:color w:val="auto"/>
                    </w:rPr>
                    <w:t>声环境</w:t>
                  </w:r>
                </w:p>
              </w:tc>
              <w:tc>
                <w:tcPr>
                  <w:tcW w:w="878" w:type="dxa"/>
                  <w:tcBorders>
                    <w:tl2br w:val="nil"/>
                    <w:tr2bl w:val="nil"/>
                  </w:tcBorders>
                  <w:vAlign w:val="center"/>
                </w:tcPr>
                <w:p>
                  <w:pPr>
                    <w:pStyle w:val="242"/>
                    <w:jc w:val="center"/>
                    <w:rPr>
                      <w:color w:val="auto"/>
                    </w:rPr>
                  </w:pPr>
                  <w:r>
                    <w:rPr>
                      <w:color w:val="auto"/>
                    </w:rPr>
                    <w:t>2类</w:t>
                  </w:r>
                </w:p>
              </w:tc>
              <w:tc>
                <w:tcPr>
                  <w:tcW w:w="878" w:type="dxa"/>
                  <w:tcBorders>
                    <w:tl2br w:val="nil"/>
                    <w:tr2bl w:val="nil"/>
                  </w:tcBorders>
                  <w:vAlign w:val="center"/>
                </w:tcPr>
                <w:p>
                  <w:pPr>
                    <w:pStyle w:val="242"/>
                    <w:jc w:val="center"/>
                    <w:rPr>
                      <w:color w:val="auto"/>
                    </w:rPr>
                  </w:pPr>
                  <w:r>
                    <w:rPr>
                      <w:color w:val="auto"/>
                    </w:rPr>
                    <w:t>/</w:t>
                  </w:r>
                </w:p>
              </w:tc>
              <w:tc>
                <w:tcPr>
                  <w:tcW w:w="1300" w:type="dxa"/>
                  <w:tcBorders>
                    <w:tl2br w:val="nil"/>
                    <w:tr2bl w:val="nil"/>
                  </w:tcBorders>
                  <w:vAlign w:val="center"/>
                </w:tcPr>
                <w:p>
                  <w:pPr>
                    <w:pStyle w:val="242"/>
                    <w:jc w:val="center"/>
                    <w:rPr>
                      <w:color w:val="auto"/>
                    </w:rPr>
                  </w:pPr>
                  <w:r>
                    <w:rPr>
                      <w:color w:val="auto"/>
                      <w:szCs w:val="21"/>
                    </w:rPr>
                    <w:t>紧邻</w:t>
                  </w:r>
                </w:p>
              </w:tc>
            </w:tr>
          </w:tbl>
          <w:p>
            <w:pPr>
              <w:spacing w:before="120" w:beforeLines="50"/>
              <w:ind w:firstLine="422"/>
              <w:rPr>
                <w:b/>
                <w:color w:val="auto"/>
              </w:rPr>
            </w:pPr>
            <w:r>
              <w:rPr>
                <w:b/>
                <w:color w:val="auto"/>
              </w:rPr>
              <w:t>3、地下水</w:t>
            </w:r>
          </w:p>
          <w:p>
            <w:pPr>
              <w:ind w:firstLine="420"/>
              <w:rPr>
                <w:color w:val="auto"/>
              </w:rPr>
            </w:pPr>
            <w:r>
              <w:rPr>
                <w:color w:val="auto"/>
              </w:rPr>
              <w:t>项目周边500m范围内无地下水集中式饮用水源和热水、矿泉水、温泉等特殊地下水资源。</w:t>
            </w:r>
          </w:p>
          <w:p>
            <w:pPr>
              <w:ind w:firstLine="422"/>
              <w:rPr>
                <w:b/>
                <w:color w:val="auto"/>
              </w:rPr>
            </w:pPr>
            <w:r>
              <w:rPr>
                <w:b/>
                <w:color w:val="auto"/>
              </w:rPr>
              <w:t>4、生态环境</w:t>
            </w:r>
          </w:p>
          <w:p>
            <w:pPr>
              <w:ind w:firstLine="420"/>
              <w:rPr>
                <w:color w:val="auto"/>
              </w:rPr>
            </w:pPr>
            <w:r>
              <w:rPr>
                <w:color w:val="auto"/>
              </w:rPr>
              <w:t>项目位于城市建成区，周围分布为居住小区、商业楼等，周边500m范围内无自然保护区、风景名胜区、饮用水源地等生态环境保护目标。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721" w:type="dxa"/>
            <w:tcMar>
              <w:left w:w="28" w:type="dxa"/>
              <w:right w:w="28" w:type="dxa"/>
            </w:tcMar>
            <w:vAlign w:val="center"/>
          </w:tcPr>
          <w:p>
            <w:pPr>
              <w:ind w:firstLine="0" w:firstLineChars="0"/>
              <w:rPr>
                <w:color w:val="auto"/>
                <w:kern w:val="0"/>
                <w:szCs w:val="21"/>
              </w:rPr>
            </w:pPr>
            <w:r>
              <w:rPr>
                <w:color w:val="auto"/>
                <w:kern w:val="0"/>
                <w:szCs w:val="21"/>
              </w:rPr>
              <w:t>污染物排放控制标准</w:t>
            </w:r>
          </w:p>
        </w:tc>
        <w:tc>
          <w:tcPr>
            <w:tcW w:w="9242" w:type="dxa"/>
            <w:vAlign w:val="center"/>
          </w:tcPr>
          <w:p>
            <w:pPr>
              <w:adjustRightInd/>
              <w:snapToGrid/>
              <w:ind w:firstLine="422"/>
              <w:rPr>
                <w:b/>
                <w:color w:val="auto"/>
              </w:rPr>
            </w:pPr>
            <w:r>
              <w:rPr>
                <w:b/>
                <w:color w:val="auto"/>
              </w:rPr>
              <w:t>1、大气污染物排放标准</w:t>
            </w:r>
          </w:p>
          <w:p>
            <w:pPr>
              <w:ind w:firstLine="420"/>
              <w:rPr>
                <w:color w:val="auto"/>
                <w:highlight w:val="none"/>
              </w:rPr>
            </w:pPr>
            <w:r>
              <w:rPr>
                <w:rFonts w:hint="eastAsia"/>
                <w:color w:val="auto"/>
              </w:rPr>
              <w:t>本项目营运期间，宠物诊疗、住院会产生异味，主要来源于宠物自身及粪便。由于本项目规模较小，每天对院内进行消毒，加强通风换气后，可有效去除异味，故本</w:t>
            </w:r>
            <w:r>
              <w:rPr>
                <w:rFonts w:hint="eastAsia"/>
                <w:color w:val="auto"/>
                <w:highlight w:val="none"/>
              </w:rPr>
              <w:t>次评价不对废气进行</w:t>
            </w:r>
            <w:r>
              <w:rPr>
                <w:rStyle w:val="45"/>
                <w:rFonts w:hint="eastAsia"/>
                <w:color w:val="auto"/>
                <w:kern w:val="0"/>
                <w:szCs w:val="20"/>
                <w:highlight w:val="none"/>
                <w:lang w:val="en-US" w:eastAsia="zh-CN"/>
              </w:rPr>
              <w:t>识别及</w:t>
            </w:r>
            <w:r>
              <w:rPr>
                <w:rFonts w:hint="eastAsia"/>
                <w:color w:val="auto"/>
                <w:highlight w:val="none"/>
              </w:rPr>
              <w:t>管控</w:t>
            </w:r>
            <w:r>
              <w:rPr>
                <w:rStyle w:val="45"/>
                <w:rFonts w:hint="eastAsia"/>
                <w:color w:val="auto"/>
                <w:kern w:val="0"/>
                <w:szCs w:val="20"/>
                <w:highlight w:val="none"/>
              </w:rPr>
              <w:t>。</w:t>
            </w:r>
          </w:p>
          <w:p>
            <w:pPr>
              <w:ind w:firstLine="422"/>
              <w:rPr>
                <w:b/>
                <w:color w:val="auto"/>
                <w:kern w:val="0"/>
                <w:szCs w:val="21"/>
              </w:rPr>
            </w:pPr>
            <w:r>
              <w:rPr>
                <w:b/>
                <w:color w:val="auto"/>
                <w:kern w:val="0"/>
                <w:szCs w:val="21"/>
              </w:rPr>
              <w:t>2、废水污染物排放标准</w:t>
            </w:r>
          </w:p>
          <w:p>
            <w:pPr>
              <w:ind w:firstLine="420"/>
              <w:rPr>
                <w:color w:val="auto"/>
                <w:szCs w:val="21"/>
              </w:rPr>
            </w:pPr>
            <w:r>
              <w:rPr>
                <w:color w:val="auto"/>
              </w:rPr>
              <w:t>本项目为小型宠物医院，接诊量较小，参照《医疗废物管理条例（2011修订）》中“第二十条 医疗卫生机构产生的污水、传染病病人或者疑似传染病病人的排泄物，应当按照国家规定严格消毒；达到国家规定的排放标准后，方可排入污水处理系统。”和《动物诊疗机构管理办法》（中华人民共和国农业农村部令 2022年第5号）中“第二十六条 ……动物诊疗机构应当参照《医疗废物管理条例》的有关规定处理诊疗废弃物，不得随意丢弃诊疗废弃物，排放未经无害化处理的诊疗废水。”</w:t>
            </w:r>
            <w:r>
              <w:rPr>
                <w:color w:val="auto"/>
                <w:szCs w:val="21"/>
              </w:rPr>
              <w:t xml:space="preserve"> </w:t>
            </w:r>
          </w:p>
          <w:p>
            <w:pPr>
              <w:ind w:firstLine="420"/>
              <w:rPr>
                <w:color w:val="auto"/>
              </w:rPr>
            </w:pPr>
            <w:r>
              <w:rPr>
                <w:color w:val="auto"/>
                <w:szCs w:val="21"/>
              </w:rPr>
              <w:t>参照《医疗机构水污染物排放标准》（GB18466-2005）中4.1.3“县级以下或20张床位以下的综合医疗机构和其他所有医疗机构污水经消毒后方可排放”的规定，本项目医疗废水需经消毒处理之后方能外排。</w:t>
            </w:r>
          </w:p>
          <w:p>
            <w:pPr>
              <w:ind w:firstLine="420"/>
              <w:rPr>
                <w:bCs/>
                <w:color w:val="auto"/>
              </w:rPr>
            </w:pPr>
            <w:r>
              <w:rPr>
                <w:color w:val="auto"/>
              </w:rPr>
              <w:t>项目营运期废水为医疗废水、生活污水、洗浴废水，医疗废水经处理设施预处理后（出水总余氯参照执行《医疗机构水污染物排放标准》（GB18466-2005）预处理标准），与生活污水、洗浴废水一起排入</w:t>
            </w:r>
            <w:r>
              <w:rPr>
                <w:rFonts w:hint="eastAsia"/>
                <w:color w:val="auto"/>
              </w:rPr>
              <w:t>招商锦星汇</w:t>
            </w:r>
            <w:r>
              <w:rPr>
                <w:color w:val="auto"/>
              </w:rPr>
              <w:t>生化池处理达《污水综合排放标准》（GB8978-1996）三级标准后接入市政污水管网排至唐家沱污水处理厂深度处理达《城镇污水处理厂污染物排放标准》（GB18918-2002）一级A标准后，尾水排入长江。</w:t>
            </w:r>
          </w:p>
          <w:p>
            <w:pPr>
              <w:ind w:firstLine="420"/>
              <w:rPr>
                <w:color w:val="auto"/>
                <w:kern w:val="0"/>
                <w:szCs w:val="21"/>
              </w:rPr>
            </w:pPr>
            <w:r>
              <w:rPr>
                <w:color w:val="auto"/>
                <w:kern w:val="0"/>
                <w:szCs w:val="21"/>
              </w:rPr>
              <w:t>主要污染物标准值见表3-</w:t>
            </w:r>
            <w:r>
              <w:rPr>
                <w:rFonts w:hint="eastAsia"/>
                <w:color w:val="auto"/>
                <w:kern w:val="0"/>
                <w:szCs w:val="21"/>
              </w:rPr>
              <w:t>5</w:t>
            </w:r>
            <w:r>
              <w:rPr>
                <w:color w:val="auto"/>
                <w:kern w:val="0"/>
                <w:szCs w:val="21"/>
              </w:rPr>
              <w:t>。</w:t>
            </w:r>
          </w:p>
          <w:p>
            <w:pPr>
              <w:pStyle w:val="234"/>
              <w:adjustRightInd/>
              <w:snapToGrid/>
              <w:spacing w:before="120"/>
              <w:ind w:firstLine="0" w:firstLineChars="0"/>
              <w:rPr>
                <w:color w:val="auto"/>
              </w:rPr>
            </w:pPr>
            <w:r>
              <w:rPr>
                <w:color w:val="auto"/>
              </w:rPr>
              <w:t>表3-</w:t>
            </w:r>
            <w:r>
              <w:rPr>
                <w:rFonts w:hint="eastAsia"/>
                <w:color w:val="auto"/>
              </w:rPr>
              <w:t>5</w:t>
            </w:r>
            <w:r>
              <w:rPr>
                <w:color w:val="auto"/>
              </w:rPr>
              <w:t xml:space="preserve">    水污染物排放标准    单位：mg/L</w:t>
            </w:r>
          </w:p>
          <w:tbl>
            <w:tblPr>
              <w:tblStyle w:val="40"/>
              <w:tblW w:w="9020" w:type="dxa"/>
              <w:tblInd w:w="1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628"/>
              <w:gridCol w:w="765"/>
              <w:gridCol w:w="844"/>
              <w:gridCol w:w="644"/>
              <w:gridCol w:w="1093"/>
              <w:gridCol w:w="889"/>
              <w:gridCol w:w="1037"/>
              <w:gridCol w:w="86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2254" w:type="dxa"/>
                  <w:tcBorders>
                    <w:tl2br w:val="nil"/>
                    <w:tr2bl w:val="nil"/>
                  </w:tcBorders>
                  <w:vAlign w:val="center"/>
                </w:tcPr>
                <w:p>
                  <w:pPr>
                    <w:pStyle w:val="185"/>
                    <w:rPr>
                      <w:color w:val="auto"/>
                      <w:sz w:val="21"/>
                      <w:szCs w:val="21"/>
                    </w:rPr>
                  </w:pPr>
                  <w:r>
                    <w:rPr>
                      <w:color w:val="auto"/>
                      <w:sz w:val="21"/>
                      <w:szCs w:val="21"/>
                    </w:rPr>
                    <w:t>内容</w:t>
                  </w:r>
                </w:p>
              </w:tc>
              <w:tc>
                <w:tcPr>
                  <w:tcW w:w="628" w:type="dxa"/>
                  <w:tcBorders>
                    <w:tl2br w:val="nil"/>
                    <w:tr2bl w:val="nil"/>
                  </w:tcBorders>
                  <w:vAlign w:val="center"/>
                </w:tcPr>
                <w:p>
                  <w:pPr>
                    <w:pStyle w:val="185"/>
                    <w:rPr>
                      <w:color w:val="auto"/>
                      <w:sz w:val="21"/>
                      <w:szCs w:val="21"/>
                    </w:rPr>
                  </w:pPr>
                  <w:r>
                    <w:rPr>
                      <w:color w:val="auto"/>
                      <w:sz w:val="21"/>
                      <w:szCs w:val="21"/>
                    </w:rPr>
                    <w:t>pH</w:t>
                  </w:r>
                </w:p>
              </w:tc>
              <w:tc>
                <w:tcPr>
                  <w:tcW w:w="765" w:type="dxa"/>
                  <w:tcBorders>
                    <w:tl2br w:val="nil"/>
                    <w:tr2bl w:val="nil"/>
                  </w:tcBorders>
                  <w:vAlign w:val="center"/>
                </w:tcPr>
                <w:p>
                  <w:pPr>
                    <w:pStyle w:val="185"/>
                    <w:rPr>
                      <w:color w:val="auto"/>
                      <w:sz w:val="21"/>
                      <w:szCs w:val="21"/>
                    </w:rPr>
                  </w:pPr>
                  <w:r>
                    <w:rPr>
                      <w:color w:val="auto"/>
                      <w:sz w:val="21"/>
                      <w:szCs w:val="21"/>
                    </w:rPr>
                    <w:t>COD</w:t>
                  </w:r>
                </w:p>
              </w:tc>
              <w:tc>
                <w:tcPr>
                  <w:tcW w:w="844" w:type="dxa"/>
                  <w:tcBorders>
                    <w:tl2br w:val="nil"/>
                    <w:tr2bl w:val="nil"/>
                  </w:tcBorders>
                  <w:vAlign w:val="center"/>
                </w:tcPr>
                <w:p>
                  <w:pPr>
                    <w:pStyle w:val="185"/>
                    <w:rPr>
                      <w:color w:val="auto"/>
                      <w:sz w:val="21"/>
                      <w:szCs w:val="21"/>
                    </w:rPr>
                  </w:pPr>
                  <w:r>
                    <w:rPr>
                      <w:color w:val="auto"/>
                      <w:sz w:val="21"/>
                      <w:szCs w:val="21"/>
                    </w:rPr>
                    <w:t>BOD</w:t>
                  </w:r>
                  <w:r>
                    <w:rPr>
                      <w:color w:val="auto"/>
                      <w:sz w:val="21"/>
                      <w:szCs w:val="21"/>
                      <w:vertAlign w:val="subscript"/>
                    </w:rPr>
                    <w:t>5</w:t>
                  </w:r>
                </w:p>
              </w:tc>
              <w:tc>
                <w:tcPr>
                  <w:tcW w:w="644" w:type="dxa"/>
                  <w:tcBorders>
                    <w:tl2br w:val="nil"/>
                    <w:tr2bl w:val="nil"/>
                  </w:tcBorders>
                  <w:vAlign w:val="center"/>
                </w:tcPr>
                <w:p>
                  <w:pPr>
                    <w:pStyle w:val="185"/>
                    <w:rPr>
                      <w:color w:val="auto"/>
                      <w:sz w:val="21"/>
                      <w:szCs w:val="21"/>
                    </w:rPr>
                  </w:pPr>
                  <w:r>
                    <w:rPr>
                      <w:color w:val="auto"/>
                      <w:sz w:val="21"/>
                      <w:szCs w:val="21"/>
                    </w:rPr>
                    <w:t>SS</w:t>
                  </w:r>
                </w:p>
              </w:tc>
              <w:tc>
                <w:tcPr>
                  <w:tcW w:w="1093" w:type="dxa"/>
                  <w:tcBorders>
                    <w:tl2br w:val="nil"/>
                    <w:tr2bl w:val="nil"/>
                  </w:tcBorders>
                  <w:vAlign w:val="center"/>
                </w:tcPr>
                <w:p>
                  <w:pPr>
                    <w:pStyle w:val="185"/>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889" w:type="dxa"/>
                  <w:tcBorders>
                    <w:tl2br w:val="nil"/>
                    <w:tr2bl w:val="nil"/>
                  </w:tcBorders>
                  <w:vAlign w:val="center"/>
                </w:tcPr>
                <w:p>
                  <w:pPr>
                    <w:pStyle w:val="185"/>
                    <w:rPr>
                      <w:color w:val="auto"/>
                      <w:sz w:val="21"/>
                      <w:szCs w:val="21"/>
                    </w:rPr>
                  </w:pPr>
                  <w:r>
                    <w:rPr>
                      <w:color w:val="auto"/>
                      <w:sz w:val="21"/>
                      <w:szCs w:val="21"/>
                    </w:rPr>
                    <w:t>LAS</w:t>
                  </w:r>
                </w:p>
              </w:tc>
              <w:tc>
                <w:tcPr>
                  <w:tcW w:w="1037" w:type="dxa"/>
                  <w:tcBorders>
                    <w:tl2br w:val="nil"/>
                    <w:tr2bl w:val="nil"/>
                  </w:tcBorders>
                  <w:vAlign w:val="center"/>
                </w:tcPr>
                <w:p>
                  <w:pPr>
                    <w:pStyle w:val="185"/>
                    <w:rPr>
                      <w:color w:val="auto"/>
                      <w:sz w:val="21"/>
                      <w:szCs w:val="21"/>
                    </w:rPr>
                  </w:pPr>
                  <w:r>
                    <w:rPr>
                      <w:color w:val="auto"/>
                      <w:sz w:val="21"/>
                      <w:szCs w:val="21"/>
                    </w:rPr>
                    <w:t>粪大肠菌群</w:t>
                  </w:r>
                </w:p>
              </w:tc>
              <w:tc>
                <w:tcPr>
                  <w:tcW w:w="866" w:type="dxa"/>
                  <w:tcBorders>
                    <w:tl2br w:val="nil"/>
                    <w:tr2bl w:val="nil"/>
                  </w:tcBorders>
                  <w:vAlign w:val="center"/>
                </w:tcPr>
                <w:p>
                  <w:pPr>
                    <w:pStyle w:val="185"/>
                    <w:rPr>
                      <w:color w:val="auto"/>
                      <w:sz w:val="21"/>
                      <w:szCs w:val="21"/>
                    </w:rPr>
                  </w:pPr>
                  <w:r>
                    <w:rPr>
                      <w:color w:val="auto"/>
                      <w:sz w:val="21"/>
                      <w:szCs w:val="21"/>
                    </w:rPr>
                    <w:t>总余氯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2254" w:type="dxa"/>
                  <w:tcBorders>
                    <w:tl2br w:val="nil"/>
                    <w:tr2bl w:val="nil"/>
                  </w:tcBorders>
                  <w:vAlign w:val="center"/>
                </w:tcPr>
                <w:p>
                  <w:pPr>
                    <w:pStyle w:val="185"/>
                    <w:rPr>
                      <w:color w:val="auto"/>
                      <w:sz w:val="21"/>
                      <w:szCs w:val="21"/>
                    </w:rPr>
                  </w:pPr>
                  <w:r>
                    <w:rPr>
                      <w:bCs/>
                      <w:color w:val="auto"/>
                      <w:sz w:val="21"/>
                      <w:szCs w:val="21"/>
                    </w:rPr>
                    <w:t>《污水综合排放标准》（GB8978-1996）三级标准</w:t>
                  </w:r>
                </w:p>
              </w:tc>
              <w:tc>
                <w:tcPr>
                  <w:tcW w:w="628" w:type="dxa"/>
                  <w:tcBorders>
                    <w:tl2br w:val="nil"/>
                    <w:tr2bl w:val="nil"/>
                  </w:tcBorders>
                  <w:vAlign w:val="center"/>
                </w:tcPr>
                <w:p>
                  <w:pPr>
                    <w:pStyle w:val="185"/>
                    <w:rPr>
                      <w:color w:val="auto"/>
                      <w:sz w:val="21"/>
                      <w:szCs w:val="21"/>
                    </w:rPr>
                  </w:pPr>
                  <w:r>
                    <w:rPr>
                      <w:color w:val="auto"/>
                      <w:sz w:val="21"/>
                      <w:szCs w:val="21"/>
                    </w:rPr>
                    <w:t>6~9</w:t>
                  </w:r>
                </w:p>
              </w:tc>
              <w:tc>
                <w:tcPr>
                  <w:tcW w:w="765" w:type="dxa"/>
                  <w:tcBorders>
                    <w:tl2br w:val="nil"/>
                    <w:tr2bl w:val="nil"/>
                  </w:tcBorders>
                  <w:vAlign w:val="center"/>
                </w:tcPr>
                <w:p>
                  <w:pPr>
                    <w:pStyle w:val="185"/>
                    <w:rPr>
                      <w:color w:val="auto"/>
                      <w:sz w:val="21"/>
                      <w:szCs w:val="21"/>
                    </w:rPr>
                  </w:pPr>
                  <w:r>
                    <w:rPr>
                      <w:color w:val="auto"/>
                      <w:sz w:val="21"/>
                      <w:szCs w:val="21"/>
                    </w:rPr>
                    <w:t>500</w:t>
                  </w:r>
                </w:p>
              </w:tc>
              <w:tc>
                <w:tcPr>
                  <w:tcW w:w="844" w:type="dxa"/>
                  <w:tcBorders>
                    <w:tl2br w:val="nil"/>
                    <w:tr2bl w:val="nil"/>
                  </w:tcBorders>
                  <w:vAlign w:val="center"/>
                </w:tcPr>
                <w:p>
                  <w:pPr>
                    <w:pStyle w:val="185"/>
                    <w:rPr>
                      <w:color w:val="auto"/>
                      <w:sz w:val="21"/>
                      <w:szCs w:val="21"/>
                    </w:rPr>
                  </w:pPr>
                  <w:r>
                    <w:rPr>
                      <w:color w:val="auto"/>
                      <w:sz w:val="21"/>
                      <w:szCs w:val="21"/>
                    </w:rPr>
                    <w:t>300</w:t>
                  </w:r>
                </w:p>
              </w:tc>
              <w:tc>
                <w:tcPr>
                  <w:tcW w:w="644" w:type="dxa"/>
                  <w:tcBorders>
                    <w:tl2br w:val="nil"/>
                    <w:tr2bl w:val="nil"/>
                  </w:tcBorders>
                  <w:vAlign w:val="center"/>
                </w:tcPr>
                <w:p>
                  <w:pPr>
                    <w:pStyle w:val="185"/>
                    <w:rPr>
                      <w:color w:val="auto"/>
                      <w:sz w:val="21"/>
                      <w:szCs w:val="21"/>
                    </w:rPr>
                  </w:pPr>
                  <w:r>
                    <w:rPr>
                      <w:color w:val="auto"/>
                      <w:sz w:val="21"/>
                      <w:szCs w:val="21"/>
                    </w:rPr>
                    <w:t>400</w:t>
                  </w:r>
                </w:p>
              </w:tc>
              <w:tc>
                <w:tcPr>
                  <w:tcW w:w="1093" w:type="dxa"/>
                  <w:tcBorders>
                    <w:tl2br w:val="nil"/>
                    <w:tr2bl w:val="nil"/>
                  </w:tcBorders>
                  <w:vAlign w:val="center"/>
                </w:tcPr>
                <w:p>
                  <w:pPr>
                    <w:pStyle w:val="185"/>
                    <w:rPr>
                      <w:color w:val="auto"/>
                      <w:sz w:val="21"/>
                      <w:szCs w:val="21"/>
                    </w:rPr>
                  </w:pPr>
                  <w:r>
                    <w:rPr>
                      <w:color w:val="auto"/>
                      <w:sz w:val="21"/>
                      <w:szCs w:val="21"/>
                    </w:rPr>
                    <w:t>45</w:t>
                  </w:r>
                  <w:r>
                    <w:rPr>
                      <w:rFonts w:hint="eastAsia" w:ascii="宋体" w:hAnsi="宋体" w:cs="宋体"/>
                      <w:bCs/>
                      <w:color w:val="auto"/>
                      <w:sz w:val="21"/>
                      <w:szCs w:val="21"/>
                      <w:vertAlign w:val="superscript"/>
                    </w:rPr>
                    <w:t>①</w:t>
                  </w:r>
                </w:p>
              </w:tc>
              <w:tc>
                <w:tcPr>
                  <w:tcW w:w="889" w:type="dxa"/>
                  <w:tcBorders>
                    <w:tl2br w:val="nil"/>
                    <w:tr2bl w:val="nil"/>
                  </w:tcBorders>
                  <w:vAlign w:val="center"/>
                </w:tcPr>
                <w:p>
                  <w:pPr>
                    <w:pStyle w:val="185"/>
                    <w:rPr>
                      <w:color w:val="auto"/>
                      <w:sz w:val="21"/>
                      <w:szCs w:val="21"/>
                    </w:rPr>
                  </w:pPr>
                  <w:r>
                    <w:rPr>
                      <w:color w:val="auto"/>
                      <w:sz w:val="21"/>
                      <w:szCs w:val="21"/>
                    </w:rPr>
                    <w:t>20</w:t>
                  </w:r>
                </w:p>
              </w:tc>
              <w:tc>
                <w:tcPr>
                  <w:tcW w:w="1037" w:type="dxa"/>
                  <w:tcBorders>
                    <w:tl2br w:val="nil"/>
                    <w:tr2bl w:val="nil"/>
                  </w:tcBorders>
                  <w:vAlign w:val="center"/>
                </w:tcPr>
                <w:p>
                  <w:pPr>
                    <w:pStyle w:val="185"/>
                    <w:rPr>
                      <w:color w:val="auto"/>
                      <w:sz w:val="21"/>
                      <w:szCs w:val="21"/>
                    </w:rPr>
                  </w:pPr>
                  <w:r>
                    <w:rPr>
                      <w:color w:val="auto"/>
                      <w:sz w:val="21"/>
                      <w:szCs w:val="21"/>
                    </w:rPr>
                    <w:t>5000个/L</w:t>
                  </w:r>
                </w:p>
              </w:tc>
              <w:tc>
                <w:tcPr>
                  <w:tcW w:w="866" w:type="dxa"/>
                  <w:tcBorders>
                    <w:tl2br w:val="nil"/>
                    <w:tr2bl w:val="nil"/>
                  </w:tcBorders>
                  <w:vAlign w:val="center"/>
                </w:tcPr>
                <w:p>
                  <w:pPr>
                    <w:pStyle w:val="185"/>
                    <w:rPr>
                      <w:color w:val="auto"/>
                      <w:sz w:val="21"/>
                      <w:szCs w:val="21"/>
                    </w:rPr>
                  </w:pPr>
                  <w:r>
                    <w:rPr>
                      <w:color w:val="auto"/>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2254" w:type="dxa"/>
                  <w:tcBorders>
                    <w:tl2br w:val="nil"/>
                    <w:tr2bl w:val="nil"/>
                  </w:tcBorders>
                  <w:vAlign w:val="center"/>
                </w:tcPr>
                <w:p>
                  <w:pPr>
                    <w:pStyle w:val="185"/>
                    <w:rPr>
                      <w:bCs/>
                      <w:color w:val="auto"/>
                      <w:sz w:val="21"/>
                      <w:szCs w:val="21"/>
                    </w:rPr>
                  </w:pPr>
                  <w:r>
                    <w:rPr>
                      <w:bCs/>
                      <w:color w:val="auto"/>
                      <w:sz w:val="21"/>
                      <w:szCs w:val="21"/>
                    </w:rPr>
                    <w:t>《医疗废水排放标准》（GB18466-2005）表2 预处理标准</w:t>
                  </w:r>
                </w:p>
              </w:tc>
              <w:tc>
                <w:tcPr>
                  <w:tcW w:w="628" w:type="dxa"/>
                  <w:tcBorders>
                    <w:tl2br w:val="nil"/>
                    <w:tr2bl w:val="nil"/>
                  </w:tcBorders>
                  <w:vAlign w:val="center"/>
                </w:tcPr>
                <w:p>
                  <w:pPr>
                    <w:pStyle w:val="185"/>
                    <w:rPr>
                      <w:color w:val="auto"/>
                      <w:sz w:val="21"/>
                      <w:szCs w:val="21"/>
                    </w:rPr>
                  </w:pPr>
                  <w:r>
                    <w:rPr>
                      <w:color w:val="auto"/>
                      <w:sz w:val="21"/>
                      <w:szCs w:val="21"/>
                    </w:rPr>
                    <w:t>/</w:t>
                  </w:r>
                </w:p>
              </w:tc>
              <w:tc>
                <w:tcPr>
                  <w:tcW w:w="765" w:type="dxa"/>
                  <w:tcBorders>
                    <w:tl2br w:val="nil"/>
                    <w:tr2bl w:val="nil"/>
                  </w:tcBorders>
                  <w:vAlign w:val="center"/>
                </w:tcPr>
                <w:p>
                  <w:pPr>
                    <w:pStyle w:val="185"/>
                    <w:rPr>
                      <w:color w:val="auto"/>
                      <w:sz w:val="21"/>
                      <w:szCs w:val="21"/>
                    </w:rPr>
                  </w:pPr>
                  <w:r>
                    <w:rPr>
                      <w:color w:val="auto"/>
                      <w:sz w:val="21"/>
                      <w:szCs w:val="21"/>
                    </w:rPr>
                    <w:t>/</w:t>
                  </w:r>
                </w:p>
              </w:tc>
              <w:tc>
                <w:tcPr>
                  <w:tcW w:w="844" w:type="dxa"/>
                  <w:tcBorders>
                    <w:tl2br w:val="nil"/>
                    <w:tr2bl w:val="nil"/>
                  </w:tcBorders>
                  <w:vAlign w:val="center"/>
                </w:tcPr>
                <w:p>
                  <w:pPr>
                    <w:pStyle w:val="185"/>
                    <w:rPr>
                      <w:color w:val="auto"/>
                      <w:sz w:val="21"/>
                      <w:szCs w:val="21"/>
                    </w:rPr>
                  </w:pPr>
                  <w:r>
                    <w:rPr>
                      <w:color w:val="auto"/>
                      <w:sz w:val="21"/>
                      <w:szCs w:val="21"/>
                    </w:rPr>
                    <w:t>/</w:t>
                  </w:r>
                </w:p>
              </w:tc>
              <w:tc>
                <w:tcPr>
                  <w:tcW w:w="644" w:type="dxa"/>
                  <w:tcBorders>
                    <w:tl2br w:val="nil"/>
                    <w:tr2bl w:val="nil"/>
                  </w:tcBorders>
                  <w:vAlign w:val="center"/>
                </w:tcPr>
                <w:p>
                  <w:pPr>
                    <w:pStyle w:val="185"/>
                    <w:rPr>
                      <w:color w:val="auto"/>
                      <w:sz w:val="21"/>
                      <w:szCs w:val="21"/>
                    </w:rPr>
                  </w:pPr>
                  <w:r>
                    <w:rPr>
                      <w:color w:val="auto"/>
                      <w:sz w:val="21"/>
                      <w:szCs w:val="21"/>
                    </w:rPr>
                    <w:t>/</w:t>
                  </w:r>
                </w:p>
              </w:tc>
              <w:tc>
                <w:tcPr>
                  <w:tcW w:w="1093" w:type="dxa"/>
                  <w:tcBorders>
                    <w:tl2br w:val="nil"/>
                    <w:tr2bl w:val="nil"/>
                  </w:tcBorders>
                  <w:vAlign w:val="center"/>
                </w:tcPr>
                <w:p>
                  <w:pPr>
                    <w:pStyle w:val="185"/>
                    <w:rPr>
                      <w:color w:val="auto"/>
                      <w:sz w:val="21"/>
                      <w:szCs w:val="21"/>
                    </w:rPr>
                  </w:pPr>
                  <w:r>
                    <w:rPr>
                      <w:color w:val="auto"/>
                      <w:sz w:val="21"/>
                      <w:szCs w:val="21"/>
                    </w:rPr>
                    <w:t>/</w:t>
                  </w:r>
                </w:p>
              </w:tc>
              <w:tc>
                <w:tcPr>
                  <w:tcW w:w="889" w:type="dxa"/>
                  <w:tcBorders>
                    <w:tl2br w:val="nil"/>
                    <w:tr2bl w:val="nil"/>
                  </w:tcBorders>
                  <w:vAlign w:val="center"/>
                </w:tcPr>
                <w:p>
                  <w:pPr>
                    <w:pStyle w:val="185"/>
                    <w:rPr>
                      <w:color w:val="auto"/>
                      <w:sz w:val="21"/>
                      <w:szCs w:val="21"/>
                    </w:rPr>
                  </w:pPr>
                  <w:r>
                    <w:rPr>
                      <w:color w:val="auto"/>
                      <w:sz w:val="21"/>
                      <w:szCs w:val="21"/>
                    </w:rPr>
                    <w:t>/</w:t>
                  </w:r>
                </w:p>
              </w:tc>
              <w:tc>
                <w:tcPr>
                  <w:tcW w:w="1037" w:type="dxa"/>
                  <w:tcBorders>
                    <w:tl2br w:val="nil"/>
                    <w:tr2bl w:val="nil"/>
                  </w:tcBorders>
                  <w:vAlign w:val="center"/>
                </w:tcPr>
                <w:p>
                  <w:pPr>
                    <w:pStyle w:val="185"/>
                    <w:rPr>
                      <w:color w:val="auto"/>
                      <w:sz w:val="21"/>
                      <w:szCs w:val="21"/>
                    </w:rPr>
                  </w:pPr>
                  <w:r>
                    <w:rPr>
                      <w:color w:val="auto"/>
                      <w:sz w:val="21"/>
                      <w:szCs w:val="21"/>
                    </w:rPr>
                    <w:t>/</w:t>
                  </w:r>
                </w:p>
              </w:tc>
              <w:tc>
                <w:tcPr>
                  <w:tcW w:w="866" w:type="dxa"/>
                  <w:tcBorders>
                    <w:tl2br w:val="nil"/>
                    <w:tr2bl w:val="nil"/>
                  </w:tcBorders>
                  <w:vAlign w:val="center"/>
                </w:tcPr>
                <w:p>
                  <w:pPr>
                    <w:pStyle w:val="185"/>
                    <w:rPr>
                      <w:color w:val="auto"/>
                      <w:sz w:val="21"/>
                      <w:szCs w:val="21"/>
                    </w:rPr>
                  </w:pPr>
                  <w:r>
                    <w:rPr>
                      <w:color w:val="auto"/>
                      <w:sz w:val="21"/>
                      <w:szCs w:val="21"/>
                    </w:rPr>
                    <w:t>2~8</w:t>
                  </w:r>
                  <w:r>
                    <w:rPr>
                      <w:rFonts w:hint="eastAsia" w:ascii="宋体" w:hAnsi="宋体" w:cs="宋体"/>
                      <w:color w:val="auto"/>
                      <w:sz w:val="21"/>
                      <w:szCs w:val="21"/>
                      <w:vertAlign w:val="superscript"/>
                    </w:rPr>
                    <w:t>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2254" w:type="dxa"/>
                  <w:tcBorders>
                    <w:tl2br w:val="nil"/>
                    <w:tr2bl w:val="nil"/>
                  </w:tcBorders>
                  <w:vAlign w:val="center"/>
                </w:tcPr>
                <w:p>
                  <w:pPr>
                    <w:pStyle w:val="185"/>
                    <w:rPr>
                      <w:bCs/>
                      <w:color w:val="auto"/>
                      <w:sz w:val="21"/>
                      <w:szCs w:val="21"/>
                    </w:rPr>
                  </w:pPr>
                  <w:r>
                    <w:rPr>
                      <w:color w:val="auto"/>
                      <w:sz w:val="21"/>
                      <w:szCs w:val="21"/>
                    </w:rPr>
                    <w:t>《城镇污水处理厂污染物排放标准》(GB18918-2002)一级A标</w:t>
                  </w:r>
                </w:p>
              </w:tc>
              <w:tc>
                <w:tcPr>
                  <w:tcW w:w="628" w:type="dxa"/>
                  <w:tcBorders>
                    <w:tl2br w:val="nil"/>
                    <w:tr2bl w:val="nil"/>
                  </w:tcBorders>
                  <w:vAlign w:val="center"/>
                </w:tcPr>
                <w:p>
                  <w:pPr>
                    <w:pStyle w:val="185"/>
                    <w:rPr>
                      <w:color w:val="auto"/>
                      <w:sz w:val="21"/>
                      <w:szCs w:val="21"/>
                    </w:rPr>
                  </w:pPr>
                  <w:r>
                    <w:rPr>
                      <w:color w:val="auto"/>
                      <w:sz w:val="21"/>
                      <w:szCs w:val="21"/>
                    </w:rPr>
                    <w:t>6~9</w:t>
                  </w:r>
                </w:p>
              </w:tc>
              <w:tc>
                <w:tcPr>
                  <w:tcW w:w="765" w:type="dxa"/>
                  <w:tcBorders>
                    <w:tl2br w:val="nil"/>
                    <w:tr2bl w:val="nil"/>
                  </w:tcBorders>
                  <w:vAlign w:val="center"/>
                </w:tcPr>
                <w:p>
                  <w:pPr>
                    <w:pStyle w:val="185"/>
                    <w:rPr>
                      <w:color w:val="auto"/>
                      <w:sz w:val="21"/>
                      <w:szCs w:val="21"/>
                    </w:rPr>
                  </w:pPr>
                  <w:r>
                    <w:rPr>
                      <w:color w:val="auto"/>
                      <w:sz w:val="21"/>
                      <w:szCs w:val="21"/>
                    </w:rPr>
                    <w:t>50</w:t>
                  </w:r>
                </w:p>
              </w:tc>
              <w:tc>
                <w:tcPr>
                  <w:tcW w:w="844" w:type="dxa"/>
                  <w:tcBorders>
                    <w:tl2br w:val="nil"/>
                    <w:tr2bl w:val="nil"/>
                  </w:tcBorders>
                  <w:vAlign w:val="center"/>
                </w:tcPr>
                <w:p>
                  <w:pPr>
                    <w:pStyle w:val="185"/>
                    <w:rPr>
                      <w:color w:val="auto"/>
                      <w:sz w:val="21"/>
                      <w:szCs w:val="21"/>
                    </w:rPr>
                  </w:pPr>
                  <w:r>
                    <w:rPr>
                      <w:color w:val="auto"/>
                      <w:sz w:val="21"/>
                      <w:szCs w:val="21"/>
                    </w:rPr>
                    <w:t>10</w:t>
                  </w:r>
                </w:p>
              </w:tc>
              <w:tc>
                <w:tcPr>
                  <w:tcW w:w="644" w:type="dxa"/>
                  <w:tcBorders>
                    <w:tl2br w:val="nil"/>
                    <w:tr2bl w:val="nil"/>
                  </w:tcBorders>
                  <w:vAlign w:val="center"/>
                </w:tcPr>
                <w:p>
                  <w:pPr>
                    <w:pStyle w:val="185"/>
                    <w:rPr>
                      <w:color w:val="auto"/>
                      <w:sz w:val="21"/>
                      <w:szCs w:val="21"/>
                    </w:rPr>
                  </w:pPr>
                  <w:r>
                    <w:rPr>
                      <w:color w:val="auto"/>
                      <w:sz w:val="21"/>
                      <w:szCs w:val="21"/>
                    </w:rPr>
                    <w:t>10</w:t>
                  </w:r>
                </w:p>
              </w:tc>
              <w:tc>
                <w:tcPr>
                  <w:tcW w:w="1093" w:type="dxa"/>
                  <w:tcBorders>
                    <w:tl2br w:val="nil"/>
                    <w:tr2bl w:val="nil"/>
                  </w:tcBorders>
                  <w:vAlign w:val="center"/>
                </w:tcPr>
                <w:p>
                  <w:pPr>
                    <w:pStyle w:val="185"/>
                    <w:rPr>
                      <w:color w:val="auto"/>
                      <w:sz w:val="21"/>
                      <w:szCs w:val="21"/>
                    </w:rPr>
                  </w:pPr>
                  <w:r>
                    <w:rPr>
                      <w:color w:val="auto"/>
                      <w:sz w:val="21"/>
                      <w:szCs w:val="21"/>
                    </w:rPr>
                    <w:t>5（8）</w:t>
                  </w:r>
                  <w:r>
                    <w:rPr>
                      <w:rFonts w:hint="eastAsia" w:ascii="宋体" w:hAnsi="宋体" w:cs="宋体"/>
                      <w:color w:val="auto"/>
                      <w:sz w:val="21"/>
                      <w:szCs w:val="21"/>
                      <w:vertAlign w:val="superscript"/>
                    </w:rPr>
                    <w:t>②</w:t>
                  </w:r>
                </w:p>
              </w:tc>
              <w:tc>
                <w:tcPr>
                  <w:tcW w:w="889" w:type="dxa"/>
                  <w:tcBorders>
                    <w:tl2br w:val="nil"/>
                    <w:tr2bl w:val="nil"/>
                  </w:tcBorders>
                  <w:vAlign w:val="center"/>
                </w:tcPr>
                <w:p>
                  <w:pPr>
                    <w:pStyle w:val="185"/>
                    <w:rPr>
                      <w:color w:val="auto"/>
                      <w:sz w:val="21"/>
                      <w:szCs w:val="21"/>
                    </w:rPr>
                  </w:pPr>
                  <w:r>
                    <w:rPr>
                      <w:color w:val="auto"/>
                      <w:sz w:val="21"/>
                      <w:szCs w:val="21"/>
                    </w:rPr>
                    <w:t>0.5</w:t>
                  </w:r>
                </w:p>
              </w:tc>
              <w:tc>
                <w:tcPr>
                  <w:tcW w:w="1037" w:type="dxa"/>
                  <w:tcBorders>
                    <w:tl2br w:val="nil"/>
                    <w:tr2bl w:val="nil"/>
                  </w:tcBorders>
                  <w:vAlign w:val="center"/>
                </w:tcPr>
                <w:p>
                  <w:pPr>
                    <w:pStyle w:val="185"/>
                    <w:rPr>
                      <w:color w:val="auto"/>
                      <w:sz w:val="21"/>
                      <w:szCs w:val="21"/>
                    </w:rPr>
                  </w:pPr>
                  <w:r>
                    <w:rPr>
                      <w:color w:val="auto"/>
                      <w:sz w:val="21"/>
                      <w:szCs w:val="21"/>
                    </w:rPr>
                    <w:t>1000个/L</w:t>
                  </w:r>
                </w:p>
              </w:tc>
              <w:tc>
                <w:tcPr>
                  <w:tcW w:w="866" w:type="dxa"/>
                  <w:tcBorders>
                    <w:tl2br w:val="nil"/>
                    <w:tr2bl w:val="nil"/>
                  </w:tcBorders>
                  <w:vAlign w:val="center"/>
                </w:tcPr>
                <w:p>
                  <w:pPr>
                    <w:pStyle w:val="185"/>
                    <w:rPr>
                      <w:color w:val="auto"/>
                      <w:sz w:val="21"/>
                      <w:szCs w:val="21"/>
                    </w:rPr>
                  </w:pPr>
                  <w:r>
                    <w:rPr>
                      <w:color w:val="auto"/>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9020" w:type="dxa"/>
                  <w:gridSpan w:val="9"/>
                  <w:tcBorders>
                    <w:tl2br w:val="nil"/>
                    <w:tr2bl w:val="nil"/>
                  </w:tcBorders>
                  <w:vAlign w:val="center"/>
                </w:tcPr>
                <w:p>
                  <w:pPr>
                    <w:pStyle w:val="185"/>
                    <w:jc w:val="left"/>
                    <w:rPr>
                      <w:bCs/>
                      <w:color w:val="auto"/>
                      <w:sz w:val="21"/>
                      <w:szCs w:val="21"/>
                    </w:rPr>
                  </w:pPr>
                  <w:r>
                    <w:rPr>
                      <w:bCs/>
                      <w:color w:val="auto"/>
                      <w:sz w:val="21"/>
                      <w:szCs w:val="21"/>
                    </w:rPr>
                    <w:t>注：</w:t>
                  </w:r>
                  <w:r>
                    <w:rPr>
                      <w:rFonts w:hint="eastAsia" w:ascii="宋体" w:hAnsi="宋体" w:cs="宋体"/>
                      <w:bCs/>
                      <w:color w:val="auto"/>
                      <w:sz w:val="21"/>
                      <w:szCs w:val="21"/>
                    </w:rPr>
                    <w:t>①</w:t>
                  </w:r>
                  <w:r>
                    <w:rPr>
                      <w:bCs/>
                      <w:color w:val="auto"/>
                      <w:sz w:val="21"/>
                      <w:szCs w:val="21"/>
                    </w:rPr>
                    <w:t>：</w:t>
                  </w:r>
                  <w:r>
                    <w:rPr>
                      <w:color w:val="auto"/>
                      <w:sz w:val="21"/>
                      <w:szCs w:val="21"/>
                    </w:rPr>
                    <w:t>NH</w:t>
                  </w:r>
                  <w:r>
                    <w:rPr>
                      <w:color w:val="auto"/>
                      <w:sz w:val="21"/>
                      <w:szCs w:val="21"/>
                      <w:vertAlign w:val="subscript"/>
                    </w:rPr>
                    <w:t>3</w:t>
                  </w:r>
                  <w:r>
                    <w:rPr>
                      <w:color w:val="auto"/>
                      <w:sz w:val="21"/>
                      <w:szCs w:val="21"/>
                    </w:rPr>
                    <w:t>-N执行《污水排入城镇下水道水质标准》</w:t>
                  </w:r>
                  <w:r>
                    <w:rPr>
                      <w:color w:val="auto"/>
                      <w:sz w:val="21"/>
                      <w:szCs w:val="21"/>
                      <w:lang w:bidi="ar"/>
                    </w:rPr>
                    <w:t>（GB/T31962-2015）</w:t>
                  </w:r>
                  <w:r>
                    <w:rPr>
                      <w:color w:val="auto"/>
                      <w:sz w:val="21"/>
                      <w:szCs w:val="21"/>
                    </w:rPr>
                    <w:t>B级标准；</w:t>
                  </w:r>
                </w:p>
                <w:p>
                  <w:pPr>
                    <w:pStyle w:val="185"/>
                    <w:jc w:val="left"/>
                    <w:rPr>
                      <w:color w:val="auto"/>
                      <w:sz w:val="21"/>
                      <w:szCs w:val="21"/>
                    </w:rPr>
                  </w:pPr>
                  <w:r>
                    <w:rPr>
                      <w:rFonts w:hint="eastAsia" w:ascii="宋体" w:hAnsi="宋体" w:cs="宋体"/>
                      <w:color w:val="auto"/>
                      <w:sz w:val="21"/>
                      <w:szCs w:val="21"/>
                    </w:rPr>
                    <w:t>②</w:t>
                  </w:r>
                  <w:r>
                    <w:rPr>
                      <w:color w:val="auto"/>
                      <w:sz w:val="21"/>
                      <w:szCs w:val="21"/>
                    </w:rPr>
                    <w:t>括号外数值为水温＞12℃时的控制指标，括号内数值为水温≤12℃时的控制指标；</w:t>
                  </w:r>
                </w:p>
                <w:p>
                  <w:pPr>
                    <w:pStyle w:val="185"/>
                    <w:spacing w:line="240" w:lineRule="auto"/>
                    <w:jc w:val="both"/>
                    <w:rPr>
                      <w:color w:val="auto"/>
                      <w:sz w:val="21"/>
                      <w:szCs w:val="21"/>
                    </w:rPr>
                  </w:pPr>
                  <w:r>
                    <w:rPr>
                      <w:rFonts w:hint="eastAsia" w:ascii="宋体" w:hAnsi="宋体" w:cs="宋体"/>
                      <w:color w:val="auto"/>
                      <w:sz w:val="21"/>
                      <w:szCs w:val="21"/>
                    </w:rPr>
                    <w:t>③</w:t>
                  </w:r>
                  <w:r>
                    <w:rPr>
                      <w:color w:val="auto"/>
                      <w:sz w:val="21"/>
                      <w:szCs w:val="21"/>
                    </w:rPr>
                    <w:t>注：含氯消毒剂消毒的工艺控制要求为：排放标准：消毒接触池接触时间≥1h，接触池出口总余氯3~10mg/L。预处理标准：消毒接触池接触时间小于≥1h，接触池出口总余氯2~8mg/L。采用其他消毒剂对总余氯不</w:t>
                  </w:r>
                  <w:r>
                    <w:rPr>
                      <w:rFonts w:hint="eastAsia"/>
                      <w:color w:val="auto"/>
                      <w:sz w:val="21"/>
                      <w:szCs w:val="21"/>
                      <w:lang w:eastAsia="zh-CN"/>
                    </w:rPr>
                    <w:t>作</w:t>
                  </w:r>
                  <w:r>
                    <w:rPr>
                      <w:color w:val="auto"/>
                      <w:sz w:val="21"/>
                      <w:szCs w:val="21"/>
                    </w:rPr>
                    <w:t>要求。</w:t>
                  </w:r>
                </w:p>
              </w:tc>
            </w:tr>
          </w:tbl>
          <w:p>
            <w:pPr>
              <w:adjustRightInd/>
              <w:snapToGrid/>
              <w:spacing w:before="120" w:beforeLines="50"/>
              <w:ind w:firstLine="422"/>
              <w:rPr>
                <w:b/>
                <w:color w:val="auto"/>
              </w:rPr>
            </w:pPr>
            <w:r>
              <w:rPr>
                <w:b/>
                <w:color w:val="auto"/>
              </w:rPr>
              <w:t>3、噪声排放标准</w:t>
            </w:r>
          </w:p>
          <w:p>
            <w:pPr>
              <w:ind w:firstLine="420"/>
              <w:rPr>
                <w:color w:val="auto"/>
              </w:rPr>
            </w:pPr>
            <w:r>
              <w:rPr>
                <w:color w:val="auto"/>
              </w:rPr>
              <w:t>本项目位于</w:t>
            </w:r>
            <w:r>
              <w:rPr>
                <w:rFonts w:hint="eastAsia"/>
                <w:color w:val="auto"/>
              </w:rPr>
              <w:t>重庆市江北区观音桥街道渝澳大道72号附14号</w:t>
            </w:r>
            <w:r>
              <w:rPr>
                <w:color w:val="auto"/>
              </w:rPr>
              <w:t>，根据《重庆市中心城区声环境功能区划分方案（2023年）》（渝环〔2023〕61号），项目所在区域属于2类声环境功能区，运营期产生的噪声执行</w:t>
            </w:r>
            <w:r>
              <w:rPr>
                <w:color w:val="auto"/>
                <w:kern w:val="0"/>
                <w:szCs w:val="21"/>
              </w:rPr>
              <w:t>《工业企业厂界环境噪声排放标准》（GB12348-2008）2类</w:t>
            </w:r>
            <w:r>
              <w:rPr>
                <w:color w:val="auto"/>
              </w:rPr>
              <w:t>，具体排放限值详见下表3-</w:t>
            </w:r>
            <w:r>
              <w:rPr>
                <w:rFonts w:hint="eastAsia"/>
                <w:color w:val="auto"/>
              </w:rPr>
              <w:t>6</w:t>
            </w:r>
            <w:r>
              <w:rPr>
                <w:color w:val="auto"/>
              </w:rPr>
              <w:t>。</w:t>
            </w:r>
          </w:p>
          <w:p>
            <w:pPr>
              <w:pStyle w:val="234"/>
              <w:adjustRightInd/>
              <w:snapToGrid/>
              <w:spacing w:before="120"/>
              <w:ind w:firstLine="0" w:firstLineChars="0"/>
              <w:rPr>
                <w:color w:val="auto"/>
              </w:rPr>
            </w:pPr>
            <w:r>
              <w:rPr>
                <w:color w:val="auto"/>
              </w:rPr>
              <w:t>表3-</w:t>
            </w:r>
            <w:r>
              <w:rPr>
                <w:rFonts w:hint="eastAsia"/>
                <w:color w:val="auto"/>
              </w:rPr>
              <w:t>6</w:t>
            </w:r>
            <w:r>
              <w:rPr>
                <w:color w:val="auto"/>
              </w:rPr>
              <w:t xml:space="preserve">  《工业企业厂界环境噪声排放标准》（GB12348-2008）   单位：dB（A）</w:t>
            </w:r>
          </w:p>
          <w:tbl>
            <w:tblPr>
              <w:tblStyle w:val="40"/>
              <w:tblW w:w="9020"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61"/>
              <w:gridCol w:w="3410"/>
              <w:gridCol w:w="394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661" w:type="dxa"/>
                  <w:tcBorders>
                    <w:tl2br w:val="nil"/>
                    <w:tr2bl w:val="nil"/>
                  </w:tcBorders>
                  <w:vAlign w:val="center"/>
                </w:tcPr>
                <w:p>
                  <w:pPr>
                    <w:pStyle w:val="167"/>
                    <w:jc w:val="center"/>
                    <w:rPr>
                      <w:color w:val="auto"/>
                    </w:rPr>
                  </w:pPr>
                  <w:r>
                    <w:rPr>
                      <w:color w:val="auto"/>
                    </w:rPr>
                    <w:t>类别</w:t>
                  </w:r>
                </w:p>
              </w:tc>
              <w:tc>
                <w:tcPr>
                  <w:tcW w:w="3410" w:type="dxa"/>
                  <w:tcBorders>
                    <w:tl2br w:val="nil"/>
                    <w:tr2bl w:val="nil"/>
                  </w:tcBorders>
                  <w:vAlign w:val="center"/>
                </w:tcPr>
                <w:p>
                  <w:pPr>
                    <w:pStyle w:val="167"/>
                    <w:jc w:val="center"/>
                    <w:rPr>
                      <w:color w:val="auto"/>
                    </w:rPr>
                  </w:pPr>
                  <w:r>
                    <w:rPr>
                      <w:color w:val="auto"/>
                    </w:rPr>
                    <w:t>昼间</w:t>
                  </w:r>
                </w:p>
              </w:tc>
              <w:tc>
                <w:tcPr>
                  <w:tcW w:w="3949" w:type="dxa"/>
                  <w:tcBorders>
                    <w:tl2br w:val="nil"/>
                    <w:tr2bl w:val="nil"/>
                  </w:tcBorders>
                  <w:vAlign w:val="center"/>
                </w:tcPr>
                <w:p>
                  <w:pPr>
                    <w:pStyle w:val="167"/>
                    <w:jc w:val="center"/>
                    <w:rPr>
                      <w:color w:val="auto"/>
                    </w:rPr>
                  </w:pPr>
                  <w:r>
                    <w:rPr>
                      <w:color w:val="auto"/>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661" w:type="dxa"/>
                  <w:tcBorders>
                    <w:tl2br w:val="nil"/>
                    <w:tr2bl w:val="nil"/>
                  </w:tcBorders>
                  <w:vAlign w:val="center"/>
                </w:tcPr>
                <w:p>
                  <w:pPr>
                    <w:pStyle w:val="167"/>
                    <w:jc w:val="center"/>
                    <w:rPr>
                      <w:color w:val="auto"/>
                    </w:rPr>
                  </w:pPr>
                  <w:r>
                    <w:rPr>
                      <w:color w:val="auto"/>
                    </w:rPr>
                    <w:t>2类</w:t>
                  </w:r>
                </w:p>
              </w:tc>
              <w:tc>
                <w:tcPr>
                  <w:tcW w:w="3410" w:type="dxa"/>
                  <w:tcBorders>
                    <w:tl2br w:val="nil"/>
                    <w:tr2bl w:val="nil"/>
                  </w:tcBorders>
                  <w:vAlign w:val="center"/>
                </w:tcPr>
                <w:p>
                  <w:pPr>
                    <w:pStyle w:val="167"/>
                    <w:jc w:val="center"/>
                    <w:rPr>
                      <w:color w:val="auto"/>
                    </w:rPr>
                  </w:pPr>
                  <w:r>
                    <w:rPr>
                      <w:color w:val="auto"/>
                    </w:rPr>
                    <w:t>60</w:t>
                  </w:r>
                </w:p>
              </w:tc>
              <w:tc>
                <w:tcPr>
                  <w:tcW w:w="3949" w:type="dxa"/>
                  <w:tcBorders>
                    <w:tl2br w:val="nil"/>
                    <w:tr2bl w:val="nil"/>
                  </w:tcBorders>
                  <w:vAlign w:val="center"/>
                </w:tcPr>
                <w:p>
                  <w:pPr>
                    <w:pStyle w:val="167"/>
                    <w:jc w:val="center"/>
                    <w:rPr>
                      <w:color w:val="auto"/>
                    </w:rPr>
                  </w:pPr>
                  <w:r>
                    <w:rPr>
                      <w:color w:val="auto"/>
                    </w:rPr>
                    <w:t>50</w:t>
                  </w:r>
                </w:p>
              </w:tc>
            </w:tr>
          </w:tbl>
          <w:p>
            <w:pPr>
              <w:spacing w:before="120" w:beforeLines="50"/>
              <w:ind w:firstLine="422"/>
              <w:rPr>
                <w:b/>
                <w:color w:val="auto"/>
              </w:rPr>
            </w:pPr>
            <w:r>
              <w:rPr>
                <w:b/>
                <w:color w:val="auto"/>
              </w:rPr>
              <w:t>4、固体废物</w:t>
            </w:r>
          </w:p>
          <w:p>
            <w:pPr>
              <w:ind w:firstLine="420"/>
              <w:rPr>
                <w:color w:val="auto"/>
              </w:rPr>
            </w:pPr>
            <w:r>
              <w:rPr>
                <w:color w:val="auto"/>
              </w:rPr>
              <w:t>本项目一般固废采用包装工具贮存，贮存过程采取防渗漏、防雨淋、防扬尘保护措施。</w:t>
            </w:r>
          </w:p>
          <w:p>
            <w:pPr>
              <w:ind w:firstLine="420"/>
              <w:rPr>
                <w:color w:val="auto"/>
                <w:szCs w:val="21"/>
              </w:rPr>
            </w:pPr>
            <w:r>
              <w:rPr>
                <w:color w:val="auto"/>
              </w:rPr>
              <w:t>根据《国家危险废物名录》（2025年版）、《医疗废物分类目录》（2021 年版）对危险废物进行识别；按照</w:t>
            </w:r>
            <w:r>
              <w:rPr>
                <w:bCs/>
                <w:color w:val="auto"/>
                <w:szCs w:val="21"/>
              </w:rPr>
              <w:t>《医疗废物专用包装袋、容器和警示标志标准》（HJ421-2008）对危险废物进行包装；</w:t>
            </w:r>
            <w:r>
              <w:rPr>
                <w:color w:val="auto"/>
              </w:rPr>
              <w:t>按照</w:t>
            </w:r>
            <w:r>
              <w:rPr>
                <w:color w:val="auto"/>
                <w:szCs w:val="21"/>
              </w:rPr>
              <w:t>《危险废物贮存污染控制标准》（GB 18597-2023）、</w:t>
            </w:r>
            <w:r>
              <w:rPr>
                <w:color w:val="auto"/>
              </w:rPr>
              <w:t>《危险废物识别标志设置技术规范》（HJ 1276-2022）</w:t>
            </w:r>
            <w:r>
              <w:rPr>
                <w:color w:val="auto"/>
                <w:szCs w:val="21"/>
              </w:rPr>
              <w:t>设置危险废物贮存点及相关标识牌；按照《危险废物管理计划和管理台账制定技术导则》（HJ1259-2022）建立危废管理计划和危废管理台账；按照</w:t>
            </w:r>
            <w:r>
              <w:rPr>
                <w:color w:val="auto"/>
              </w:rPr>
              <w:t>《危险废物收集贮存运输技术规范》（HJ2025-2012）、</w:t>
            </w:r>
            <w:r>
              <w:rPr>
                <w:color w:val="auto"/>
                <w:szCs w:val="21"/>
              </w:rPr>
              <w:t>《危险废物转移管理办法》（生态环境部、公安部、交通运输部令第23号公布）对危险废物进行收集和转移。</w:t>
            </w:r>
          </w:p>
          <w:p>
            <w:pPr>
              <w:ind w:firstLine="420"/>
              <w:rPr>
                <w:color w:val="auto"/>
              </w:rPr>
            </w:pPr>
            <w:r>
              <w:rPr>
                <w:color w:val="auto"/>
              </w:rPr>
              <w:t>生活垃圾实行分类收集，</w:t>
            </w:r>
            <w:r>
              <w:rPr>
                <w:color w:val="auto"/>
                <w:kern w:val="0"/>
                <w:szCs w:val="21"/>
                <w:lang w:bidi="ar"/>
              </w:rPr>
              <w:t>交市政环卫部门统一处置</w:t>
            </w: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0" w:hRule="atLeast"/>
          <w:jc w:val="center"/>
        </w:trPr>
        <w:tc>
          <w:tcPr>
            <w:tcW w:w="721" w:type="dxa"/>
            <w:vAlign w:val="center"/>
          </w:tcPr>
          <w:p>
            <w:pPr>
              <w:ind w:firstLine="0" w:firstLineChars="0"/>
              <w:rPr>
                <w:color w:val="auto"/>
                <w:kern w:val="0"/>
                <w:szCs w:val="21"/>
              </w:rPr>
            </w:pPr>
            <w:r>
              <w:rPr>
                <w:color w:val="auto"/>
                <w:kern w:val="0"/>
                <w:szCs w:val="21"/>
              </w:rPr>
              <w:t>总量控制指标</w:t>
            </w:r>
          </w:p>
        </w:tc>
        <w:tc>
          <w:tcPr>
            <w:tcW w:w="9242" w:type="dxa"/>
            <w:vAlign w:val="center"/>
          </w:tcPr>
          <w:p>
            <w:pPr>
              <w:adjustRightInd/>
              <w:snapToGrid/>
              <w:spacing w:before="120" w:beforeLines="50"/>
              <w:ind w:firstLine="420"/>
              <w:rPr>
                <w:color w:val="auto"/>
              </w:rPr>
            </w:pPr>
            <w:r>
              <w:rPr>
                <w:color w:val="auto"/>
              </w:rPr>
              <w:t>根据本项目的排污特点、环境质量要求和国家、重庆市的总量控制要求，确定排污总量控制因子为：废水：COD、NH</w:t>
            </w:r>
            <w:r>
              <w:rPr>
                <w:color w:val="auto"/>
                <w:vertAlign w:val="subscript"/>
              </w:rPr>
              <w:t>3</w:t>
            </w:r>
            <w:r>
              <w:rPr>
                <w:color w:val="auto"/>
              </w:rPr>
              <w:t>-N。</w:t>
            </w:r>
          </w:p>
          <w:p>
            <w:pPr>
              <w:adjustRightInd/>
              <w:snapToGrid/>
              <w:ind w:firstLine="420"/>
              <w:rPr>
                <w:color w:val="auto"/>
              </w:rPr>
            </w:pPr>
            <w:r>
              <w:rPr>
                <w:color w:val="auto"/>
              </w:rPr>
              <w:t>本项目总量指标情况详见表3-</w:t>
            </w:r>
            <w:r>
              <w:rPr>
                <w:rFonts w:hint="eastAsia"/>
                <w:color w:val="auto"/>
              </w:rPr>
              <w:t>7</w:t>
            </w:r>
            <w:r>
              <w:rPr>
                <w:color w:val="auto"/>
              </w:rPr>
              <w:t>。</w:t>
            </w:r>
          </w:p>
          <w:p>
            <w:pPr>
              <w:pStyle w:val="234"/>
              <w:adjustRightInd/>
              <w:snapToGrid/>
              <w:spacing w:before="120"/>
              <w:ind w:firstLine="0" w:firstLineChars="0"/>
              <w:rPr>
                <w:color w:val="auto"/>
              </w:rPr>
            </w:pPr>
            <w:r>
              <w:rPr>
                <w:color w:val="auto"/>
              </w:rPr>
              <w:t>表3-</w:t>
            </w:r>
            <w:r>
              <w:rPr>
                <w:rFonts w:hint="eastAsia"/>
                <w:color w:val="auto"/>
              </w:rPr>
              <w:t>7</w:t>
            </w:r>
            <w:r>
              <w:rPr>
                <w:color w:val="auto"/>
              </w:rPr>
              <w:t xml:space="preserve">    污染物排放总量控制建议指标    单位：t/a</w:t>
            </w:r>
          </w:p>
          <w:tbl>
            <w:tblPr>
              <w:tblStyle w:val="40"/>
              <w:tblW w:w="9020"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789"/>
              <w:gridCol w:w="2615"/>
              <w:gridCol w:w="261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3789" w:type="dxa"/>
                  <w:tcBorders>
                    <w:tl2br w:val="nil"/>
                    <w:tr2bl w:val="nil"/>
                  </w:tcBorders>
                  <w:vAlign w:val="center"/>
                </w:tcPr>
                <w:p>
                  <w:pPr>
                    <w:pStyle w:val="242"/>
                    <w:jc w:val="center"/>
                    <w:rPr>
                      <w:color w:val="auto"/>
                    </w:rPr>
                  </w:pPr>
                  <w:r>
                    <w:rPr>
                      <w:color w:val="auto"/>
                    </w:rPr>
                    <w:t>一</w:t>
                  </w:r>
                </w:p>
              </w:tc>
              <w:tc>
                <w:tcPr>
                  <w:tcW w:w="5231" w:type="dxa"/>
                  <w:gridSpan w:val="2"/>
                  <w:tcBorders>
                    <w:tl2br w:val="nil"/>
                    <w:tr2bl w:val="nil"/>
                  </w:tcBorders>
                  <w:vAlign w:val="center"/>
                </w:tcPr>
                <w:p>
                  <w:pPr>
                    <w:pStyle w:val="242"/>
                    <w:jc w:val="center"/>
                    <w:rPr>
                      <w:color w:val="auto"/>
                      <w:szCs w:val="21"/>
                    </w:rPr>
                  </w:pPr>
                  <w:r>
                    <w:rPr>
                      <w:color w:val="auto"/>
                      <w:szCs w:val="21"/>
                    </w:rPr>
                    <w:t>废水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3789" w:type="dxa"/>
                  <w:tcBorders>
                    <w:tl2br w:val="nil"/>
                    <w:tr2bl w:val="nil"/>
                  </w:tcBorders>
                  <w:vAlign w:val="center"/>
                </w:tcPr>
                <w:p>
                  <w:pPr>
                    <w:pStyle w:val="242"/>
                    <w:jc w:val="center"/>
                    <w:rPr>
                      <w:color w:val="auto"/>
                    </w:rPr>
                  </w:pPr>
                  <w:r>
                    <w:rPr>
                      <w:color w:val="auto"/>
                    </w:rPr>
                    <w:t>污染物</w:t>
                  </w:r>
                </w:p>
              </w:tc>
              <w:tc>
                <w:tcPr>
                  <w:tcW w:w="2615" w:type="dxa"/>
                  <w:tcBorders>
                    <w:tl2br w:val="nil"/>
                    <w:tr2bl w:val="nil"/>
                  </w:tcBorders>
                  <w:vAlign w:val="center"/>
                </w:tcPr>
                <w:p>
                  <w:pPr>
                    <w:pStyle w:val="242"/>
                    <w:jc w:val="center"/>
                    <w:rPr>
                      <w:color w:val="auto"/>
                      <w:szCs w:val="21"/>
                    </w:rPr>
                  </w:pPr>
                  <w:r>
                    <w:rPr>
                      <w:color w:val="auto"/>
                      <w:kern w:val="0"/>
                      <w:szCs w:val="21"/>
                    </w:rPr>
                    <w:t>COD</w:t>
                  </w:r>
                </w:p>
              </w:tc>
              <w:tc>
                <w:tcPr>
                  <w:tcW w:w="2616" w:type="dxa"/>
                  <w:tcBorders>
                    <w:tl2br w:val="nil"/>
                    <w:tr2bl w:val="nil"/>
                  </w:tcBorders>
                  <w:vAlign w:val="center"/>
                </w:tcPr>
                <w:p>
                  <w:pPr>
                    <w:pStyle w:val="242"/>
                    <w:jc w:val="center"/>
                    <w:rPr>
                      <w:color w:val="auto"/>
                      <w:szCs w:val="21"/>
                    </w:rPr>
                  </w:pPr>
                  <w:r>
                    <w:rPr>
                      <w:color w:val="auto"/>
                      <w:kern w:val="0"/>
                      <w:szCs w:val="21"/>
                    </w:rPr>
                    <w:t>NH</w:t>
                  </w:r>
                  <w:r>
                    <w:rPr>
                      <w:color w:val="auto"/>
                      <w:kern w:val="0"/>
                      <w:szCs w:val="21"/>
                      <w:vertAlign w:val="subscript"/>
                    </w:rPr>
                    <w:t>3</w:t>
                  </w:r>
                  <w:r>
                    <w:rPr>
                      <w:color w:val="auto"/>
                      <w:kern w:val="0"/>
                      <w:szCs w:val="21"/>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3789" w:type="dxa"/>
                  <w:tcBorders>
                    <w:tl2br w:val="nil"/>
                    <w:tr2bl w:val="nil"/>
                  </w:tcBorders>
                  <w:vAlign w:val="center"/>
                </w:tcPr>
                <w:p>
                  <w:pPr>
                    <w:pStyle w:val="242"/>
                    <w:jc w:val="center"/>
                    <w:rPr>
                      <w:color w:val="auto"/>
                    </w:rPr>
                  </w:pPr>
                  <w:r>
                    <w:rPr>
                      <w:color w:val="auto"/>
                    </w:rPr>
                    <w:t>排入市政管网的量</w:t>
                  </w:r>
                </w:p>
              </w:tc>
              <w:tc>
                <w:tcPr>
                  <w:tcW w:w="2615" w:type="dxa"/>
                  <w:tcBorders>
                    <w:tl2br w:val="nil"/>
                    <w:tr2bl w:val="nil"/>
                  </w:tcBorders>
                  <w:vAlign w:val="center"/>
                </w:tcPr>
                <w:p>
                  <w:pPr>
                    <w:pStyle w:val="242"/>
                    <w:jc w:val="center"/>
                    <w:rPr>
                      <w:color w:val="auto"/>
                      <w:szCs w:val="21"/>
                    </w:rPr>
                  </w:pPr>
                  <w:r>
                    <w:rPr>
                      <w:rFonts w:hint="eastAsia"/>
                      <w:color w:val="auto"/>
                      <w:szCs w:val="21"/>
                    </w:rPr>
                    <w:t>0.203</w:t>
                  </w:r>
                </w:p>
              </w:tc>
              <w:tc>
                <w:tcPr>
                  <w:tcW w:w="2616" w:type="dxa"/>
                  <w:tcBorders>
                    <w:tl2br w:val="nil"/>
                    <w:tr2bl w:val="nil"/>
                  </w:tcBorders>
                  <w:vAlign w:val="center"/>
                </w:tcPr>
                <w:p>
                  <w:pPr>
                    <w:pStyle w:val="242"/>
                    <w:jc w:val="center"/>
                    <w:rPr>
                      <w:color w:val="auto"/>
                      <w:szCs w:val="21"/>
                    </w:rPr>
                  </w:pPr>
                  <w:r>
                    <w:rPr>
                      <w:rFonts w:hint="eastAsia"/>
                      <w:color w:val="auto"/>
                      <w:szCs w:val="21"/>
                    </w:rPr>
                    <w:t>0.02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3789" w:type="dxa"/>
                  <w:tcBorders>
                    <w:tl2br w:val="nil"/>
                    <w:tr2bl w:val="nil"/>
                  </w:tcBorders>
                  <w:vAlign w:val="center"/>
                </w:tcPr>
                <w:p>
                  <w:pPr>
                    <w:pStyle w:val="242"/>
                    <w:jc w:val="center"/>
                    <w:rPr>
                      <w:color w:val="auto"/>
                    </w:rPr>
                  </w:pPr>
                  <w:r>
                    <w:rPr>
                      <w:color w:val="auto"/>
                    </w:rPr>
                    <w:t>排入环境的量</w:t>
                  </w:r>
                </w:p>
              </w:tc>
              <w:tc>
                <w:tcPr>
                  <w:tcW w:w="2615" w:type="dxa"/>
                  <w:tcBorders>
                    <w:tl2br w:val="nil"/>
                    <w:tr2bl w:val="nil"/>
                  </w:tcBorders>
                  <w:vAlign w:val="center"/>
                </w:tcPr>
                <w:p>
                  <w:pPr>
                    <w:pStyle w:val="242"/>
                    <w:jc w:val="center"/>
                    <w:rPr>
                      <w:color w:val="auto"/>
                      <w:szCs w:val="21"/>
                    </w:rPr>
                  </w:pPr>
                  <w:r>
                    <w:rPr>
                      <w:rFonts w:hint="eastAsia"/>
                      <w:color w:val="auto"/>
                      <w:szCs w:val="21"/>
                    </w:rPr>
                    <w:t>0.023</w:t>
                  </w:r>
                </w:p>
              </w:tc>
              <w:tc>
                <w:tcPr>
                  <w:tcW w:w="2616" w:type="dxa"/>
                  <w:tcBorders>
                    <w:tl2br w:val="nil"/>
                    <w:tr2bl w:val="nil"/>
                  </w:tcBorders>
                  <w:vAlign w:val="center"/>
                </w:tcPr>
                <w:p>
                  <w:pPr>
                    <w:pStyle w:val="242"/>
                    <w:jc w:val="center"/>
                    <w:rPr>
                      <w:color w:val="auto"/>
                      <w:szCs w:val="21"/>
                    </w:rPr>
                  </w:pPr>
                  <w:r>
                    <w:rPr>
                      <w:rFonts w:hint="eastAsia"/>
                      <w:color w:val="auto"/>
                      <w:szCs w:val="21"/>
                    </w:rPr>
                    <w:t>0.002</w:t>
                  </w:r>
                </w:p>
              </w:tc>
            </w:tr>
          </w:tbl>
          <w:p>
            <w:pPr>
              <w:ind w:firstLine="420"/>
              <w:jc w:val="center"/>
              <w:rPr>
                <w:color w:val="auto"/>
                <w:kern w:val="0"/>
                <w:szCs w:val="21"/>
              </w:rPr>
            </w:pPr>
          </w:p>
          <w:p>
            <w:pPr>
              <w:ind w:firstLine="0" w:firstLineChars="0"/>
              <w:rPr>
                <w:color w:val="auto"/>
                <w:kern w:val="0"/>
                <w:szCs w:val="21"/>
              </w:rPr>
            </w:pPr>
          </w:p>
          <w:p>
            <w:pPr>
              <w:ind w:firstLine="0" w:firstLineChars="0"/>
              <w:rPr>
                <w:color w:val="auto"/>
                <w:kern w:val="0"/>
                <w:szCs w:val="21"/>
              </w:rPr>
            </w:pPr>
          </w:p>
          <w:p>
            <w:pPr>
              <w:ind w:firstLine="0" w:firstLineChars="0"/>
              <w:rPr>
                <w:color w:val="auto"/>
                <w:kern w:val="0"/>
                <w:szCs w:val="21"/>
              </w:rPr>
            </w:pPr>
          </w:p>
          <w:p>
            <w:pPr>
              <w:ind w:firstLine="0" w:firstLineChars="0"/>
              <w:rPr>
                <w:color w:val="auto"/>
                <w:kern w:val="0"/>
                <w:szCs w:val="21"/>
              </w:rPr>
            </w:pPr>
          </w:p>
        </w:tc>
      </w:tr>
    </w:tbl>
    <w:p>
      <w:pPr>
        <w:pStyle w:val="5"/>
        <w:rPr>
          <w:rFonts w:eastAsia="宋体"/>
          <w:snapToGrid w:val="0"/>
          <w:color w:val="auto"/>
        </w:rPr>
      </w:pPr>
      <w:r>
        <w:rPr>
          <w:rFonts w:eastAsia="宋体"/>
          <w:snapToGrid w:val="0"/>
          <w:color w:val="auto"/>
          <w:sz w:val="36"/>
          <w:szCs w:val="36"/>
        </w:rPr>
        <w:br w:type="page"/>
      </w:r>
      <w:r>
        <w:rPr>
          <w:rFonts w:eastAsia="宋体"/>
          <w:snapToGrid w:val="0"/>
          <w:color w:val="auto"/>
        </w:rPr>
        <w:t>四、主要环境影响和保护措施</w:t>
      </w:r>
    </w:p>
    <w:tbl>
      <w:tblPr>
        <w:tblStyle w:val="40"/>
        <w:tblW w:w="98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9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3" w:hRule="atLeast"/>
          <w:jc w:val="center"/>
        </w:trPr>
        <w:tc>
          <w:tcPr>
            <w:tcW w:w="828" w:type="dxa"/>
            <w:tcMar>
              <w:left w:w="28" w:type="dxa"/>
              <w:right w:w="28" w:type="dxa"/>
            </w:tcMar>
            <w:vAlign w:val="center"/>
          </w:tcPr>
          <w:p>
            <w:pPr>
              <w:pStyle w:val="35"/>
              <w:spacing w:before="0" w:beforeAutospacing="0" w:after="0" w:afterAutospacing="0"/>
              <w:ind w:firstLine="0" w:firstLineChars="0"/>
              <w:jc w:val="center"/>
              <w:rPr>
                <w:rFonts w:ascii="Times New Roman" w:hAnsi="Times New Roman"/>
                <w:bCs/>
                <w:color w:val="auto"/>
                <w:kern w:val="2"/>
                <w:sz w:val="21"/>
                <w:szCs w:val="21"/>
              </w:rPr>
            </w:pPr>
            <w:r>
              <w:rPr>
                <w:rFonts w:ascii="Times New Roman" w:hAnsi="Times New Roman"/>
                <w:color w:val="auto"/>
                <w:kern w:val="2"/>
                <w:sz w:val="21"/>
                <w:szCs w:val="21"/>
              </w:rPr>
              <w:t>施工期环境保护措施</w:t>
            </w:r>
          </w:p>
        </w:tc>
        <w:tc>
          <w:tcPr>
            <w:tcW w:w="9055" w:type="dxa"/>
            <w:vAlign w:val="center"/>
          </w:tcPr>
          <w:p>
            <w:pPr>
              <w:ind w:firstLine="420"/>
              <w:rPr>
                <w:bCs/>
                <w:color w:val="auto"/>
                <w:spacing w:val="-10"/>
                <w:szCs w:val="21"/>
              </w:rPr>
            </w:pPr>
            <w:r>
              <w:rPr>
                <w:bCs/>
                <w:color w:val="auto"/>
                <w:szCs w:val="21"/>
              </w:rPr>
              <w:t>本次扩建仅在手术室新增部分医疗设备，医疗设备购置入场后即可完成安装调试，无施工期，故本次环评不对施工期环境影响进行评价。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9" w:hRule="atLeast"/>
          <w:jc w:val="center"/>
        </w:trPr>
        <w:tc>
          <w:tcPr>
            <w:tcW w:w="828" w:type="dxa"/>
            <w:tcMar>
              <w:left w:w="28" w:type="dxa"/>
              <w:right w:w="28" w:type="dxa"/>
            </w:tcMar>
            <w:vAlign w:val="center"/>
          </w:tcPr>
          <w:p>
            <w:pPr>
              <w:ind w:firstLine="0" w:firstLineChars="0"/>
              <w:rPr>
                <w:bCs/>
                <w:color w:val="auto"/>
                <w:szCs w:val="21"/>
              </w:rPr>
            </w:pPr>
            <w:r>
              <w:rPr>
                <w:bCs/>
                <w:color w:val="auto"/>
                <w:szCs w:val="21"/>
              </w:rPr>
              <w:t>运营期环境影响和保护措施</w:t>
            </w:r>
          </w:p>
        </w:tc>
        <w:tc>
          <w:tcPr>
            <w:tcW w:w="9055" w:type="dxa"/>
            <w:vAlign w:val="center"/>
          </w:tcPr>
          <w:p>
            <w:pPr>
              <w:adjustRightInd/>
              <w:snapToGrid/>
              <w:spacing w:before="120" w:beforeLines="50"/>
              <w:ind w:firstLine="422"/>
              <w:rPr>
                <w:b/>
                <w:color w:val="auto"/>
              </w:rPr>
            </w:pPr>
            <w:r>
              <w:rPr>
                <w:b/>
                <w:color w:val="auto"/>
              </w:rPr>
              <w:t>1、废气</w:t>
            </w:r>
          </w:p>
          <w:p>
            <w:pPr>
              <w:ind w:firstLine="422"/>
              <w:rPr>
                <w:b/>
                <w:color w:val="auto"/>
                <w:szCs w:val="21"/>
              </w:rPr>
            </w:pPr>
            <w:r>
              <w:rPr>
                <w:b/>
                <w:color w:val="auto"/>
                <w:szCs w:val="21"/>
              </w:rPr>
              <w:t>（1）废气污染源强核算结果及相关参数情况</w:t>
            </w:r>
          </w:p>
          <w:p>
            <w:pPr>
              <w:ind w:firstLine="420"/>
              <w:rPr>
                <w:color w:val="auto"/>
              </w:rPr>
            </w:pPr>
            <w:r>
              <w:rPr>
                <w:color w:val="auto"/>
              </w:rPr>
              <w:t>项目运营期废气主要为G1</w:t>
            </w:r>
            <w:r>
              <w:rPr>
                <w:rFonts w:hint="eastAsia"/>
                <w:color w:val="auto"/>
              </w:rPr>
              <w:t>异味</w:t>
            </w:r>
            <w:r>
              <w:rPr>
                <w:color w:val="auto"/>
              </w:rPr>
              <w:t>，主要来自宠物诊疗、住院等过程，包括宠物自身、粪便以及医疗废物暂存异味。</w:t>
            </w:r>
          </w:p>
          <w:p>
            <w:pPr>
              <w:ind w:firstLine="420"/>
              <w:rPr>
                <w:color w:val="auto"/>
              </w:rPr>
            </w:pPr>
            <w:r>
              <w:rPr>
                <w:color w:val="auto"/>
              </w:rPr>
              <w:t>项目动物粪便是</w:t>
            </w:r>
            <w:r>
              <w:rPr>
                <w:rFonts w:hint="eastAsia"/>
                <w:color w:val="auto"/>
              </w:rPr>
              <w:t>异味</w:t>
            </w:r>
            <w:r>
              <w:rPr>
                <w:color w:val="auto"/>
              </w:rPr>
              <w:t>的主要来源，项目猫笼内设置有猫砂盒用于收集猫粪和猫尿，犬笼内设置排便与排尿盒，日常由专人进行及时更换清理和消毒；项目医疗废物暂存有少量异味散发，医疗废物采用密闭容器暂存，定期消毒且医疗废物清运周期较短，暂存的医疗废物较少。</w:t>
            </w:r>
          </w:p>
          <w:p>
            <w:pPr>
              <w:ind w:firstLine="420"/>
              <w:rPr>
                <w:color w:val="auto"/>
              </w:rPr>
            </w:pPr>
            <w:r>
              <w:rPr>
                <w:color w:val="auto"/>
              </w:rPr>
              <w:t>综上，项目</w:t>
            </w:r>
            <w:r>
              <w:rPr>
                <w:rFonts w:hint="eastAsia"/>
                <w:color w:val="auto"/>
              </w:rPr>
              <w:t>异味</w:t>
            </w:r>
            <w:r>
              <w:rPr>
                <w:color w:val="auto"/>
              </w:rPr>
              <w:t>产生量较少。同时项目每天采用84消毒液及紫外线灯对医院进行消毒，并通过</w:t>
            </w:r>
            <w:r>
              <w:rPr>
                <w:rFonts w:hint="eastAsia"/>
                <w:color w:val="auto"/>
              </w:rPr>
              <w:t>新风系统换气</w:t>
            </w:r>
            <w:r>
              <w:rPr>
                <w:color w:val="auto"/>
              </w:rPr>
              <w:t>的形式对医院通风换气，可去除大部分异味，减少污染。</w:t>
            </w:r>
          </w:p>
          <w:p>
            <w:pPr>
              <w:ind w:firstLine="422"/>
              <w:rPr>
                <w:b/>
                <w:color w:val="auto"/>
                <w:szCs w:val="21"/>
              </w:rPr>
            </w:pPr>
            <w:r>
              <w:rPr>
                <w:b/>
                <w:color w:val="auto"/>
                <w:szCs w:val="21"/>
              </w:rPr>
              <w:t>（2）环境影响分析</w:t>
            </w:r>
          </w:p>
          <w:p>
            <w:pPr>
              <w:ind w:firstLine="420"/>
              <w:rPr>
                <w:color w:val="auto"/>
                <w:kern w:val="0"/>
                <w:szCs w:val="21"/>
              </w:rPr>
            </w:pPr>
            <w:r>
              <w:rPr>
                <w:color w:val="auto"/>
                <w:kern w:val="0"/>
                <w:szCs w:val="21"/>
              </w:rPr>
              <w:t>本项目位于</w:t>
            </w:r>
            <w:r>
              <w:rPr>
                <w:rFonts w:hint="eastAsia"/>
                <w:color w:val="auto"/>
              </w:rPr>
              <w:t>重庆市江北区观音桥街道渝澳大道72号附14号</w:t>
            </w:r>
            <w:r>
              <w:rPr>
                <w:rFonts w:hint="eastAsia"/>
                <w:color w:val="auto"/>
                <w:lang w:eastAsia="zh-CN"/>
              </w:rPr>
              <w:t>，</w:t>
            </w:r>
            <w:r>
              <w:rPr>
                <w:color w:val="auto"/>
                <w:kern w:val="0"/>
                <w:szCs w:val="21"/>
              </w:rPr>
              <w:t>场界外500m范围内的环境保护目标主要为居民点等，本项目</w:t>
            </w:r>
            <w:r>
              <w:rPr>
                <w:rFonts w:hint="eastAsia"/>
                <w:color w:val="auto"/>
                <w:kern w:val="0"/>
                <w:szCs w:val="21"/>
              </w:rPr>
              <w:t>异味</w:t>
            </w:r>
            <w:r>
              <w:rPr>
                <w:color w:val="auto"/>
                <w:kern w:val="0"/>
                <w:szCs w:val="21"/>
              </w:rPr>
              <w:t>来自动物粪便、医疗废物等，日常由专人进行清理，每天采用84消毒液及紫外线灯对医院进行消毒，并通过</w:t>
            </w:r>
            <w:r>
              <w:rPr>
                <w:rFonts w:hint="eastAsia"/>
                <w:color w:val="auto"/>
                <w:kern w:val="0"/>
                <w:szCs w:val="21"/>
              </w:rPr>
              <w:t>新风系统，加强通风换气</w:t>
            </w:r>
            <w:r>
              <w:rPr>
                <w:color w:val="auto"/>
                <w:kern w:val="0"/>
                <w:szCs w:val="21"/>
              </w:rPr>
              <w:t>。采取上述措施后，</w:t>
            </w:r>
            <w:r>
              <w:rPr>
                <w:color w:val="auto"/>
              </w:rPr>
              <w:t>可去除大部分异味，</w:t>
            </w:r>
            <w:r>
              <w:rPr>
                <w:color w:val="auto"/>
                <w:kern w:val="0"/>
                <w:szCs w:val="21"/>
              </w:rPr>
              <w:t>对周边居民影响较小。</w:t>
            </w:r>
          </w:p>
          <w:p>
            <w:pPr>
              <w:ind w:firstLine="422"/>
              <w:rPr>
                <w:b/>
                <w:bCs/>
                <w:color w:val="auto"/>
                <w:kern w:val="0"/>
                <w:szCs w:val="21"/>
              </w:rPr>
            </w:pPr>
            <w:r>
              <w:rPr>
                <w:b/>
                <w:bCs/>
                <w:color w:val="auto"/>
                <w:kern w:val="0"/>
                <w:szCs w:val="21"/>
              </w:rPr>
              <w:t>（3）防治措施可行性及达标分析</w:t>
            </w:r>
          </w:p>
          <w:p>
            <w:pPr>
              <w:ind w:firstLine="420"/>
              <w:rPr>
                <w:color w:val="auto"/>
                <w:szCs w:val="21"/>
              </w:rPr>
            </w:pPr>
            <w:r>
              <w:rPr>
                <w:color w:val="auto"/>
                <w:szCs w:val="21"/>
              </w:rPr>
              <w:t>项目属于社会事业与服务业，无相关排污许可申请技术规范，根据《建设项目环境影响报告编制技术指南》（污染影响类），废气污染治理设施未采用污染防治可行技术指南、排污许可技术规范中可行技术或未明确规定为可行技术的应简要分析其可行性。本项目产生</w:t>
            </w:r>
            <w:r>
              <w:rPr>
                <w:rFonts w:hint="eastAsia"/>
                <w:color w:val="auto"/>
                <w:szCs w:val="21"/>
              </w:rPr>
              <w:t>异味</w:t>
            </w:r>
            <w:r>
              <w:rPr>
                <w:color w:val="auto"/>
                <w:szCs w:val="21"/>
              </w:rPr>
              <w:t>通过每天消毒，并通过</w:t>
            </w:r>
            <w:r>
              <w:rPr>
                <w:rFonts w:hint="eastAsia"/>
                <w:color w:val="auto"/>
                <w:kern w:val="0"/>
                <w:szCs w:val="21"/>
              </w:rPr>
              <w:t>新风系统</w:t>
            </w:r>
            <w:r>
              <w:rPr>
                <w:color w:val="auto"/>
                <w:szCs w:val="21"/>
              </w:rPr>
              <w:t>换气除异味后无组织排放，措施可行性分析见下文：</w:t>
            </w:r>
          </w:p>
          <w:p>
            <w:pPr>
              <w:ind w:firstLine="420"/>
              <w:rPr>
                <w:rFonts w:eastAsia="Helvetica"/>
                <w:color w:val="auto"/>
                <w:spacing w:val="4"/>
                <w:szCs w:val="21"/>
                <w:shd w:val="clear" w:color="auto" w:fill="FFFFFF"/>
              </w:rPr>
            </w:pPr>
            <w:r>
              <w:rPr>
                <w:color w:val="auto"/>
                <w:szCs w:val="21"/>
              </w:rPr>
              <w:t>项目采用84消毒液及紫外线灯对宠物医院内部每天进行消毒，消毒原理为84消毒液中的主要成分次氯酸钠（NaClO）具有强氧化性和较强的杀菌能力，能够破坏微生物的细胞结构；紫外线灯主要利用UVC波段的高能量光波破坏微生物的DNA或RNA结构，使其失去繁殖和生存的能力进而达到除臭的效果；通过</w:t>
            </w:r>
            <w:r>
              <w:rPr>
                <w:rFonts w:hint="eastAsia"/>
                <w:color w:val="auto"/>
                <w:szCs w:val="21"/>
              </w:rPr>
              <w:t>新风系统</w:t>
            </w:r>
            <w:r>
              <w:rPr>
                <w:color w:val="auto"/>
                <w:szCs w:val="21"/>
              </w:rPr>
              <w:t>往室内送入外界新鲜空气，并迅速排出由宠物粪便、医疗废物暂存产生的异味。</w:t>
            </w:r>
          </w:p>
          <w:p>
            <w:pPr>
              <w:ind w:firstLine="422"/>
              <w:rPr>
                <w:rStyle w:val="45"/>
                <w:rFonts w:hint="eastAsia"/>
                <w:color w:val="auto"/>
                <w:kern w:val="0"/>
                <w:szCs w:val="20"/>
              </w:rPr>
            </w:pPr>
            <w:r>
              <w:rPr>
                <w:rFonts w:hint="eastAsia"/>
                <w:color w:val="auto"/>
              </w:rPr>
              <w:t>由于本项目规模较小，每天对院内进行消毒，加强通风换气后，可有效去除异味，故本次评价不对废气进行</w:t>
            </w:r>
            <w:r>
              <w:rPr>
                <w:rFonts w:hint="eastAsia"/>
                <w:color w:val="auto"/>
                <w:lang w:val="en-US" w:eastAsia="zh-CN"/>
              </w:rPr>
              <w:t>识别及</w:t>
            </w:r>
            <w:r>
              <w:rPr>
                <w:rFonts w:hint="eastAsia"/>
                <w:color w:val="auto"/>
              </w:rPr>
              <w:t>管控</w:t>
            </w:r>
            <w:r>
              <w:rPr>
                <w:rStyle w:val="45"/>
                <w:rFonts w:hint="eastAsia"/>
                <w:color w:val="auto"/>
                <w:kern w:val="0"/>
                <w:szCs w:val="20"/>
              </w:rPr>
              <w:t>。</w:t>
            </w:r>
          </w:p>
          <w:p>
            <w:pPr>
              <w:ind w:firstLine="422"/>
              <w:rPr>
                <w:b/>
                <w:color w:val="auto"/>
              </w:rPr>
            </w:pPr>
            <w:r>
              <w:rPr>
                <w:b/>
                <w:color w:val="auto"/>
              </w:rPr>
              <w:t>2、废水</w:t>
            </w:r>
          </w:p>
          <w:p>
            <w:pPr>
              <w:ind w:firstLine="420"/>
              <w:rPr>
                <w:bCs/>
                <w:color w:val="auto"/>
              </w:rPr>
            </w:pPr>
            <w:r>
              <w:rPr>
                <w:bCs/>
                <w:color w:val="auto"/>
              </w:rPr>
              <w:t>项目运营期废水主要包括生活污水、医疗废水和洗浴废水。</w:t>
            </w:r>
          </w:p>
          <w:p>
            <w:pPr>
              <w:ind w:firstLine="422"/>
              <w:rPr>
                <w:b/>
                <w:bCs/>
                <w:color w:val="auto"/>
              </w:rPr>
            </w:pPr>
            <w:r>
              <w:rPr>
                <w:b/>
                <w:bCs/>
                <w:color w:val="auto"/>
              </w:rPr>
              <w:t>（1）废水污染源强排放信息</w:t>
            </w:r>
          </w:p>
          <w:p>
            <w:pPr>
              <w:ind w:firstLine="420"/>
              <w:rPr>
                <w:bCs/>
                <w:color w:val="auto"/>
              </w:rPr>
            </w:pPr>
            <w:r>
              <w:rPr>
                <w:bCs/>
                <w:color w:val="auto"/>
              </w:rPr>
              <w:t>医疗废水经医疗废水预处理设施消毒预处理后</w:t>
            </w:r>
            <w:r>
              <w:rPr>
                <w:color w:val="auto"/>
              </w:rPr>
              <w:t>（出水总余氯参照执行《医疗机构水污染物排放标准》（GB18466-2005）预处理标准）</w:t>
            </w:r>
            <w:r>
              <w:rPr>
                <w:bCs/>
                <w:color w:val="auto"/>
              </w:rPr>
              <w:t>，与生活污水、洗浴废水一起排入</w:t>
            </w:r>
            <w:r>
              <w:rPr>
                <w:rFonts w:hint="eastAsia"/>
                <w:bCs/>
                <w:color w:val="auto"/>
              </w:rPr>
              <w:t>招商锦星汇</w:t>
            </w:r>
            <w:r>
              <w:rPr>
                <w:bCs/>
                <w:color w:val="auto"/>
              </w:rPr>
              <w:t>生化池处理达《污水综合排放标准》（GB8978-1996）三级标准后接入市政污水管网排至唐家沱污水处理厂深度处理达《城镇污水处理厂污染物排放标准》（GB 18918-2002）一级A标后，尾水排入长江。</w:t>
            </w:r>
          </w:p>
          <w:p>
            <w:pPr>
              <w:ind w:firstLine="420"/>
              <w:rPr>
                <w:bCs/>
                <w:color w:val="auto"/>
              </w:rPr>
            </w:pPr>
            <w:r>
              <w:rPr>
                <w:bCs/>
                <w:color w:val="auto"/>
              </w:rPr>
              <w:t>参照《医院污水处理工程技术规范》（HJ2029-2013）中经验数据，医疗废水中粪大肠菌群产生浓度为1.6×10</w:t>
            </w:r>
            <w:r>
              <w:rPr>
                <w:bCs/>
                <w:color w:val="auto"/>
                <w:vertAlign w:val="superscript"/>
              </w:rPr>
              <w:t>8</w:t>
            </w:r>
            <w:r>
              <w:rPr>
                <w:bCs/>
                <w:color w:val="auto"/>
              </w:rPr>
              <w:t>个/L；参照《城市居民洗衣废水中水污染物排放量的测量》《资源节约与环保》（2021 年第 5 期 王洁屏）中相关数据，生活污水、洗浴废水中LAS产生浓度33.4mg/L。</w:t>
            </w:r>
          </w:p>
          <w:p>
            <w:pPr>
              <w:ind w:firstLine="420"/>
              <w:rPr>
                <w:bCs/>
                <w:color w:val="auto"/>
              </w:rPr>
            </w:pPr>
            <w:r>
              <w:rPr>
                <w:bCs/>
                <w:color w:val="auto"/>
              </w:rPr>
              <w:t>废水类别、污染物及产排情况见表4-2。</w:t>
            </w:r>
          </w:p>
          <w:p>
            <w:pPr>
              <w:spacing w:line="240" w:lineRule="auto"/>
              <w:ind w:firstLine="0" w:firstLineChars="0"/>
              <w:jc w:val="center"/>
              <w:rPr>
                <w:b/>
                <w:color w:val="auto"/>
                <w:szCs w:val="21"/>
              </w:rPr>
            </w:pPr>
            <w:r>
              <w:rPr>
                <w:b/>
                <w:color w:val="auto"/>
                <w:szCs w:val="21"/>
              </w:rPr>
              <w:t>表4-2  本项目废水污染物产排情况一览表</w:t>
            </w:r>
          </w:p>
          <w:tbl>
            <w:tblPr>
              <w:tblStyle w:val="40"/>
              <w:tblW w:w="8822"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72"/>
              <w:gridCol w:w="1016"/>
              <w:gridCol w:w="861"/>
              <w:gridCol w:w="866"/>
              <w:gridCol w:w="857"/>
              <w:gridCol w:w="925"/>
              <w:gridCol w:w="736"/>
              <w:gridCol w:w="762"/>
              <w:gridCol w:w="887"/>
              <w:gridCol w:w="8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restart"/>
                  <w:tcBorders>
                    <w:tl2br w:val="nil"/>
                    <w:tr2bl w:val="nil"/>
                  </w:tcBorders>
                  <w:vAlign w:val="center"/>
                </w:tcPr>
                <w:p>
                  <w:pPr>
                    <w:autoSpaceDE w:val="0"/>
                    <w:spacing w:line="240" w:lineRule="auto"/>
                    <w:ind w:firstLine="0" w:firstLineChars="0"/>
                    <w:jc w:val="center"/>
                    <w:rPr>
                      <w:color w:val="auto"/>
                      <w:szCs w:val="21"/>
                    </w:rPr>
                  </w:pPr>
                  <w:r>
                    <w:rPr>
                      <w:color w:val="auto"/>
                      <w:szCs w:val="21"/>
                    </w:rPr>
                    <w:t>废水量</w:t>
                  </w:r>
                </w:p>
              </w:tc>
              <w:tc>
                <w:tcPr>
                  <w:tcW w:w="1016" w:type="dxa"/>
                  <w:vMerge w:val="restart"/>
                  <w:tcBorders>
                    <w:tl2br w:val="nil"/>
                    <w:tr2bl w:val="nil"/>
                  </w:tcBorders>
                  <w:vAlign w:val="center"/>
                </w:tcPr>
                <w:p>
                  <w:pPr>
                    <w:autoSpaceDE w:val="0"/>
                    <w:spacing w:line="240" w:lineRule="auto"/>
                    <w:ind w:firstLine="0" w:firstLineChars="0"/>
                    <w:jc w:val="center"/>
                    <w:rPr>
                      <w:color w:val="auto"/>
                      <w:szCs w:val="21"/>
                    </w:rPr>
                  </w:pPr>
                  <w:r>
                    <w:rPr>
                      <w:color w:val="auto"/>
                      <w:szCs w:val="21"/>
                    </w:rPr>
                    <w:t>污染因子</w:t>
                  </w:r>
                </w:p>
              </w:tc>
              <w:tc>
                <w:tcPr>
                  <w:tcW w:w="1727" w:type="dxa"/>
                  <w:gridSpan w:val="2"/>
                  <w:tcBorders>
                    <w:tl2br w:val="nil"/>
                    <w:tr2bl w:val="nil"/>
                  </w:tcBorders>
                  <w:vAlign w:val="center"/>
                </w:tcPr>
                <w:p>
                  <w:pPr>
                    <w:autoSpaceDE w:val="0"/>
                    <w:spacing w:line="240" w:lineRule="auto"/>
                    <w:ind w:firstLine="0" w:firstLineChars="0"/>
                    <w:jc w:val="center"/>
                    <w:rPr>
                      <w:color w:val="auto"/>
                      <w:szCs w:val="21"/>
                    </w:rPr>
                  </w:pPr>
                  <w:r>
                    <w:rPr>
                      <w:color w:val="auto"/>
                      <w:szCs w:val="21"/>
                    </w:rPr>
                    <w:t>产生量</w:t>
                  </w:r>
                </w:p>
              </w:tc>
              <w:tc>
                <w:tcPr>
                  <w:tcW w:w="1782" w:type="dxa"/>
                  <w:gridSpan w:val="2"/>
                  <w:tcBorders>
                    <w:tl2br w:val="nil"/>
                    <w:tr2bl w:val="nil"/>
                  </w:tcBorders>
                  <w:vAlign w:val="center"/>
                </w:tcPr>
                <w:p>
                  <w:pPr>
                    <w:autoSpaceDE w:val="0"/>
                    <w:spacing w:line="240" w:lineRule="auto"/>
                    <w:ind w:firstLine="0" w:firstLineChars="0"/>
                    <w:jc w:val="center"/>
                    <w:rPr>
                      <w:color w:val="auto"/>
                      <w:szCs w:val="21"/>
                    </w:rPr>
                  </w:pPr>
                  <w:r>
                    <w:rPr>
                      <w:color w:val="auto"/>
                      <w:szCs w:val="21"/>
                    </w:rPr>
                    <w:t>预处理后的排放情况</w:t>
                  </w:r>
                </w:p>
              </w:tc>
              <w:tc>
                <w:tcPr>
                  <w:tcW w:w="1498" w:type="dxa"/>
                  <w:gridSpan w:val="2"/>
                  <w:tcBorders>
                    <w:tl2br w:val="nil"/>
                    <w:tr2bl w:val="nil"/>
                  </w:tcBorders>
                  <w:vAlign w:val="center"/>
                </w:tcPr>
                <w:p>
                  <w:pPr>
                    <w:autoSpaceDE w:val="0"/>
                    <w:spacing w:line="240" w:lineRule="auto"/>
                    <w:ind w:firstLine="0" w:firstLineChars="0"/>
                    <w:jc w:val="center"/>
                    <w:rPr>
                      <w:color w:val="auto"/>
                      <w:szCs w:val="21"/>
                    </w:rPr>
                  </w:pPr>
                  <w:r>
                    <w:rPr>
                      <w:color w:val="auto"/>
                      <w:szCs w:val="21"/>
                    </w:rPr>
                    <w:t>处理设施处理后的排放情况</w:t>
                  </w:r>
                </w:p>
              </w:tc>
              <w:tc>
                <w:tcPr>
                  <w:tcW w:w="1727" w:type="dxa"/>
                  <w:gridSpan w:val="2"/>
                  <w:tcBorders>
                    <w:tl2br w:val="nil"/>
                    <w:tr2bl w:val="nil"/>
                  </w:tcBorders>
                  <w:vAlign w:val="center"/>
                </w:tcPr>
                <w:p>
                  <w:pPr>
                    <w:autoSpaceDE w:val="0"/>
                    <w:spacing w:line="240" w:lineRule="auto"/>
                    <w:ind w:firstLine="0" w:firstLineChars="0"/>
                    <w:jc w:val="center"/>
                    <w:rPr>
                      <w:color w:val="auto"/>
                      <w:szCs w:val="21"/>
                    </w:rPr>
                  </w:pPr>
                  <w:r>
                    <w:rPr>
                      <w:color w:val="auto"/>
                      <w:szCs w:val="21"/>
                    </w:rPr>
                    <w:t>污水处理厂处理后的排放情况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016" w:type="dxa"/>
                  <w:vMerge w:val="continue"/>
                  <w:tcBorders>
                    <w:tl2br w:val="nil"/>
                    <w:tr2bl w:val="nil"/>
                  </w:tcBorders>
                  <w:vAlign w:val="center"/>
                </w:tcPr>
                <w:p>
                  <w:pPr>
                    <w:widowControl/>
                    <w:spacing w:line="240" w:lineRule="auto"/>
                    <w:ind w:firstLine="0" w:firstLineChars="0"/>
                    <w:jc w:val="center"/>
                    <w:rPr>
                      <w:color w:val="auto"/>
                      <w:szCs w:val="21"/>
                    </w:rPr>
                  </w:pPr>
                </w:p>
              </w:tc>
              <w:tc>
                <w:tcPr>
                  <w:tcW w:w="861" w:type="dxa"/>
                  <w:tcBorders>
                    <w:tl2br w:val="nil"/>
                    <w:tr2bl w:val="nil"/>
                  </w:tcBorders>
                  <w:vAlign w:val="center"/>
                </w:tcPr>
                <w:p>
                  <w:pPr>
                    <w:autoSpaceDE w:val="0"/>
                    <w:spacing w:line="240" w:lineRule="auto"/>
                    <w:ind w:firstLine="0" w:firstLineChars="0"/>
                    <w:jc w:val="center"/>
                    <w:rPr>
                      <w:color w:val="auto"/>
                      <w:szCs w:val="21"/>
                    </w:rPr>
                  </w:pPr>
                  <w:r>
                    <w:rPr>
                      <w:color w:val="auto"/>
                      <w:szCs w:val="21"/>
                    </w:rPr>
                    <w:t>浓度</w:t>
                  </w:r>
                </w:p>
                <w:p>
                  <w:pPr>
                    <w:autoSpaceDE w:val="0"/>
                    <w:spacing w:line="240" w:lineRule="auto"/>
                    <w:ind w:firstLine="0" w:firstLineChars="0"/>
                    <w:jc w:val="center"/>
                    <w:rPr>
                      <w:color w:val="auto"/>
                      <w:szCs w:val="21"/>
                    </w:rPr>
                  </w:pPr>
                  <w:r>
                    <w:rPr>
                      <w:color w:val="auto"/>
                      <w:szCs w:val="21"/>
                    </w:rPr>
                    <w:t>mg/L</w:t>
                  </w:r>
                </w:p>
              </w:tc>
              <w:tc>
                <w:tcPr>
                  <w:tcW w:w="866" w:type="dxa"/>
                  <w:tcBorders>
                    <w:tl2br w:val="nil"/>
                    <w:tr2bl w:val="nil"/>
                  </w:tcBorders>
                  <w:vAlign w:val="center"/>
                </w:tcPr>
                <w:p>
                  <w:pPr>
                    <w:autoSpaceDE w:val="0"/>
                    <w:spacing w:line="240" w:lineRule="auto"/>
                    <w:ind w:firstLine="0" w:firstLineChars="0"/>
                    <w:jc w:val="center"/>
                    <w:rPr>
                      <w:color w:val="auto"/>
                      <w:szCs w:val="21"/>
                    </w:rPr>
                  </w:pPr>
                  <w:r>
                    <w:rPr>
                      <w:color w:val="auto"/>
                      <w:szCs w:val="21"/>
                    </w:rPr>
                    <w:t>产生量t/a</w:t>
                  </w:r>
                </w:p>
              </w:tc>
              <w:tc>
                <w:tcPr>
                  <w:tcW w:w="857" w:type="dxa"/>
                  <w:tcBorders>
                    <w:tl2br w:val="nil"/>
                    <w:tr2bl w:val="nil"/>
                  </w:tcBorders>
                  <w:vAlign w:val="center"/>
                </w:tcPr>
                <w:p>
                  <w:pPr>
                    <w:autoSpaceDE w:val="0"/>
                    <w:spacing w:line="240" w:lineRule="auto"/>
                    <w:ind w:firstLine="0" w:firstLineChars="0"/>
                    <w:jc w:val="center"/>
                    <w:rPr>
                      <w:color w:val="auto"/>
                      <w:szCs w:val="21"/>
                    </w:rPr>
                  </w:pPr>
                  <w:r>
                    <w:rPr>
                      <w:color w:val="auto"/>
                      <w:szCs w:val="21"/>
                    </w:rPr>
                    <w:t>浓度</w:t>
                  </w:r>
                </w:p>
                <w:p>
                  <w:pPr>
                    <w:autoSpaceDE w:val="0"/>
                    <w:spacing w:line="240" w:lineRule="auto"/>
                    <w:ind w:firstLine="0" w:firstLineChars="0"/>
                    <w:jc w:val="center"/>
                    <w:rPr>
                      <w:color w:val="auto"/>
                      <w:szCs w:val="21"/>
                    </w:rPr>
                  </w:pPr>
                  <w:r>
                    <w:rPr>
                      <w:color w:val="auto"/>
                      <w:szCs w:val="21"/>
                    </w:rPr>
                    <w:t>mg/L</w:t>
                  </w:r>
                </w:p>
              </w:tc>
              <w:tc>
                <w:tcPr>
                  <w:tcW w:w="925" w:type="dxa"/>
                  <w:tcBorders>
                    <w:tl2br w:val="nil"/>
                    <w:tr2bl w:val="nil"/>
                  </w:tcBorders>
                  <w:vAlign w:val="center"/>
                </w:tcPr>
                <w:p>
                  <w:pPr>
                    <w:autoSpaceDE w:val="0"/>
                    <w:spacing w:line="240" w:lineRule="auto"/>
                    <w:ind w:firstLine="0" w:firstLineChars="0"/>
                    <w:jc w:val="center"/>
                    <w:rPr>
                      <w:color w:val="auto"/>
                      <w:szCs w:val="21"/>
                    </w:rPr>
                  </w:pPr>
                  <w:r>
                    <w:rPr>
                      <w:color w:val="auto"/>
                      <w:szCs w:val="21"/>
                    </w:rPr>
                    <w:t>排放量t/a</w:t>
                  </w:r>
                </w:p>
              </w:tc>
              <w:tc>
                <w:tcPr>
                  <w:tcW w:w="736" w:type="dxa"/>
                  <w:tcBorders>
                    <w:tl2br w:val="nil"/>
                    <w:tr2bl w:val="nil"/>
                  </w:tcBorders>
                  <w:vAlign w:val="center"/>
                </w:tcPr>
                <w:p>
                  <w:pPr>
                    <w:autoSpaceDE w:val="0"/>
                    <w:spacing w:line="240" w:lineRule="auto"/>
                    <w:ind w:firstLine="0" w:firstLineChars="0"/>
                    <w:jc w:val="center"/>
                    <w:rPr>
                      <w:color w:val="auto"/>
                      <w:szCs w:val="21"/>
                    </w:rPr>
                  </w:pPr>
                  <w:r>
                    <w:rPr>
                      <w:color w:val="auto"/>
                      <w:szCs w:val="21"/>
                    </w:rPr>
                    <w:t>浓度</w:t>
                  </w:r>
                </w:p>
                <w:p>
                  <w:pPr>
                    <w:autoSpaceDE w:val="0"/>
                    <w:spacing w:line="240" w:lineRule="auto"/>
                    <w:ind w:firstLine="0" w:firstLineChars="0"/>
                    <w:jc w:val="center"/>
                    <w:rPr>
                      <w:color w:val="auto"/>
                      <w:szCs w:val="21"/>
                    </w:rPr>
                  </w:pPr>
                  <w:r>
                    <w:rPr>
                      <w:color w:val="auto"/>
                      <w:szCs w:val="21"/>
                    </w:rPr>
                    <w:t>mg/L</w:t>
                  </w:r>
                </w:p>
              </w:tc>
              <w:tc>
                <w:tcPr>
                  <w:tcW w:w="762" w:type="dxa"/>
                  <w:tcBorders>
                    <w:tl2br w:val="nil"/>
                    <w:tr2bl w:val="nil"/>
                  </w:tcBorders>
                  <w:vAlign w:val="center"/>
                </w:tcPr>
                <w:p>
                  <w:pPr>
                    <w:autoSpaceDE w:val="0"/>
                    <w:spacing w:line="240" w:lineRule="auto"/>
                    <w:ind w:firstLine="0" w:firstLineChars="0"/>
                    <w:jc w:val="center"/>
                    <w:rPr>
                      <w:color w:val="auto"/>
                      <w:szCs w:val="21"/>
                    </w:rPr>
                  </w:pPr>
                  <w:r>
                    <w:rPr>
                      <w:color w:val="auto"/>
                      <w:szCs w:val="21"/>
                    </w:rPr>
                    <w:t>排放量t/a</w:t>
                  </w:r>
                </w:p>
              </w:tc>
              <w:tc>
                <w:tcPr>
                  <w:tcW w:w="887" w:type="dxa"/>
                  <w:tcBorders>
                    <w:tl2br w:val="nil"/>
                    <w:tr2bl w:val="nil"/>
                  </w:tcBorders>
                  <w:vAlign w:val="center"/>
                </w:tcPr>
                <w:p>
                  <w:pPr>
                    <w:autoSpaceDE w:val="0"/>
                    <w:spacing w:line="240" w:lineRule="auto"/>
                    <w:ind w:firstLine="0" w:firstLineChars="0"/>
                    <w:jc w:val="center"/>
                    <w:rPr>
                      <w:color w:val="auto"/>
                      <w:szCs w:val="21"/>
                    </w:rPr>
                  </w:pPr>
                  <w:r>
                    <w:rPr>
                      <w:color w:val="auto"/>
                      <w:szCs w:val="21"/>
                    </w:rPr>
                    <w:t>浓度mg/L</w:t>
                  </w:r>
                </w:p>
              </w:tc>
              <w:tc>
                <w:tcPr>
                  <w:tcW w:w="840" w:type="dxa"/>
                  <w:tcBorders>
                    <w:tl2br w:val="nil"/>
                    <w:tr2bl w:val="nil"/>
                  </w:tcBorders>
                  <w:vAlign w:val="center"/>
                </w:tcPr>
                <w:p>
                  <w:pPr>
                    <w:autoSpaceDE w:val="0"/>
                    <w:spacing w:line="240" w:lineRule="auto"/>
                    <w:ind w:firstLine="0" w:firstLineChars="0"/>
                    <w:jc w:val="center"/>
                    <w:rPr>
                      <w:color w:val="auto"/>
                      <w:szCs w:val="21"/>
                    </w:rPr>
                  </w:pPr>
                  <w:r>
                    <w:rPr>
                      <w:color w:val="auto"/>
                      <w:szCs w:val="21"/>
                    </w:rPr>
                    <w:t>排放量t/a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restart"/>
                  <w:tcBorders>
                    <w:tl2br w:val="nil"/>
                    <w:tr2bl w:val="nil"/>
                  </w:tcBorders>
                  <w:vAlign w:val="center"/>
                </w:tcPr>
                <w:p>
                  <w:pPr>
                    <w:widowControl/>
                    <w:spacing w:line="240" w:lineRule="auto"/>
                    <w:ind w:firstLine="0" w:firstLineChars="0"/>
                    <w:jc w:val="center"/>
                    <w:rPr>
                      <w:color w:val="auto"/>
                      <w:szCs w:val="21"/>
                    </w:rPr>
                  </w:pPr>
                  <w:r>
                    <w:rPr>
                      <w:color w:val="auto"/>
                      <w:szCs w:val="21"/>
                    </w:rPr>
                    <w:t>W1洗浴废水、W3生活污水</w:t>
                  </w:r>
                  <w:r>
                    <w:rPr>
                      <w:rFonts w:hint="eastAsia"/>
                      <w:color w:val="auto"/>
                      <w:szCs w:val="21"/>
                    </w:rPr>
                    <w:t>387.63</w:t>
                  </w:r>
                  <w:r>
                    <w:rPr>
                      <w:color w:val="auto"/>
                      <w:szCs w:val="21"/>
                    </w:rPr>
                    <w:t>m</w:t>
                  </w:r>
                  <w:r>
                    <w:rPr>
                      <w:color w:val="auto"/>
                      <w:szCs w:val="21"/>
                      <w:vertAlign w:val="superscript"/>
                    </w:rPr>
                    <w:t>3</w:t>
                  </w:r>
                  <w:r>
                    <w:rPr>
                      <w:color w:val="auto"/>
                      <w:szCs w:val="21"/>
                    </w:rPr>
                    <w:t>/a</w:t>
                  </w:r>
                </w:p>
              </w:tc>
              <w:tc>
                <w:tcPr>
                  <w:tcW w:w="1016" w:type="dxa"/>
                  <w:tcBorders>
                    <w:tl2br w:val="nil"/>
                    <w:tr2bl w:val="nil"/>
                  </w:tcBorders>
                  <w:shd w:val="clear" w:color="auto" w:fill="auto"/>
                  <w:vAlign w:val="center"/>
                </w:tcPr>
                <w:p>
                  <w:pPr>
                    <w:spacing w:line="240" w:lineRule="auto"/>
                    <w:ind w:firstLine="0" w:firstLineChars="0"/>
                    <w:jc w:val="center"/>
                    <w:rPr>
                      <w:color w:val="auto"/>
                      <w:szCs w:val="21"/>
                    </w:rPr>
                  </w:pPr>
                  <w:r>
                    <w:rPr>
                      <w:color w:val="auto"/>
                      <w:szCs w:val="21"/>
                    </w:rPr>
                    <w:t>pH</w:t>
                  </w:r>
                </w:p>
              </w:tc>
              <w:tc>
                <w:tcPr>
                  <w:tcW w:w="861" w:type="dxa"/>
                  <w:tcBorders>
                    <w:tl2br w:val="nil"/>
                    <w:tr2bl w:val="nil"/>
                  </w:tcBorders>
                  <w:shd w:val="clear" w:color="auto" w:fill="auto"/>
                  <w:vAlign w:val="center"/>
                </w:tcPr>
                <w:p>
                  <w:pPr>
                    <w:autoSpaceDE w:val="0"/>
                    <w:spacing w:line="240" w:lineRule="auto"/>
                    <w:ind w:firstLine="0" w:firstLineChars="0"/>
                    <w:jc w:val="center"/>
                    <w:rPr>
                      <w:color w:val="auto"/>
                      <w:szCs w:val="21"/>
                    </w:rPr>
                  </w:pPr>
                  <w:r>
                    <w:rPr>
                      <w:color w:val="auto"/>
                      <w:szCs w:val="21"/>
                    </w:rPr>
                    <w:t>6~9</w:t>
                  </w:r>
                </w:p>
              </w:tc>
              <w:tc>
                <w:tcPr>
                  <w:tcW w:w="866" w:type="dxa"/>
                  <w:tcBorders>
                    <w:tl2br w:val="nil"/>
                    <w:tr2bl w:val="nil"/>
                  </w:tcBorders>
                  <w:shd w:val="clear" w:color="auto" w:fill="auto"/>
                  <w:vAlign w:val="center"/>
                </w:tcPr>
                <w:p>
                  <w:pPr>
                    <w:autoSpaceDE w:val="0"/>
                    <w:spacing w:line="240" w:lineRule="auto"/>
                    <w:ind w:firstLine="0" w:firstLineChars="0"/>
                    <w:jc w:val="center"/>
                    <w:rPr>
                      <w:color w:val="auto"/>
                      <w:szCs w:val="21"/>
                    </w:rPr>
                  </w:pPr>
                  <w:r>
                    <w:rPr>
                      <w:color w:val="auto"/>
                      <w:szCs w:val="21"/>
                    </w:rPr>
                    <w:t>/</w:t>
                  </w:r>
                </w:p>
              </w:tc>
              <w:tc>
                <w:tcPr>
                  <w:tcW w:w="857"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925"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736"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762"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87"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40"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016" w:type="dxa"/>
                  <w:tcBorders>
                    <w:tl2br w:val="nil"/>
                    <w:tr2bl w:val="nil"/>
                  </w:tcBorders>
                  <w:shd w:val="clear" w:color="auto" w:fill="auto"/>
                  <w:vAlign w:val="center"/>
                </w:tcPr>
                <w:p>
                  <w:pPr>
                    <w:spacing w:line="240" w:lineRule="auto"/>
                    <w:ind w:firstLine="0" w:firstLineChars="0"/>
                    <w:jc w:val="center"/>
                    <w:rPr>
                      <w:color w:val="auto"/>
                      <w:szCs w:val="21"/>
                    </w:rPr>
                  </w:pPr>
                  <w:r>
                    <w:rPr>
                      <w:color w:val="auto"/>
                      <w:szCs w:val="21"/>
                    </w:rPr>
                    <w:t>COD</w:t>
                  </w:r>
                </w:p>
              </w:tc>
              <w:tc>
                <w:tcPr>
                  <w:tcW w:w="861" w:type="dxa"/>
                  <w:tcBorders>
                    <w:tl2br w:val="nil"/>
                    <w:tr2bl w:val="nil"/>
                  </w:tcBorders>
                  <w:shd w:val="clear" w:color="auto" w:fill="auto"/>
                  <w:vAlign w:val="center"/>
                </w:tcPr>
                <w:p>
                  <w:pPr>
                    <w:spacing w:line="240" w:lineRule="auto"/>
                    <w:ind w:firstLine="0" w:firstLineChars="0"/>
                    <w:jc w:val="center"/>
                    <w:rPr>
                      <w:color w:val="auto"/>
                      <w:szCs w:val="21"/>
                    </w:rPr>
                  </w:pPr>
                  <w:r>
                    <w:rPr>
                      <w:color w:val="auto"/>
                      <w:szCs w:val="21"/>
                    </w:rPr>
                    <w:t>550</w:t>
                  </w:r>
                </w:p>
              </w:tc>
              <w:tc>
                <w:tcPr>
                  <w:tcW w:w="866" w:type="dxa"/>
                  <w:tcBorders>
                    <w:tl2br w:val="nil"/>
                    <w:tr2bl w:val="nil"/>
                  </w:tcBorders>
                  <w:shd w:val="clear" w:color="auto" w:fill="auto"/>
                  <w:vAlign w:val="center"/>
                </w:tcPr>
                <w:p>
                  <w:pPr>
                    <w:spacing w:line="240" w:lineRule="auto"/>
                    <w:ind w:firstLine="0" w:firstLineChars="0"/>
                    <w:jc w:val="center"/>
                    <w:rPr>
                      <w:color w:val="auto"/>
                      <w:szCs w:val="21"/>
                    </w:rPr>
                  </w:pPr>
                  <w:r>
                    <w:rPr>
                      <w:rFonts w:hint="eastAsia"/>
                      <w:color w:val="auto"/>
                      <w:szCs w:val="21"/>
                    </w:rPr>
                    <w:t>0.213</w:t>
                  </w:r>
                </w:p>
              </w:tc>
              <w:tc>
                <w:tcPr>
                  <w:tcW w:w="857"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925"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736"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762"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87"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40"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016" w:type="dxa"/>
                  <w:tcBorders>
                    <w:tl2br w:val="nil"/>
                    <w:tr2bl w:val="nil"/>
                  </w:tcBorders>
                  <w:shd w:val="clear" w:color="auto" w:fill="auto"/>
                  <w:vAlign w:val="center"/>
                </w:tcPr>
                <w:p>
                  <w:pPr>
                    <w:spacing w:line="240" w:lineRule="auto"/>
                    <w:ind w:firstLine="0" w:firstLineChars="0"/>
                    <w:jc w:val="center"/>
                    <w:rPr>
                      <w:color w:val="auto"/>
                      <w:szCs w:val="21"/>
                    </w:rPr>
                  </w:pPr>
                  <w:r>
                    <w:rPr>
                      <w:color w:val="auto"/>
                      <w:szCs w:val="21"/>
                    </w:rPr>
                    <w:t>BOD</w:t>
                  </w:r>
                  <w:r>
                    <w:rPr>
                      <w:color w:val="auto"/>
                      <w:szCs w:val="21"/>
                      <w:vertAlign w:val="subscript"/>
                    </w:rPr>
                    <w:t>5</w:t>
                  </w:r>
                </w:p>
              </w:tc>
              <w:tc>
                <w:tcPr>
                  <w:tcW w:w="861" w:type="dxa"/>
                  <w:tcBorders>
                    <w:tl2br w:val="nil"/>
                    <w:tr2bl w:val="nil"/>
                  </w:tcBorders>
                  <w:shd w:val="clear" w:color="auto" w:fill="auto"/>
                  <w:vAlign w:val="center"/>
                </w:tcPr>
                <w:p>
                  <w:pPr>
                    <w:spacing w:line="240" w:lineRule="auto"/>
                    <w:ind w:firstLine="0" w:firstLineChars="0"/>
                    <w:jc w:val="center"/>
                    <w:rPr>
                      <w:color w:val="auto"/>
                      <w:szCs w:val="21"/>
                    </w:rPr>
                  </w:pPr>
                  <w:r>
                    <w:rPr>
                      <w:color w:val="auto"/>
                      <w:szCs w:val="21"/>
                    </w:rPr>
                    <w:t>400</w:t>
                  </w:r>
                </w:p>
              </w:tc>
              <w:tc>
                <w:tcPr>
                  <w:tcW w:w="866" w:type="dxa"/>
                  <w:tcBorders>
                    <w:tl2br w:val="nil"/>
                    <w:tr2bl w:val="nil"/>
                  </w:tcBorders>
                  <w:shd w:val="clear" w:color="auto" w:fill="auto"/>
                  <w:vAlign w:val="center"/>
                </w:tcPr>
                <w:p>
                  <w:pPr>
                    <w:spacing w:line="240" w:lineRule="auto"/>
                    <w:ind w:firstLine="0" w:firstLineChars="0"/>
                    <w:jc w:val="center"/>
                    <w:rPr>
                      <w:color w:val="auto"/>
                      <w:szCs w:val="21"/>
                    </w:rPr>
                  </w:pPr>
                  <w:r>
                    <w:rPr>
                      <w:rFonts w:hint="eastAsia"/>
                      <w:color w:val="auto"/>
                      <w:szCs w:val="21"/>
                    </w:rPr>
                    <w:t>0.155</w:t>
                  </w:r>
                </w:p>
              </w:tc>
              <w:tc>
                <w:tcPr>
                  <w:tcW w:w="857"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925"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736"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762"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87"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40"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016" w:type="dxa"/>
                  <w:tcBorders>
                    <w:tl2br w:val="nil"/>
                    <w:tr2bl w:val="nil"/>
                  </w:tcBorders>
                  <w:shd w:val="clear" w:color="auto" w:fill="auto"/>
                  <w:vAlign w:val="center"/>
                </w:tcPr>
                <w:p>
                  <w:pPr>
                    <w:spacing w:line="240" w:lineRule="auto"/>
                    <w:ind w:firstLine="0" w:firstLineChars="0"/>
                    <w:jc w:val="center"/>
                    <w:rPr>
                      <w:color w:val="auto"/>
                      <w:szCs w:val="21"/>
                    </w:rPr>
                  </w:pPr>
                  <w:r>
                    <w:rPr>
                      <w:color w:val="auto"/>
                      <w:szCs w:val="21"/>
                    </w:rPr>
                    <w:t>SS</w:t>
                  </w:r>
                </w:p>
              </w:tc>
              <w:tc>
                <w:tcPr>
                  <w:tcW w:w="861" w:type="dxa"/>
                  <w:tcBorders>
                    <w:tl2br w:val="nil"/>
                    <w:tr2bl w:val="nil"/>
                  </w:tcBorders>
                  <w:shd w:val="clear" w:color="auto" w:fill="auto"/>
                  <w:vAlign w:val="center"/>
                </w:tcPr>
                <w:p>
                  <w:pPr>
                    <w:spacing w:line="240" w:lineRule="auto"/>
                    <w:ind w:firstLine="0" w:firstLineChars="0"/>
                    <w:jc w:val="center"/>
                    <w:rPr>
                      <w:color w:val="auto"/>
                      <w:szCs w:val="21"/>
                    </w:rPr>
                  </w:pPr>
                  <w:r>
                    <w:rPr>
                      <w:color w:val="auto"/>
                      <w:szCs w:val="21"/>
                    </w:rPr>
                    <w:t>400</w:t>
                  </w:r>
                </w:p>
              </w:tc>
              <w:tc>
                <w:tcPr>
                  <w:tcW w:w="866" w:type="dxa"/>
                  <w:tcBorders>
                    <w:tl2br w:val="nil"/>
                    <w:tr2bl w:val="nil"/>
                  </w:tcBorders>
                  <w:shd w:val="clear" w:color="auto" w:fill="auto"/>
                  <w:vAlign w:val="center"/>
                </w:tcPr>
                <w:p>
                  <w:pPr>
                    <w:spacing w:line="240" w:lineRule="auto"/>
                    <w:ind w:firstLine="0" w:firstLineChars="0"/>
                    <w:jc w:val="center"/>
                    <w:rPr>
                      <w:color w:val="auto"/>
                      <w:szCs w:val="21"/>
                    </w:rPr>
                  </w:pPr>
                  <w:r>
                    <w:rPr>
                      <w:rFonts w:hint="eastAsia"/>
                      <w:color w:val="auto"/>
                      <w:szCs w:val="21"/>
                    </w:rPr>
                    <w:t>0.155</w:t>
                  </w:r>
                </w:p>
              </w:tc>
              <w:tc>
                <w:tcPr>
                  <w:tcW w:w="857"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925"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736"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762"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87"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40"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016" w:type="dxa"/>
                  <w:tcBorders>
                    <w:tl2br w:val="nil"/>
                    <w:tr2bl w:val="nil"/>
                  </w:tcBorders>
                  <w:shd w:val="clear" w:color="auto" w:fill="auto"/>
                  <w:vAlign w:val="center"/>
                </w:tcPr>
                <w:p>
                  <w:pPr>
                    <w:spacing w:line="240" w:lineRule="auto"/>
                    <w:ind w:firstLine="0" w:firstLineChars="0"/>
                    <w:jc w:val="center"/>
                    <w:rPr>
                      <w:color w:val="auto"/>
                      <w:szCs w:val="21"/>
                    </w:rPr>
                  </w:pPr>
                  <w:r>
                    <w:rPr>
                      <w:bCs/>
                      <w:color w:val="auto"/>
                      <w:kern w:val="0"/>
                      <w:szCs w:val="21"/>
                      <w:lang w:bidi="ar"/>
                    </w:rPr>
                    <w:t>氨氮</w:t>
                  </w:r>
                </w:p>
              </w:tc>
              <w:tc>
                <w:tcPr>
                  <w:tcW w:w="861" w:type="dxa"/>
                  <w:tcBorders>
                    <w:tl2br w:val="nil"/>
                    <w:tr2bl w:val="nil"/>
                  </w:tcBorders>
                  <w:shd w:val="clear" w:color="auto" w:fill="auto"/>
                  <w:vAlign w:val="center"/>
                </w:tcPr>
                <w:p>
                  <w:pPr>
                    <w:spacing w:line="240" w:lineRule="auto"/>
                    <w:ind w:firstLine="0" w:firstLineChars="0"/>
                    <w:jc w:val="center"/>
                    <w:rPr>
                      <w:color w:val="auto"/>
                      <w:szCs w:val="21"/>
                    </w:rPr>
                  </w:pPr>
                  <w:r>
                    <w:rPr>
                      <w:color w:val="auto"/>
                      <w:szCs w:val="21"/>
                    </w:rPr>
                    <w:t>60</w:t>
                  </w:r>
                </w:p>
              </w:tc>
              <w:tc>
                <w:tcPr>
                  <w:tcW w:w="866" w:type="dxa"/>
                  <w:tcBorders>
                    <w:tl2br w:val="nil"/>
                    <w:tr2bl w:val="nil"/>
                  </w:tcBorders>
                  <w:shd w:val="clear" w:color="auto" w:fill="auto"/>
                  <w:vAlign w:val="center"/>
                </w:tcPr>
                <w:p>
                  <w:pPr>
                    <w:spacing w:line="240" w:lineRule="auto"/>
                    <w:ind w:firstLine="0" w:firstLineChars="0"/>
                    <w:jc w:val="center"/>
                    <w:rPr>
                      <w:color w:val="auto"/>
                      <w:szCs w:val="21"/>
                    </w:rPr>
                  </w:pPr>
                  <w:r>
                    <w:rPr>
                      <w:rFonts w:hint="eastAsia"/>
                      <w:color w:val="auto"/>
                      <w:szCs w:val="21"/>
                    </w:rPr>
                    <w:t>0.023</w:t>
                  </w:r>
                </w:p>
              </w:tc>
              <w:tc>
                <w:tcPr>
                  <w:tcW w:w="857"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925"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736"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762"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87"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40"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016" w:type="dxa"/>
                  <w:tcBorders>
                    <w:tl2br w:val="nil"/>
                    <w:tr2bl w:val="nil"/>
                  </w:tcBorders>
                  <w:shd w:val="clear" w:color="auto" w:fill="auto"/>
                  <w:vAlign w:val="center"/>
                </w:tcPr>
                <w:p>
                  <w:pPr>
                    <w:spacing w:line="240" w:lineRule="auto"/>
                    <w:ind w:firstLine="0" w:firstLineChars="0"/>
                    <w:jc w:val="center"/>
                    <w:rPr>
                      <w:color w:val="auto"/>
                      <w:szCs w:val="21"/>
                    </w:rPr>
                  </w:pPr>
                  <w:r>
                    <w:rPr>
                      <w:bCs/>
                      <w:color w:val="auto"/>
                      <w:kern w:val="0"/>
                      <w:szCs w:val="21"/>
                      <w:lang w:bidi="ar"/>
                    </w:rPr>
                    <w:t>LAS</w:t>
                  </w:r>
                </w:p>
              </w:tc>
              <w:tc>
                <w:tcPr>
                  <w:tcW w:w="861" w:type="dxa"/>
                  <w:tcBorders>
                    <w:tl2br w:val="nil"/>
                    <w:tr2bl w:val="nil"/>
                  </w:tcBorders>
                  <w:shd w:val="clear" w:color="auto" w:fill="auto"/>
                  <w:vAlign w:val="center"/>
                </w:tcPr>
                <w:p>
                  <w:pPr>
                    <w:spacing w:line="240" w:lineRule="auto"/>
                    <w:ind w:firstLine="0" w:firstLineChars="0"/>
                    <w:jc w:val="center"/>
                    <w:rPr>
                      <w:color w:val="auto"/>
                      <w:szCs w:val="21"/>
                    </w:rPr>
                  </w:pPr>
                  <w:r>
                    <w:rPr>
                      <w:color w:val="auto"/>
                      <w:szCs w:val="21"/>
                    </w:rPr>
                    <w:t>33.4</w:t>
                  </w:r>
                </w:p>
              </w:tc>
              <w:tc>
                <w:tcPr>
                  <w:tcW w:w="866" w:type="dxa"/>
                  <w:tcBorders>
                    <w:tl2br w:val="nil"/>
                    <w:tr2bl w:val="nil"/>
                  </w:tcBorders>
                  <w:shd w:val="clear" w:color="auto" w:fill="auto"/>
                  <w:vAlign w:val="center"/>
                </w:tcPr>
                <w:p>
                  <w:pPr>
                    <w:spacing w:line="240" w:lineRule="auto"/>
                    <w:ind w:firstLine="0" w:firstLineChars="0"/>
                    <w:jc w:val="center"/>
                    <w:rPr>
                      <w:color w:val="auto"/>
                      <w:szCs w:val="21"/>
                    </w:rPr>
                  </w:pPr>
                  <w:r>
                    <w:rPr>
                      <w:rFonts w:hint="eastAsia"/>
                      <w:color w:val="auto"/>
                      <w:szCs w:val="21"/>
                    </w:rPr>
                    <w:t>0.013</w:t>
                  </w:r>
                </w:p>
              </w:tc>
              <w:tc>
                <w:tcPr>
                  <w:tcW w:w="857"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925"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736"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762"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87"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40"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restart"/>
                  <w:tcBorders>
                    <w:tl2br w:val="nil"/>
                    <w:tr2bl w:val="nil"/>
                  </w:tcBorders>
                  <w:vAlign w:val="center"/>
                </w:tcPr>
                <w:p>
                  <w:pPr>
                    <w:widowControl/>
                    <w:spacing w:line="240" w:lineRule="auto"/>
                    <w:ind w:firstLine="0" w:firstLineChars="0"/>
                    <w:jc w:val="center"/>
                    <w:rPr>
                      <w:color w:val="auto"/>
                      <w:szCs w:val="21"/>
                    </w:rPr>
                  </w:pPr>
                  <w:r>
                    <w:rPr>
                      <w:color w:val="auto"/>
                      <w:szCs w:val="21"/>
                    </w:rPr>
                    <w:t>W2医疗废水</w:t>
                  </w:r>
                  <w:r>
                    <w:rPr>
                      <w:rFonts w:hint="eastAsia"/>
                      <w:color w:val="auto"/>
                      <w:szCs w:val="21"/>
                    </w:rPr>
                    <w:t>64.058</w:t>
                  </w:r>
                  <w:r>
                    <w:rPr>
                      <w:color w:val="auto"/>
                      <w:szCs w:val="21"/>
                    </w:rPr>
                    <w:t>m</w:t>
                  </w:r>
                  <w:r>
                    <w:rPr>
                      <w:color w:val="auto"/>
                      <w:szCs w:val="21"/>
                      <w:vertAlign w:val="superscript"/>
                    </w:rPr>
                    <w:t>3</w:t>
                  </w:r>
                  <w:r>
                    <w:rPr>
                      <w:color w:val="auto"/>
                      <w:szCs w:val="21"/>
                    </w:rPr>
                    <w:t>/a</w:t>
                  </w:r>
                </w:p>
              </w:tc>
              <w:tc>
                <w:tcPr>
                  <w:tcW w:w="1016" w:type="dxa"/>
                  <w:tcBorders>
                    <w:tl2br w:val="nil"/>
                    <w:tr2bl w:val="nil"/>
                  </w:tcBorders>
                  <w:shd w:val="clear" w:color="auto" w:fill="auto"/>
                  <w:vAlign w:val="center"/>
                </w:tcPr>
                <w:p>
                  <w:pPr>
                    <w:widowControl/>
                    <w:spacing w:line="240" w:lineRule="auto"/>
                    <w:ind w:firstLine="0" w:firstLineChars="0"/>
                    <w:jc w:val="center"/>
                    <w:textAlignment w:val="center"/>
                    <w:rPr>
                      <w:color w:val="auto"/>
                      <w:szCs w:val="21"/>
                    </w:rPr>
                  </w:pPr>
                  <w:r>
                    <w:rPr>
                      <w:bCs/>
                      <w:color w:val="auto"/>
                      <w:kern w:val="0"/>
                      <w:szCs w:val="21"/>
                      <w:lang w:bidi="ar"/>
                    </w:rPr>
                    <w:t>pH</w:t>
                  </w:r>
                </w:p>
              </w:tc>
              <w:tc>
                <w:tcPr>
                  <w:tcW w:w="861" w:type="dxa"/>
                  <w:tcBorders>
                    <w:tl2br w:val="nil"/>
                    <w:tr2bl w:val="nil"/>
                  </w:tcBorders>
                  <w:shd w:val="clear" w:color="auto" w:fill="auto"/>
                  <w:vAlign w:val="center"/>
                </w:tcPr>
                <w:p>
                  <w:pPr>
                    <w:spacing w:line="240" w:lineRule="auto"/>
                    <w:ind w:firstLine="0" w:firstLineChars="0"/>
                    <w:jc w:val="center"/>
                    <w:rPr>
                      <w:color w:val="auto"/>
                      <w:szCs w:val="21"/>
                    </w:rPr>
                  </w:pPr>
                  <w:r>
                    <w:rPr>
                      <w:bCs/>
                      <w:color w:val="auto"/>
                      <w:kern w:val="0"/>
                      <w:szCs w:val="21"/>
                      <w:lang w:bidi="ar"/>
                    </w:rPr>
                    <w:t>6~9</w:t>
                  </w:r>
                </w:p>
              </w:tc>
              <w:tc>
                <w:tcPr>
                  <w:tcW w:w="866" w:type="dxa"/>
                  <w:tcBorders>
                    <w:tl2br w:val="nil"/>
                    <w:tr2bl w:val="nil"/>
                  </w:tcBorders>
                  <w:shd w:val="clear" w:color="auto" w:fill="auto"/>
                  <w:vAlign w:val="center"/>
                </w:tcPr>
                <w:p>
                  <w:pPr>
                    <w:spacing w:line="240" w:lineRule="auto"/>
                    <w:ind w:firstLine="0" w:firstLineChars="0"/>
                    <w:jc w:val="center"/>
                    <w:rPr>
                      <w:color w:val="auto"/>
                      <w:szCs w:val="21"/>
                    </w:rPr>
                  </w:pPr>
                  <w:r>
                    <w:rPr>
                      <w:b/>
                      <w:bCs/>
                      <w:color w:val="auto"/>
                      <w:szCs w:val="21"/>
                    </w:rPr>
                    <w:t>/</w:t>
                  </w:r>
                </w:p>
              </w:tc>
              <w:tc>
                <w:tcPr>
                  <w:tcW w:w="857" w:type="dxa"/>
                  <w:tcBorders>
                    <w:tl2br w:val="nil"/>
                    <w:tr2bl w:val="nil"/>
                  </w:tcBorders>
                  <w:vAlign w:val="center"/>
                </w:tcPr>
                <w:p>
                  <w:pPr>
                    <w:spacing w:line="240" w:lineRule="auto"/>
                    <w:ind w:firstLine="0" w:firstLineChars="0"/>
                    <w:jc w:val="center"/>
                    <w:rPr>
                      <w:color w:val="auto"/>
                      <w:szCs w:val="21"/>
                    </w:rPr>
                  </w:pPr>
                  <w:r>
                    <w:rPr>
                      <w:b/>
                      <w:bCs/>
                      <w:color w:val="auto"/>
                      <w:szCs w:val="21"/>
                    </w:rPr>
                    <w:t>/</w:t>
                  </w:r>
                </w:p>
              </w:tc>
              <w:tc>
                <w:tcPr>
                  <w:tcW w:w="925" w:type="dxa"/>
                  <w:tcBorders>
                    <w:tl2br w:val="nil"/>
                    <w:tr2bl w:val="nil"/>
                  </w:tcBorders>
                  <w:vAlign w:val="center"/>
                </w:tcPr>
                <w:p>
                  <w:pPr>
                    <w:spacing w:line="240" w:lineRule="auto"/>
                    <w:ind w:firstLine="0" w:firstLineChars="0"/>
                    <w:jc w:val="center"/>
                    <w:rPr>
                      <w:color w:val="auto"/>
                      <w:szCs w:val="21"/>
                    </w:rPr>
                  </w:pPr>
                  <w:r>
                    <w:rPr>
                      <w:b/>
                      <w:bCs/>
                      <w:color w:val="auto"/>
                      <w:szCs w:val="21"/>
                    </w:rPr>
                    <w:t>/</w:t>
                  </w:r>
                </w:p>
              </w:tc>
              <w:tc>
                <w:tcPr>
                  <w:tcW w:w="736"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762"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87"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40"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pPr>
                    <w:widowControl/>
                    <w:spacing w:line="240" w:lineRule="auto"/>
                    <w:ind w:firstLine="0" w:firstLineChars="0"/>
                    <w:jc w:val="center"/>
                    <w:rPr>
                      <w:color w:val="auto"/>
                      <w:kern w:val="0"/>
                      <w:szCs w:val="21"/>
                    </w:rPr>
                  </w:pPr>
                </w:p>
              </w:tc>
              <w:tc>
                <w:tcPr>
                  <w:tcW w:w="1016" w:type="dxa"/>
                  <w:tcBorders>
                    <w:tl2br w:val="nil"/>
                    <w:tr2bl w:val="nil"/>
                  </w:tcBorders>
                  <w:shd w:val="clear" w:color="auto" w:fill="auto"/>
                  <w:vAlign w:val="center"/>
                </w:tcPr>
                <w:p>
                  <w:pPr>
                    <w:widowControl/>
                    <w:spacing w:line="240" w:lineRule="auto"/>
                    <w:ind w:firstLine="0" w:firstLineChars="0"/>
                    <w:jc w:val="center"/>
                    <w:textAlignment w:val="center"/>
                    <w:rPr>
                      <w:color w:val="auto"/>
                      <w:szCs w:val="21"/>
                    </w:rPr>
                  </w:pPr>
                  <w:r>
                    <w:rPr>
                      <w:bCs/>
                      <w:color w:val="auto"/>
                      <w:kern w:val="0"/>
                      <w:szCs w:val="21"/>
                      <w:lang w:bidi="ar"/>
                    </w:rPr>
                    <w:t>COD</w:t>
                  </w:r>
                </w:p>
              </w:tc>
              <w:tc>
                <w:tcPr>
                  <w:tcW w:w="861" w:type="dxa"/>
                  <w:tcBorders>
                    <w:tl2br w:val="nil"/>
                    <w:tr2bl w:val="nil"/>
                  </w:tcBorders>
                  <w:shd w:val="clear" w:color="auto" w:fill="auto"/>
                  <w:vAlign w:val="center"/>
                </w:tcPr>
                <w:p>
                  <w:pPr>
                    <w:widowControl/>
                    <w:spacing w:line="240" w:lineRule="auto"/>
                    <w:ind w:firstLine="0" w:firstLineChars="0"/>
                    <w:jc w:val="center"/>
                    <w:textAlignment w:val="center"/>
                    <w:rPr>
                      <w:color w:val="auto"/>
                      <w:szCs w:val="21"/>
                    </w:rPr>
                  </w:pPr>
                  <w:r>
                    <w:rPr>
                      <w:color w:val="auto"/>
                      <w:kern w:val="0"/>
                      <w:szCs w:val="21"/>
                      <w:lang w:bidi="ar"/>
                    </w:rPr>
                    <w:t>350</w:t>
                  </w:r>
                </w:p>
              </w:tc>
              <w:tc>
                <w:tcPr>
                  <w:tcW w:w="866" w:type="dxa"/>
                  <w:tcBorders>
                    <w:tl2br w:val="nil"/>
                    <w:tr2bl w:val="nil"/>
                  </w:tcBorders>
                  <w:shd w:val="clear" w:color="auto" w:fill="auto"/>
                  <w:vAlign w:val="center"/>
                </w:tcPr>
                <w:p>
                  <w:pPr>
                    <w:spacing w:line="240" w:lineRule="auto"/>
                    <w:ind w:firstLine="0" w:firstLineChars="0"/>
                    <w:jc w:val="center"/>
                    <w:rPr>
                      <w:color w:val="auto"/>
                      <w:szCs w:val="21"/>
                    </w:rPr>
                  </w:pPr>
                  <w:r>
                    <w:rPr>
                      <w:rFonts w:hint="eastAsia"/>
                      <w:color w:val="auto"/>
                      <w:szCs w:val="21"/>
                    </w:rPr>
                    <w:t>0.022</w:t>
                  </w:r>
                </w:p>
              </w:tc>
              <w:tc>
                <w:tcPr>
                  <w:tcW w:w="857" w:type="dxa"/>
                  <w:tcBorders>
                    <w:tl2br w:val="nil"/>
                    <w:tr2bl w:val="nil"/>
                  </w:tcBorders>
                  <w:vAlign w:val="center"/>
                </w:tcPr>
                <w:p>
                  <w:pPr>
                    <w:autoSpaceDE w:val="0"/>
                    <w:spacing w:line="240" w:lineRule="auto"/>
                    <w:ind w:firstLine="0" w:firstLineChars="0"/>
                    <w:jc w:val="center"/>
                    <w:rPr>
                      <w:color w:val="auto"/>
                      <w:szCs w:val="21"/>
                    </w:rPr>
                  </w:pPr>
                  <w:r>
                    <w:rPr>
                      <w:b/>
                      <w:bCs/>
                      <w:color w:val="auto"/>
                      <w:szCs w:val="21"/>
                    </w:rPr>
                    <w:t>/</w:t>
                  </w:r>
                </w:p>
              </w:tc>
              <w:tc>
                <w:tcPr>
                  <w:tcW w:w="925" w:type="dxa"/>
                  <w:tcBorders>
                    <w:tl2br w:val="nil"/>
                    <w:tr2bl w:val="nil"/>
                  </w:tcBorders>
                  <w:vAlign w:val="center"/>
                </w:tcPr>
                <w:p>
                  <w:pPr>
                    <w:widowControl/>
                    <w:spacing w:line="240" w:lineRule="auto"/>
                    <w:ind w:firstLine="0" w:firstLineChars="0"/>
                    <w:jc w:val="center"/>
                    <w:textAlignment w:val="center"/>
                    <w:rPr>
                      <w:color w:val="auto"/>
                      <w:szCs w:val="21"/>
                    </w:rPr>
                  </w:pPr>
                  <w:r>
                    <w:rPr>
                      <w:b/>
                      <w:bCs/>
                      <w:color w:val="auto"/>
                      <w:szCs w:val="21"/>
                    </w:rPr>
                    <w:t>/</w:t>
                  </w:r>
                </w:p>
              </w:tc>
              <w:tc>
                <w:tcPr>
                  <w:tcW w:w="736"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762"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87"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40"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016" w:type="dxa"/>
                  <w:tcBorders>
                    <w:tl2br w:val="nil"/>
                    <w:tr2bl w:val="nil"/>
                  </w:tcBorders>
                  <w:shd w:val="clear" w:color="auto" w:fill="auto"/>
                  <w:vAlign w:val="center"/>
                </w:tcPr>
                <w:p>
                  <w:pPr>
                    <w:widowControl/>
                    <w:spacing w:line="240" w:lineRule="auto"/>
                    <w:ind w:firstLine="0" w:firstLineChars="0"/>
                    <w:jc w:val="center"/>
                    <w:textAlignment w:val="center"/>
                    <w:rPr>
                      <w:color w:val="auto"/>
                      <w:szCs w:val="21"/>
                    </w:rPr>
                  </w:pPr>
                  <w:r>
                    <w:rPr>
                      <w:bCs/>
                      <w:color w:val="auto"/>
                      <w:kern w:val="0"/>
                      <w:szCs w:val="21"/>
                      <w:lang w:bidi="ar"/>
                    </w:rPr>
                    <w:t>BOD</w:t>
                  </w:r>
                  <w:r>
                    <w:rPr>
                      <w:bCs/>
                      <w:color w:val="auto"/>
                      <w:kern w:val="0"/>
                      <w:szCs w:val="21"/>
                      <w:vertAlign w:val="subscript"/>
                      <w:lang w:bidi="ar"/>
                    </w:rPr>
                    <w:t>5</w:t>
                  </w:r>
                </w:p>
              </w:tc>
              <w:tc>
                <w:tcPr>
                  <w:tcW w:w="861" w:type="dxa"/>
                  <w:tcBorders>
                    <w:tl2br w:val="nil"/>
                    <w:tr2bl w:val="nil"/>
                  </w:tcBorders>
                  <w:shd w:val="clear" w:color="auto" w:fill="auto"/>
                  <w:vAlign w:val="center"/>
                </w:tcPr>
                <w:p>
                  <w:pPr>
                    <w:widowControl/>
                    <w:spacing w:line="240" w:lineRule="auto"/>
                    <w:ind w:firstLine="0" w:firstLineChars="0"/>
                    <w:jc w:val="center"/>
                    <w:textAlignment w:val="center"/>
                    <w:rPr>
                      <w:color w:val="auto"/>
                      <w:szCs w:val="21"/>
                    </w:rPr>
                  </w:pPr>
                  <w:r>
                    <w:rPr>
                      <w:color w:val="auto"/>
                      <w:szCs w:val="21"/>
                    </w:rPr>
                    <w:t>200</w:t>
                  </w:r>
                </w:p>
              </w:tc>
              <w:tc>
                <w:tcPr>
                  <w:tcW w:w="866" w:type="dxa"/>
                  <w:tcBorders>
                    <w:tl2br w:val="nil"/>
                    <w:tr2bl w:val="nil"/>
                  </w:tcBorders>
                  <w:shd w:val="clear" w:color="auto" w:fill="auto"/>
                  <w:vAlign w:val="center"/>
                </w:tcPr>
                <w:p>
                  <w:pPr>
                    <w:spacing w:line="240" w:lineRule="auto"/>
                    <w:ind w:firstLine="0" w:firstLineChars="0"/>
                    <w:jc w:val="center"/>
                    <w:rPr>
                      <w:color w:val="auto"/>
                      <w:szCs w:val="21"/>
                    </w:rPr>
                  </w:pPr>
                  <w:r>
                    <w:rPr>
                      <w:rFonts w:hint="eastAsia"/>
                      <w:color w:val="auto"/>
                      <w:szCs w:val="21"/>
                    </w:rPr>
                    <w:t>0.013</w:t>
                  </w:r>
                </w:p>
              </w:tc>
              <w:tc>
                <w:tcPr>
                  <w:tcW w:w="857" w:type="dxa"/>
                  <w:tcBorders>
                    <w:tl2br w:val="nil"/>
                    <w:tr2bl w:val="nil"/>
                  </w:tcBorders>
                  <w:vAlign w:val="center"/>
                </w:tcPr>
                <w:p>
                  <w:pPr>
                    <w:autoSpaceDE w:val="0"/>
                    <w:spacing w:line="240" w:lineRule="auto"/>
                    <w:ind w:firstLine="0" w:firstLineChars="0"/>
                    <w:jc w:val="center"/>
                    <w:rPr>
                      <w:color w:val="auto"/>
                      <w:szCs w:val="21"/>
                    </w:rPr>
                  </w:pPr>
                  <w:r>
                    <w:rPr>
                      <w:b/>
                      <w:bCs/>
                      <w:color w:val="auto"/>
                      <w:szCs w:val="21"/>
                    </w:rPr>
                    <w:t>/</w:t>
                  </w:r>
                </w:p>
              </w:tc>
              <w:tc>
                <w:tcPr>
                  <w:tcW w:w="925" w:type="dxa"/>
                  <w:tcBorders>
                    <w:tl2br w:val="nil"/>
                    <w:tr2bl w:val="nil"/>
                  </w:tcBorders>
                  <w:vAlign w:val="center"/>
                </w:tcPr>
                <w:p>
                  <w:pPr>
                    <w:widowControl/>
                    <w:spacing w:line="240" w:lineRule="auto"/>
                    <w:ind w:firstLine="0" w:firstLineChars="0"/>
                    <w:jc w:val="center"/>
                    <w:textAlignment w:val="center"/>
                    <w:rPr>
                      <w:color w:val="auto"/>
                      <w:szCs w:val="21"/>
                    </w:rPr>
                  </w:pPr>
                  <w:r>
                    <w:rPr>
                      <w:b/>
                      <w:bCs/>
                      <w:color w:val="auto"/>
                      <w:szCs w:val="21"/>
                    </w:rPr>
                    <w:t>/</w:t>
                  </w:r>
                </w:p>
              </w:tc>
              <w:tc>
                <w:tcPr>
                  <w:tcW w:w="736"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762"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87"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40"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016" w:type="dxa"/>
                  <w:tcBorders>
                    <w:tl2br w:val="nil"/>
                    <w:tr2bl w:val="nil"/>
                  </w:tcBorders>
                  <w:shd w:val="clear" w:color="auto" w:fill="auto"/>
                  <w:vAlign w:val="center"/>
                </w:tcPr>
                <w:p>
                  <w:pPr>
                    <w:widowControl/>
                    <w:spacing w:line="240" w:lineRule="auto"/>
                    <w:ind w:firstLine="0" w:firstLineChars="0"/>
                    <w:jc w:val="center"/>
                    <w:textAlignment w:val="center"/>
                    <w:rPr>
                      <w:color w:val="auto"/>
                      <w:szCs w:val="21"/>
                    </w:rPr>
                  </w:pPr>
                  <w:r>
                    <w:rPr>
                      <w:bCs/>
                      <w:color w:val="auto"/>
                      <w:kern w:val="0"/>
                      <w:szCs w:val="21"/>
                      <w:lang w:bidi="ar"/>
                    </w:rPr>
                    <w:t>SS</w:t>
                  </w:r>
                </w:p>
              </w:tc>
              <w:tc>
                <w:tcPr>
                  <w:tcW w:w="861" w:type="dxa"/>
                  <w:tcBorders>
                    <w:tl2br w:val="nil"/>
                    <w:tr2bl w:val="nil"/>
                  </w:tcBorders>
                  <w:shd w:val="clear" w:color="auto" w:fill="auto"/>
                  <w:vAlign w:val="center"/>
                </w:tcPr>
                <w:p>
                  <w:pPr>
                    <w:widowControl/>
                    <w:spacing w:line="240" w:lineRule="auto"/>
                    <w:ind w:firstLine="0" w:firstLineChars="0"/>
                    <w:jc w:val="center"/>
                    <w:textAlignment w:val="center"/>
                    <w:rPr>
                      <w:color w:val="auto"/>
                      <w:szCs w:val="21"/>
                    </w:rPr>
                  </w:pPr>
                  <w:r>
                    <w:rPr>
                      <w:color w:val="auto"/>
                      <w:kern w:val="0"/>
                      <w:szCs w:val="21"/>
                      <w:lang w:bidi="ar"/>
                    </w:rPr>
                    <w:t>120</w:t>
                  </w:r>
                </w:p>
              </w:tc>
              <w:tc>
                <w:tcPr>
                  <w:tcW w:w="866" w:type="dxa"/>
                  <w:tcBorders>
                    <w:tl2br w:val="nil"/>
                    <w:tr2bl w:val="nil"/>
                  </w:tcBorders>
                  <w:shd w:val="clear" w:color="auto" w:fill="auto"/>
                  <w:vAlign w:val="center"/>
                </w:tcPr>
                <w:p>
                  <w:pPr>
                    <w:spacing w:line="240" w:lineRule="auto"/>
                    <w:ind w:firstLine="0" w:firstLineChars="0"/>
                    <w:jc w:val="center"/>
                    <w:rPr>
                      <w:color w:val="auto"/>
                      <w:szCs w:val="21"/>
                    </w:rPr>
                  </w:pPr>
                  <w:r>
                    <w:rPr>
                      <w:rFonts w:hint="eastAsia"/>
                      <w:color w:val="auto"/>
                      <w:szCs w:val="21"/>
                    </w:rPr>
                    <w:t>0.008</w:t>
                  </w:r>
                </w:p>
              </w:tc>
              <w:tc>
                <w:tcPr>
                  <w:tcW w:w="857" w:type="dxa"/>
                  <w:tcBorders>
                    <w:tl2br w:val="nil"/>
                    <w:tr2bl w:val="nil"/>
                  </w:tcBorders>
                  <w:vAlign w:val="center"/>
                </w:tcPr>
                <w:p>
                  <w:pPr>
                    <w:autoSpaceDE w:val="0"/>
                    <w:spacing w:line="240" w:lineRule="auto"/>
                    <w:ind w:firstLine="0" w:firstLineChars="0"/>
                    <w:jc w:val="center"/>
                    <w:rPr>
                      <w:color w:val="auto"/>
                      <w:szCs w:val="21"/>
                    </w:rPr>
                  </w:pPr>
                  <w:r>
                    <w:rPr>
                      <w:b/>
                      <w:bCs/>
                      <w:color w:val="auto"/>
                      <w:szCs w:val="21"/>
                    </w:rPr>
                    <w:t>/</w:t>
                  </w:r>
                </w:p>
              </w:tc>
              <w:tc>
                <w:tcPr>
                  <w:tcW w:w="925" w:type="dxa"/>
                  <w:tcBorders>
                    <w:tl2br w:val="nil"/>
                    <w:tr2bl w:val="nil"/>
                  </w:tcBorders>
                  <w:vAlign w:val="center"/>
                </w:tcPr>
                <w:p>
                  <w:pPr>
                    <w:widowControl/>
                    <w:spacing w:line="240" w:lineRule="auto"/>
                    <w:ind w:firstLine="0" w:firstLineChars="0"/>
                    <w:jc w:val="center"/>
                    <w:textAlignment w:val="center"/>
                    <w:rPr>
                      <w:color w:val="auto"/>
                      <w:szCs w:val="21"/>
                    </w:rPr>
                  </w:pPr>
                  <w:r>
                    <w:rPr>
                      <w:b/>
                      <w:bCs/>
                      <w:color w:val="auto"/>
                      <w:szCs w:val="21"/>
                    </w:rPr>
                    <w:t>/</w:t>
                  </w:r>
                </w:p>
              </w:tc>
              <w:tc>
                <w:tcPr>
                  <w:tcW w:w="736"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762"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87"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40"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016" w:type="dxa"/>
                  <w:tcBorders>
                    <w:tl2br w:val="nil"/>
                    <w:tr2bl w:val="nil"/>
                  </w:tcBorders>
                  <w:shd w:val="clear" w:color="auto" w:fill="auto"/>
                  <w:vAlign w:val="center"/>
                </w:tcPr>
                <w:p>
                  <w:pPr>
                    <w:widowControl/>
                    <w:spacing w:line="240" w:lineRule="auto"/>
                    <w:ind w:firstLine="0" w:firstLineChars="0"/>
                    <w:jc w:val="center"/>
                    <w:textAlignment w:val="center"/>
                    <w:rPr>
                      <w:color w:val="auto"/>
                      <w:szCs w:val="21"/>
                    </w:rPr>
                  </w:pPr>
                  <w:r>
                    <w:rPr>
                      <w:bCs/>
                      <w:color w:val="auto"/>
                      <w:kern w:val="0"/>
                      <w:szCs w:val="21"/>
                      <w:lang w:bidi="ar"/>
                    </w:rPr>
                    <w:t>氨氮</w:t>
                  </w:r>
                </w:p>
              </w:tc>
              <w:tc>
                <w:tcPr>
                  <w:tcW w:w="861" w:type="dxa"/>
                  <w:tcBorders>
                    <w:tl2br w:val="nil"/>
                    <w:tr2bl w:val="nil"/>
                  </w:tcBorders>
                  <w:shd w:val="clear" w:color="auto" w:fill="auto"/>
                  <w:vAlign w:val="center"/>
                </w:tcPr>
                <w:p>
                  <w:pPr>
                    <w:widowControl/>
                    <w:spacing w:line="240" w:lineRule="auto"/>
                    <w:ind w:firstLine="0" w:firstLineChars="0"/>
                    <w:jc w:val="center"/>
                    <w:textAlignment w:val="center"/>
                    <w:rPr>
                      <w:color w:val="auto"/>
                      <w:szCs w:val="21"/>
                    </w:rPr>
                  </w:pPr>
                  <w:r>
                    <w:rPr>
                      <w:color w:val="auto"/>
                      <w:szCs w:val="21"/>
                    </w:rPr>
                    <w:t>50</w:t>
                  </w:r>
                </w:p>
              </w:tc>
              <w:tc>
                <w:tcPr>
                  <w:tcW w:w="866" w:type="dxa"/>
                  <w:tcBorders>
                    <w:tl2br w:val="nil"/>
                    <w:tr2bl w:val="nil"/>
                  </w:tcBorders>
                  <w:shd w:val="clear" w:color="auto" w:fill="auto"/>
                  <w:vAlign w:val="center"/>
                </w:tcPr>
                <w:p>
                  <w:pPr>
                    <w:spacing w:line="240" w:lineRule="auto"/>
                    <w:ind w:firstLine="0" w:firstLineChars="0"/>
                    <w:jc w:val="center"/>
                    <w:rPr>
                      <w:color w:val="auto"/>
                      <w:szCs w:val="21"/>
                    </w:rPr>
                  </w:pPr>
                  <w:r>
                    <w:rPr>
                      <w:rFonts w:hint="eastAsia"/>
                      <w:color w:val="auto"/>
                      <w:szCs w:val="21"/>
                    </w:rPr>
                    <w:t>0.003</w:t>
                  </w:r>
                </w:p>
              </w:tc>
              <w:tc>
                <w:tcPr>
                  <w:tcW w:w="857" w:type="dxa"/>
                  <w:tcBorders>
                    <w:tl2br w:val="nil"/>
                    <w:tr2bl w:val="nil"/>
                  </w:tcBorders>
                  <w:vAlign w:val="center"/>
                </w:tcPr>
                <w:p>
                  <w:pPr>
                    <w:autoSpaceDE w:val="0"/>
                    <w:spacing w:line="240" w:lineRule="auto"/>
                    <w:ind w:firstLine="0" w:firstLineChars="0"/>
                    <w:jc w:val="center"/>
                    <w:rPr>
                      <w:color w:val="auto"/>
                      <w:szCs w:val="21"/>
                    </w:rPr>
                  </w:pPr>
                  <w:r>
                    <w:rPr>
                      <w:b/>
                      <w:bCs/>
                      <w:color w:val="auto"/>
                      <w:szCs w:val="21"/>
                    </w:rPr>
                    <w:t>/</w:t>
                  </w:r>
                </w:p>
              </w:tc>
              <w:tc>
                <w:tcPr>
                  <w:tcW w:w="925" w:type="dxa"/>
                  <w:tcBorders>
                    <w:tl2br w:val="nil"/>
                    <w:tr2bl w:val="nil"/>
                  </w:tcBorders>
                  <w:vAlign w:val="center"/>
                </w:tcPr>
                <w:p>
                  <w:pPr>
                    <w:widowControl/>
                    <w:spacing w:line="240" w:lineRule="auto"/>
                    <w:ind w:firstLine="0" w:firstLineChars="0"/>
                    <w:jc w:val="center"/>
                    <w:textAlignment w:val="center"/>
                    <w:rPr>
                      <w:color w:val="auto"/>
                      <w:szCs w:val="21"/>
                    </w:rPr>
                  </w:pPr>
                  <w:r>
                    <w:rPr>
                      <w:b/>
                      <w:bCs/>
                      <w:color w:val="auto"/>
                      <w:szCs w:val="21"/>
                    </w:rPr>
                    <w:t>/</w:t>
                  </w:r>
                </w:p>
              </w:tc>
              <w:tc>
                <w:tcPr>
                  <w:tcW w:w="736"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762"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87"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40"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016" w:type="dxa"/>
                  <w:tcBorders>
                    <w:tl2br w:val="nil"/>
                    <w:tr2bl w:val="nil"/>
                  </w:tcBorders>
                  <w:shd w:val="clear" w:color="auto" w:fill="auto"/>
                  <w:vAlign w:val="center"/>
                </w:tcPr>
                <w:p>
                  <w:pPr>
                    <w:widowControl/>
                    <w:spacing w:line="240" w:lineRule="auto"/>
                    <w:ind w:firstLine="0" w:firstLineChars="0"/>
                    <w:jc w:val="center"/>
                    <w:textAlignment w:val="center"/>
                    <w:rPr>
                      <w:color w:val="auto"/>
                      <w:szCs w:val="21"/>
                    </w:rPr>
                  </w:pPr>
                  <w:r>
                    <w:rPr>
                      <w:bCs/>
                      <w:color w:val="auto"/>
                      <w:kern w:val="0"/>
                      <w:szCs w:val="21"/>
                      <w:lang w:bidi="ar"/>
                    </w:rPr>
                    <w:t>粪大肠菌群</w:t>
                  </w:r>
                </w:p>
              </w:tc>
              <w:tc>
                <w:tcPr>
                  <w:tcW w:w="861" w:type="dxa"/>
                  <w:tcBorders>
                    <w:tl2br w:val="nil"/>
                    <w:tr2bl w:val="nil"/>
                  </w:tcBorders>
                  <w:shd w:val="clear" w:color="auto" w:fill="auto"/>
                  <w:vAlign w:val="center"/>
                </w:tcPr>
                <w:p>
                  <w:pPr>
                    <w:widowControl/>
                    <w:spacing w:line="240" w:lineRule="auto"/>
                    <w:ind w:firstLine="0" w:firstLineChars="0"/>
                    <w:jc w:val="center"/>
                    <w:textAlignment w:val="center"/>
                    <w:rPr>
                      <w:color w:val="auto"/>
                      <w:szCs w:val="21"/>
                    </w:rPr>
                  </w:pPr>
                  <w:r>
                    <w:rPr>
                      <w:bCs/>
                      <w:color w:val="auto"/>
                      <w:kern w:val="0"/>
                      <w:szCs w:val="21"/>
                      <w:lang w:bidi="ar"/>
                    </w:rPr>
                    <w:t>1.6</w:t>
                  </w:r>
                  <w:r>
                    <w:rPr>
                      <w:color w:val="auto"/>
                      <w:szCs w:val="21"/>
                    </w:rPr>
                    <w:t>×</w:t>
                  </w:r>
                  <w:r>
                    <w:rPr>
                      <w:bCs/>
                      <w:color w:val="auto"/>
                      <w:kern w:val="0"/>
                      <w:szCs w:val="21"/>
                      <w:lang w:bidi="ar"/>
                    </w:rPr>
                    <w:t>10</w:t>
                  </w:r>
                  <w:r>
                    <w:rPr>
                      <w:rStyle w:val="248"/>
                      <w:bCs/>
                      <w:color w:val="auto"/>
                      <w:lang w:bidi="ar"/>
                    </w:rPr>
                    <w:t>8</w:t>
                  </w:r>
                  <w:r>
                    <w:rPr>
                      <w:rStyle w:val="249"/>
                      <w:rFonts w:hint="default" w:ascii="Times New Roman" w:hAnsi="Times New Roman" w:cs="Times New Roman"/>
                      <w:bCs/>
                      <w:color w:val="auto"/>
                      <w:lang w:bidi="ar"/>
                    </w:rPr>
                    <w:t>个</w:t>
                  </w:r>
                  <w:r>
                    <w:rPr>
                      <w:rStyle w:val="250"/>
                      <w:bCs/>
                      <w:color w:val="auto"/>
                      <w:lang w:bidi="ar"/>
                    </w:rPr>
                    <w:t>/L</w:t>
                  </w:r>
                </w:p>
              </w:tc>
              <w:tc>
                <w:tcPr>
                  <w:tcW w:w="866" w:type="dxa"/>
                  <w:tcBorders>
                    <w:tl2br w:val="nil"/>
                    <w:tr2bl w:val="nil"/>
                  </w:tcBorders>
                  <w:shd w:val="clear" w:color="auto" w:fill="auto"/>
                  <w:vAlign w:val="center"/>
                </w:tcPr>
                <w:p>
                  <w:pPr>
                    <w:autoSpaceDE w:val="0"/>
                    <w:spacing w:line="240" w:lineRule="auto"/>
                    <w:ind w:firstLine="0" w:firstLineChars="0"/>
                    <w:jc w:val="center"/>
                    <w:rPr>
                      <w:color w:val="auto"/>
                      <w:szCs w:val="21"/>
                    </w:rPr>
                  </w:pPr>
                  <w:r>
                    <w:rPr>
                      <w:rFonts w:hint="eastAsia"/>
                      <w:color w:val="auto"/>
                      <w:szCs w:val="21"/>
                    </w:rPr>
                    <w:t>1.02</w:t>
                  </w:r>
                  <w:r>
                    <w:rPr>
                      <w:color w:val="auto"/>
                      <w:szCs w:val="21"/>
                    </w:rPr>
                    <w:t>×10</w:t>
                  </w:r>
                  <w:r>
                    <w:rPr>
                      <w:color w:val="auto"/>
                      <w:szCs w:val="21"/>
                      <w:vertAlign w:val="superscript"/>
                    </w:rPr>
                    <w:t>13</w:t>
                  </w:r>
                  <w:r>
                    <w:rPr>
                      <w:color w:val="auto"/>
                      <w:szCs w:val="21"/>
                    </w:rPr>
                    <w:t>个</w:t>
                  </w:r>
                </w:p>
              </w:tc>
              <w:tc>
                <w:tcPr>
                  <w:tcW w:w="857" w:type="dxa"/>
                  <w:tcBorders>
                    <w:tl2br w:val="nil"/>
                    <w:tr2bl w:val="nil"/>
                  </w:tcBorders>
                  <w:vAlign w:val="center"/>
                </w:tcPr>
                <w:p>
                  <w:pPr>
                    <w:autoSpaceDE w:val="0"/>
                    <w:spacing w:line="240" w:lineRule="auto"/>
                    <w:ind w:firstLine="0" w:firstLineChars="0"/>
                    <w:jc w:val="center"/>
                    <w:rPr>
                      <w:color w:val="auto"/>
                      <w:szCs w:val="21"/>
                    </w:rPr>
                  </w:pPr>
                  <w:r>
                    <w:rPr>
                      <w:b/>
                      <w:bCs/>
                      <w:color w:val="auto"/>
                      <w:szCs w:val="21"/>
                    </w:rPr>
                    <w:t>/</w:t>
                  </w:r>
                </w:p>
              </w:tc>
              <w:tc>
                <w:tcPr>
                  <w:tcW w:w="925" w:type="dxa"/>
                  <w:tcBorders>
                    <w:tl2br w:val="nil"/>
                    <w:tr2bl w:val="nil"/>
                  </w:tcBorders>
                  <w:vAlign w:val="center"/>
                </w:tcPr>
                <w:p>
                  <w:pPr>
                    <w:widowControl/>
                    <w:spacing w:line="240" w:lineRule="auto"/>
                    <w:ind w:firstLine="0" w:firstLineChars="0"/>
                    <w:jc w:val="center"/>
                    <w:textAlignment w:val="center"/>
                    <w:rPr>
                      <w:color w:val="auto"/>
                      <w:kern w:val="0"/>
                      <w:szCs w:val="21"/>
                      <w:lang w:bidi="ar"/>
                    </w:rPr>
                  </w:pPr>
                  <w:r>
                    <w:rPr>
                      <w:b/>
                      <w:bCs/>
                      <w:color w:val="auto"/>
                      <w:szCs w:val="21"/>
                    </w:rPr>
                    <w:t>/</w:t>
                  </w:r>
                </w:p>
              </w:tc>
              <w:tc>
                <w:tcPr>
                  <w:tcW w:w="736"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762"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87"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40"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016" w:type="dxa"/>
                  <w:tcBorders>
                    <w:tl2br w:val="nil"/>
                    <w:tr2bl w:val="nil"/>
                  </w:tcBorders>
                  <w:shd w:val="clear" w:color="auto" w:fill="auto"/>
                  <w:vAlign w:val="center"/>
                </w:tcPr>
                <w:p>
                  <w:pPr>
                    <w:widowControl/>
                    <w:spacing w:line="240" w:lineRule="auto"/>
                    <w:ind w:firstLine="0" w:firstLineChars="0"/>
                    <w:jc w:val="center"/>
                    <w:textAlignment w:val="center"/>
                    <w:rPr>
                      <w:bCs/>
                      <w:color w:val="auto"/>
                      <w:kern w:val="0"/>
                      <w:szCs w:val="21"/>
                      <w:lang w:bidi="ar"/>
                    </w:rPr>
                  </w:pPr>
                  <w:r>
                    <w:rPr>
                      <w:bCs/>
                      <w:color w:val="auto"/>
                      <w:kern w:val="0"/>
                      <w:szCs w:val="21"/>
                      <w:lang w:bidi="ar"/>
                    </w:rPr>
                    <w:t>总余氯</w:t>
                  </w:r>
                </w:p>
              </w:tc>
              <w:tc>
                <w:tcPr>
                  <w:tcW w:w="861" w:type="dxa"/>
                  <w:tcBorders>
                    <w:tl2br w:val="nil"/>
                    <w:tr2bl w:val="nil"/>
                  </w:tcBorders>
                  <w:shd w:val="clear" w:color="auto" w:fill="auto"/>
                  <w:vAlign w:val="center"/>
                </w:tcPr>
                <w:p>
                  <w:pPr>
                    <w:widowControl/>
                    <w:spacing w:line="240" w:lineRule="auto"/>
                    <w:ind w:firstLine="0" w:firstLineChars="0"/>
                    <w:jc w:val="center"/>
                    <w:textAlignment w:val="center"/>
                    <w:rPr>
                      <w:bCs/>
                      <w:color w:val="auto"/>
                      <w:kern w:val="0"/>
                      <w:szCs w:val="21"/>
                      <w:lang w:bidi="ar"/>
                    </w:rPr>
                  </w:pPr>
                  <w:r>
                    <w:rPr>
                      <w:bCs/>
                      <w:color w:val="auto"/>
                      <w:kern w:val="0"/>
                      <w:szCs w:val="21"/>
                      <w:lang w:bidi="ar"/>
                    </w:rPr>
                    <w:t>/</w:t>
                  </w:r>
                </w:p>
              </w:tc>
              <w:tc>
                <w:tcPr>
                  <w:tcW w:w="866" w:type="dxa"/>
                  <w:tcBorders>
                    <w:tl2br w:val="nil"/>
                    <w:tr2bl w:val="nil"/>
                  </w:tcBorders>
                  <w:shd w:val="clear" w:color="auto" w:fill="auto"/>
                  <w:vAlign w:val="center"/>
                </w:tcPr>
                <w:p>
                  <w:pPr>
                    <w:autoSpaceDE w:val="0"/>
                    <w:spacing w:line="240" w:lineRule="auto"/>
                    <w:ind w:firstLine="0" w:firstLineChars="0"/>
                    <w:jc w:val="center"/>
                    <w:rPr>
                      <w:color w:val="auto"/>
                      <w:szCs w:val="21"/>
                    </w:rPr>
                  </w:pPr>
                  <w:r>
                    <w:rPr>
                      <w:color w:val="auto"/>
                      <w:szCs w:val="21"/>
                    </w:rPr>
                    <w:t>/</w:t>
                  </w:r>
                </w:p>
              </w:tc>
              <w:tc>
                <w:tcPr>
                  <w:tcW w:w="857" w:type="dxa"/>
                  <w:tcBorders>
                    <w:tl2br w:val="nil"/>
                    <w:tr2bl w:val="nil"/>
                  </w:tcBorders>
                  <w:vAlign w:val="center"/>
                </w:tcPr>
                <w:p>
                  <w:pPr>
                    <w:autoSpaceDE w:val="0"/>
                    <w:spacing w:line="240" w:lineRule="auto"/>
                    <w:ind w:firstLine="0" w:firstLineChars="0"/>
                    <w:jc w:val="center"/>
                    <w:rPr>
                      <w:color w:val="auto"/>
                      <w:szCs w:val="21"/>
                    </w:rPr>
                  </w:pPr>
                  <w:r>
                    <w:rPr>
                      <w:color w:val="auto"/>
                      <w:szCs w:val="21"/>
                    </w:rPr>
                    <w:t>2~8</w:t>
                  </w:r>
                </w:p>
              </w:tc>
              <w:tc>
                <w:tcPr>
                  <w:tcW w:w="925" w:type="dxa"/>
                  <w:tcBorders>
                    <w:tl2br w:val="nil"/>
                    <w:tr2bl w:val="nil"/>
                  </w:tcBorders>
                  <w:vAlign w:val="center"/>
                </w:tcPr>
                <w:p>
                  <w:pPr>
                    <w:widowControl/>
                    <w:spacing w:line="240" w:lineRule="auto"/>
                    <w:ind w:firstLine="0" w:firstLineChars="0"/>
                    <w:jc w:val="center"/>
                    <w:textAlignment w:val="center"/>
                    <w:rPr>
                      <w:color w:val="auto"/>
                      <w:kern w:val="0"/>
                      <w:szCs w:val="21"/>
                      <w:lang w:bidi="ar"/>
                    </w:rPr>
                  </w:pPr>
                  <w:r>
                    <w:rPr>
                      <w:color w:val="auto"/>
                      <w:kern w:val="0"/>
                      <w:szCs w:val="21"/>
                      <w:lang w:bidi="ar"/>
                    </w:rPr>
                    <w:t>0.000</w:t>
                  </w:r>
                  <w:r>
                    <w:rPr>
                      <w:rFonts w:hint="eastAsia"/>
                      <w:color w:val="auto"/>
                      <w:kern w:val="0"/>
                      <w:szCs w:val="21"/>
                      <w:lang w:bidi="ar"/>
                    </w:rPr>
                    <w:t>1</w:t>
                  </w:r>
                  <w:r>
                    <w:rPr>
                      <w:color w:val="auto"/>
                      <w:kern w:val="0"/>
                      <w:szCs w:val="21"/>
                      <w:lang w:bidi="ar"/>
                    </w:rPr>
                    <w:t>~0.00</w:t>
                  </w:r>
                  <w:r>
                    <w:rPr>
                      <w:rFonts w:hint="eastAsia"/>
                      <w:color w:val="auto"/>
                      <w:kern w:val="0"/>
                      <w:szCs w:val="21"/>
                      <w:lang w:bidi="ar"/>
                    </w:rPr>
                    <w:t>05</w:t>
                  </w:r>
                </w:p>
              </w:tc>
              <w:tc>
                <w:tcPr>
                  <w:tcW w:w="736"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762"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87"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c>
                <w:tcPr>
                  <w:tcW w:w="840" w:type="dxa"/>
                  <w:tcBorders>
                    <w:tl2br w:val="nil"/>
                    <w:tr2bl w:val="nil"/>
                  </w:tcBorders>
                  <w:vAlign w:val="center"/>
                </w:tcPr>
                <w:p>
                  <w:pPr>
                    <w:autoSpaceDE w:val="0"/>
                    <w:spacing w:line="240" w:lineRule="auto"/>
                    <w:ind w:firstLine="0" w:firstLineChars="0"/>
                    <w:jc w:val="center"/>
                    <w:rPr>
                      <w:b/>
                      <w:bCs/>
                      <w:color w:val="auto"/>
                      <w:szCs w:val="21"/>
                    </w:rPr>
                  </w:pPr>
                  <w:r>
                    <w:rPr>
                      <w:b/>
                      <w:bCs/>
                      <w:color w:val="auto"/>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57" w:hRule="atLeast"/>
                <w:jc w:val="center"/>
              </w:trPr>
              <w:tc>
                <w:tcPr>
                  <w:tcW w:w="8822" w:type="dxa"/>
                  <w:gridSpan w:val="10"/>
                  <w:tcBorders>
                    <w:tl2br w:val="nil"/>
                    <w:tr2bl w:val="nil"/>
                  </w:tcBorders>
                  <w:vAlign w:val="center"/>
                </w:tcPr>
                <w:p>
                  <w:pPr>
                    <w:widowControl/>
                    <w:spacing w:line="240" w:lineRule="auto"/>
                    <w:ind w:firstLine="0" w:firstLineChars="0"/>
                    <w:jc w:val="center"/>
                    <w:rPr>
                      <w:b/>
                      <w:bCs/>
                      <w:color w:val="auto"/>
                      <w:szCs w:val="21"/>
                    </w:rPr>
                  </w:pPr>
                  <w:r>
                    <w:rPr>
                      <w:color w:val="auto"/>
                      <w:szCs w:val="21"/>
                    </w:rPr>
                    <w:t>合计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restart"/>
                  <w:tcBorders>
                    <w:tl2br w:val="nil"/>
                    <w:tr2bl w:val="nil"/>
                  </w:tcBorders>
                  <w:vAlign w:val="center"/>
                </w:tcPr>
                <w:p>
                  <w:pPr>
                    <w:widowControl/>
                    <w:spacing w:line="240" w:lineRule="auto"/>
                    <w:ind w:firstLine="0" w:firstLineChars="0"/>
                    <w:jc w:val="center"/>
                    <w:rPr>
                      <w:color w:val="auto"/>
                      <w:szCs w:val="21"/>
                    </w:rPr>
                  </w:pPr>
                  <w:r>
                    <w:rPr>
                      <w:color w:val="auto"/>
                      <w:szCs w:val="21"/>
                    </w:rPr>
                    <w:t>综合废水</w:t>
                  </w:r>
                  <w:r>
                    <w:rPr>
                      <w:rFonts w:hint="eastAsia"/>
                      <w:color w:val="auto"/>
                      <w:szCs w:val="21"/>
                    </w:rPr>
                    <w:t>451.688</w:t>
                  </w:r>
                  <w:r>
                    <w:rPr>
                      <w:color w:val="auto"/>
                      <w:szCs w:val="21"/>
                    </w:rPr>
                    <w:t>m</w:t>
                  </w:r>
                  <w:r>
                    <w:rPr>
                      <w:color w:val="auto"/>
                      <w:szCs w:val="21"/>
                      <w:vertAlign w:val="superscript"/>
                    </w:rPr>
                    <w:t>3</w:t>
                  </w:r>
                  <w:r>
                    <w:rPr>
                      <w:color w:val="auto"/>
                      <w:szCs w:val="21"/>
                    </w:rPr>
                    <w:t>/a</w:t>
                  </w:r>
                </w:p>
              </w:tc>
              <w:tc>
                <w:tcPr>
                  <w:tcW w:w="1016" w:type="dxa"/>
                  <w:tcBorders>
                    <w:tl2br w:val="nil"/>
                    <w:tr2bl w:val="nil"/>
                  </w:tcBorders>
                  <w:shd w:val="clear" w:color="auto" w:fill="auto"/>
                  <w:vAlign w:val="center"/>
                </w:tcPr>
                <w:p>
                  <w:pPr>
                    <w:spacing w:line="240" w:lineRule="auto"/>
                    <w:ind w:firstLine="0" w:firstLineChars="0"/>
                    <w:jc w:val="center"/>
                    <w:rPr>
                      <w:color w:val="auto"/>
                      <w:szCs w:val="21"/>
                    </w:rPr>
                  </w:pPr>
                  <w:r>
                    <w:rPr>
                      <w:color w:val="auto"/>
                      <w:szCs w:val="21"/>
                    </w:rPr>
                    <w:t>pH</w:t>
                  </w:r>
                </w:p>
              </w:tc>
              <w:tc>
                <w:tcPr>
                  <w:tcW w:w="861"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6~9</w:t>
                  </w:r>
                </w:p>
              </w:tc>
              <w:tc>
                <w:tcPr>
                  <w:tcW w:w="866"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Cs w:val="21"/>
                    </w:rPr>
                    <w:t>/</w:t>
                  </w:r>
                </w:p>
              </w:tc>
              <w:tc>
                <w:tcPr>
                  <w:tcW w:w="857" w:type="dxa"/>
                  <w:tcBorders>
                    <w:tl2br w:val="nil"/>
                    <w:tr2bl w:val="nil"/>
                  </w:tcBorders>
                  <w:vAlign w:val="center"/>
                </w:tcPr>
                <w:p>
                  <w:pPr>
                    <w:autoSpaceDE w:val="0"/>
                    <w:spacing w:line="240" w:lineRule="auto"/>
                    <w:ind w:firstLine="0" w:firstLineChars="0"/>
                    <w:jc w:val="center"/>
                    <w:rPr>
                      <w:b/>
                      <w:bCs/>
                      <w:color w:val="auto"/>
                      <w:szCs w:val="21"/>
                    </w:rPr>
                  </w:pPr>
                  <w:r>
                    <w:rPr>
                      <w:color w:val="auto"/>
                      <w:szCs w:val="21"/>
                    </w:rPr>
                    <w:t>/</w:t>
                  </w:r>
                </w:p>
              </w:tc>
              <w:tc>
                <w:tcPr>
                  <w:tcW w:w="925" w:type="dxa"/>
                  <w:tcBorders>
                    <w:tl2br w:val="nil"/>
                    <w:tr2bl w:val="nil"/>
                  </w:tcBorders>
                  <w:vAlign w:val="center"/>
                </w:tcPr>
                <w:p>
                  <w:pPr>
                    <w:autoSpaceDE w:val="0"/>
                    <w:spacing w:line="240" w:lineRule="auto"/>
                    <w:ind w:firstLine="0" w:firstLineChars="0"/>
                    <w:jc w:val="center"/>
                    <w:rPr>
                      <w:b/>
                      <w:bCs/>
                      <w:color w:val="auto"/>
                      <w:szCs w:val="21"/>
                    </w:rPr>
                  </w:pPr>
                  <w:r>
                    <w:rPr>
                      <w:color w:val="auto"/>
                      <w:szCs w:val="21"/>
                    </w:rPr>
                    <w:t>/</w:t>
                  </w:r>
                </w:p>
              </w:tc>
              <w:tc>
                <w:tcPr>
                  <w:tcW w:w="736"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6~9</w:t>
                  </w:r>
                </w:p>
              </w:tc>
              <w:tc>
                <w:tcPr>
                  <w:tcW w:w="762"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Cs w:val="21"/>
                    </w:rPr>
                    <w:t>/</w:t>
                  </w:r>
                </w:p>
              </w:tc>
              <w:tc>
                <w:tcPr>
                  <w:tcW w:w="887"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6~9</w:t>
                  </w:r>
                </w:p>
              </w:tc>
              <w:tc>
                <w:tcPr>
                  <w:tcW w:w="840"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016" w:type="dxa"/>
                  <w:tcBorders>
                    <w:tl2br w:val="nil"/>
                    <w:tr2bl w:val="nil"/>
                  </w:tcBorders>
                  <w:shd w:val="clear" w:color="auto" w:fill="auto"/>
                  <w:vAlign w:val="center"/>
                </w:tcPr>
                <w:p>
                  <w:pPr>
                    <w:spacing w:line="240" w:lineRule="auto"/>
                    <w:ind w:firstLine="0" w:firstLineChars="0"/>
                    <w:jc w:val="center"/>
                    <w:rPr>
                      <w:color w:val="auto"/>
                      <w:szCs w:val="21"/>
                    </w:rPr>
                  </w:pPr>
                  <w:r>
                    <w:rPr>
                      <w:color w:val="auto"/>
                      <w:szCs w:val="21"/>
                    </w:rPr>
                    <w:t>COD</w:t>
                  </w:r>
                </w:p>
              </w:tc>
              <w:tc>
                <w:tcPr>
                  <w:tcW w:w="861"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b/>
                      <w:bCs/>
                      <w:color w:val="auto"/>
                      <w:szCs w:val="21"/>
                    </w:rPr>
                    <w:t>/</w:t>
                  </w:r>
                </w:p>
              </w:tc>
              <w:tc>
                <w:tcPr>
                  <w:tcW w:w="866"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0.235</w:t>
                  </w:r>
                </w:p>
              </w:tc>
              <w:tc>
                <w:tcPr>
                  <w:tcW w:w="857" w:type="dxa"/>
                  <w:tcBorders>
                    <w:tl2br w:val="nil"/>
                    <w:tr2bl w:val="nil"/>
                  </w:tcBorders>
                  <w:shd w:val="clear" w:color="auto" w:fill="auto"/>
                  <w:vAlign w:val="center"/>
                </w:tcPr>
                <w:p>
                  <w:pPr>
                    <w:autoSpaceDE w:val="0"/>
                    <w:spacing w:line="240" w:lineRule="auto"/>
                    <w:ind w:firstLine="0" w:firstLineChars="0"/>
                    <w:jc w:val="center"/>
                    <w:rPr>
                      <w:b/>
                      <w:bCs/>
                      <w:color w:val="auto"/>
                      <w:szCs w:val="21"/>
                    </w:rPr>
                  </w:pPr>
                  <w:r>
                    <w:rPr>
                      <w:color w:val="auto"/>
                      <w:szCs w:val="21"/>
                    </w:rPr>
                    <w:t>/</w:t>
                  </w:r>
                </w:p>
              </w:tc>
              <w:tc>
                <w:tcPr>
                  <w:tcW w:w="925" w:type="dxa"/>
                  <w:tcBorders>
                    <w:tl2br w:val="nil"/>
                    <w:tr2bl w:val="nil"/>
                  </w:tcBorders>
                  <w:shd w:val="clear" w:color="auto" w:fill="auto"/>
                  <w:vAlign w:val="center"/>
                </w:tcPr>
                <w:p>
                  <w:pPr>
                    <w:autoSpaceDE w:val="0"/>
                    <w:spacing w:line="240" w:lineRule="auto"/>
                    <w:ind w:firstLine="0" w:firstLineChars="0"/>
                    <w:jc w:val="center"/>
                    <w:rPr>
                      <w:b/>
                      <w:bCs/>
                      <w:color w:val="auto"/>
                      <w:szCs w:val="21"/>
                    </w:rPr>
                  </w:pPr>
                  <w:r>
                    <w:rPr>
                      <w:color w:val="auto"/>
                      <w:szCs w:val="21"/>
                    </w:rPr>
                    <w:t>/</w:t>
                  </w:r>
                </w:p>
              </w:tc>
              <w:tc>
                <w:tcPr>
                  <w:tcW w:w="736"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450</w:t>
                  </w:r>
                </w:p>
              </w:tc>
              <w:tc>
                <w:tcPr>
                  <w:tcW w:w="762"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0.203</w:t>
                  </w:r>
                </w:p>
              </w:tc>
              <w:tc>
                <w:tcPr>
                  <w:tcW w:w="887"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50</w:t>
                  </w:r>
                </w:p>
              </w:tc>
              <w:tc>
                <w:tcPr>
                  <w:tcW w:w="840"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0.023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016" w:type="dxa"/>
                  <w:tcBorders>
                    <w:tl2br w:val="nil"/>
                    <w:tr2bl w:val="nil"/>
                  </w:tcBorders>
                  <w:shd w:val="clear" w:color="auto" w:fill="auto"/>
                  <w:vAlign w:val="center"/>
                </w:tcPr>
                <w:p>
                  <w:pPr>
                    <w:spacing w:line="240" w:lineRule="auto"/>
                    <w:ind w:firstLine="0" w:firstLineChars="0"/>
                    <w:jc w:val="center"/>
                    <w:rPr>
                      <w:color w:val="auto"/>
                      <w:szCs w:val="21"/>
                    </w:rPr>
                  </w:pPr>
                  <w:r>
                    <w:rPr>
                      <w:color w:val="auto"/>
                      <w:szCs w:val="21"/>
                    </w:rPr>
                    <w:t>BOD</w:t>
                  </w:r>
                  <w:r>
                    <w:rPr>
                      <w:color w:val="auto"/>
                      <w:szCs w:val="21"/>
                      <w:vertAlign w:val="subscript"/>
                    </w:rPr>
                    <w:t>5</w:t>
                  </w:r>
                </w:p>
              </w:tc>
              <w:tc>
                <w:tcPr>
                  <w:tcW w:w="861"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b/>
                      <w:bCs/>
                      <w:color w:val="auto"/>
                      <w:szCs w:val="21"/>
                    </w:rPr>
                    <w:t>/</w:t>
                  </w:r>
                </w:p>
              </w:tc>
              <w:tc>
                <w:tcPr>
                  <w:tcW w:w="866"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0.168</w:t>
                  </w:r>
                </w:p>
              </w:tc>
              <w:tc>
                <w:tcPr>
                  <w:tcW w:w="857" w:type="dxa"/>
                  <w:tcBorders>
                    <w:tl2br w:val="nil"/>
                    <w:tr2bl w:val="nil"/>
                  </w:tcBorders>
                  <w:vAlign w:val="center"/>
                </w:tcPr>
                <w:p>
                  <w:pPr>
                    <w:autoSpaceDE w:val="0"/>
                    <w:spacing w:line="240" w:lineRule="auto"/>
                    <w:ind w:firstLine="0" w:firstLineChars="0"/>
                    <w:jc w:val="center"/>
                    <w:rPr>
                      <w:b/>
                      <w:bCs/>
                      <w:color w:val="auto"/>
                      <w:szCs w:val="21"/>
                    </w:rPr>
                  </w:pPr>
                  <w:r>
                    <w:rPr>
                      <w:color w:val="auto"/>
                      <w:szCs w:val="21"/>
                    </w:rPr>
                    <w:t>/</w:t>
                  </w:r>
                </w:p>
              </w:tc>
              <w:tc>
                <w:tcPr>
                  <w:tcW w:w="925" w:type="dxa"/>
                  <w:tcBorders>
                    <w:tl2br w:val="nil"/>
                    <w:tr2bl w:val="nil"/>
                  </w:tcBorders>
                  <w:vAlign w:val="center"/>
                </w:tcPr>
                <w:p>
                  <w:pPr>
                    <w:autoSpaceDE w:val="0"/>
                    <w:spacing w:line="240" w:lineRule="auto"/>
                    <w:ind w:firstLine="0" w:firstLineChars="0"/>
                    <w:jc w:val="center"/>
                    <w:rPr>
                      <w:b/>
                      <w:bCs/>
                      <w:color w:val="auto"/>
                      <w:szCs w:val="21"/>
                    </w:rPr>
                  </w:pPr>
                  <w:r>
                    <w:rPr>
                      <w:color w:val="auto"/>
                      <w:szCs w:val="21"/>
                    </w:rPr>
                    <w:t>/</w:t>
                  </w:r>
                </w:p>
              </w:tc>
              <w:tc>
                <w:tcPr>
                  <w:tcW w:w="736"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300</w:t>
                  </w:r>
                </w:p>
              </w:tc>
              <w:tc>
                <w:tcPr>
                  <w:tcW w:w="762"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0.136</w:t>
                  </w:r>
                </w:p>
              </w:tc>
              <w:tc>
                <w:tcPr>
                  <w:tcW w:w="887"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10</w:t>
                  </w:r>
                </w:p>
              </w:tc>
              <w:tc>
                <w:tcPr>
                  <w:tcW w:w="840"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0.005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016" w:type="dxa"/>
                  <w:tcBorders>
                    <w:tl2br w:val="nil"/>
                    <w:tr2bl w:val="nil"/>
                  </w:tcBorders>
                  <w:shd w:val="clear" w:color="auto" w:fill="auto"/>
                  <w:vAlign w:val="center"/>
                </w:tcPr>
                <w:p>
                  <w:pPr>
                    <w:spacing w:line="240" w:lineRule="auto"/>
                    <w:ind w:firstLine="0" w:firstLineChars="0"/>
                    <w:jc w:val="center"/>
                    <w:rPr>
                      <w:color w:val="auto"/>
                      <w:szCs w:val="21"/>
                    </w:rPr>
                  </w:pPr>
                  <w:r>
                    <w:rPr>
                      <w:color w:val="auto"/>
                      <w:szCs w:val="21"/>
                    </w:rPr>
                    <w:t>SS</w:t>
                  </w:r>
                </w:p>
              </w:tc>
              <w:tc>
                <w:tcPr>
                  <w:tcW w:w="861"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b/>
                      <w:bCs/>
                      <w:color w:val="auto"/>
                      <w:szCs w:val="21"/>
                    </w:rPr>
                    <w:t>/</w:t>
                  </w:r>
                </w:p>
              </w:tc>
              <w:tc>
                <w:tcPr>
                  <w:tcW w:w="866"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0.163</w:t>
                  </w:r>
                </w:p>
              </w:tc>
              <w:tc>
                <w:tcPr>
                  <w:tcW w:w="857" w:type="dxa"/>
                  <w:tcBorders>
                    <w:tl2br w:val="nil"/>
                    <w:tr2bl w:val="nil"/>
                  </w:tcBorders>
                  <w:vAlign w:val="center"/>
                </w:tcPr>
                <w:p>
                  <w:pPr>
                    <w:autoSpaceDE w:val="0"/>
                    <w:spacing w:line="240" w:lineRule="auto"/>
                    <w:ind w:firstLine="0" w:firstLineChars="0"/>
                    <w:jc w:val="center"/>
                    <w:rPr>
                      <w:b/>
                      <w:bCs/>
                      <w:color w:val="auto"/>
                      <w:szCs w:val="21"/>
                    </w:rPr>
                  </w:pPr>
                  <w:r>
                    <w:rPr>
                      <w:color w:val="auto"/>
                      <w:szCs w:val="21"/>
                    </w:rPr>
                    <w:t>/</w:t>
                  </w:r>
                </w:p>
              </w:tc>
              <w:tc>
                <w:tcPr>
                  <w:tcW w:w="925" w:type="dxa"/>
                  <w:tcBorders>
                    <w:tl2br w:val="nil"/>
                    <w:tr2bl w:val="nil"/>
                  </w:tcBorders>
                  <w:vAlign w:val="center"/>
                </w:tcPr>
                <w:p>
                  <w:pPr>
                    <w:autoSpaceDE w:val="0"/>
                    <w:spacing w:line="240" w:lineRule="auto"/>
                    <w:ind w:firstLine="0" w:firstLineChars="0"/>
                    <w:jc w:val="center"/>
                    <w:rPr>
                      <w:b/>
                      <w:bCs/>
                      <w:color w:val="auto"/>
                      <w:szCs w:val="21"/>
                    </w:rPr>
                  </w:pPr>
                  <w:r>
                    <w:rPr>
                      <w:color w:val="auto"/>
                      <w:szCs w:val="21"/>
                    </w:rPr>
                    <w:t>/</w:t>
                  </w:r>
                </w:p>
              </w:tc>
              <w:tc>
                <w:tcPr>
                  <w:tcW w:w="736"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300</w:t>
                  </w:r>
                </w:p>
              </w:tc>
              <w:tc>
                <w:tcPr>
                  <w:tcW w:w="762"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0.136</w:t>
                  </w:r>
                </w:p>
              </w:tc>
              <w:tc>
                <w:tcPr>
                  <w:tcW w:w="887"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10</w:t>
                  </w:r>
                </w:p>
              </w:tc>
              <w:tc>
                <w:tcPr>
                  <w:tcW w:w="840"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0.005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016" w:type="dxa"/>
                  <w:tcBorders>
                    <w:tl2br w:val="nil"/>
                    <w:tr2bl w:val="nil"/>
                  </w:tcBorders>
                  <w:shd w:val="clear" w:color="auto" w:fill="auto"/>
                  <w:vAlign w:val="center"/>
                </w:tcPr>
                <w:p>
                  <w:pPr>
                    <w:widowControl/>
                    <w:spacing w:line="240" w:lineRule="auto"/>
                    <w:ind w:firstLine="0" w:firstLineChars="0"/>
                    <w:jc w:val="center"/>
                    <w:textAlignment w:val="center"/>
                    <w:rPr>
                      <w:color w:val="auto"/>
                      <w:szCs w:val="21"/>
                    </w:rPr>
                  </w:pPr>
                  <w:r>
                    <w:rPr>
                      <w:bCs/>
                      <w:color w:val="auto"/>
                      <w:kern w:val="0"/>
                      <w:szCs w:val="21"/>
                      <w:lang w:bidi="ar"/>
                    </w:rPr>
                    <w:t>氨氮</w:t>
                  </w:r>
                </w:p>
              </w:tc>
              <w:tc>
                <w:tcPr>
                  <w:tcW w:w="861"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b/>
                      <w:bCs/>
                      <w:color w:val="auto"/>
                      <w:szCs w:val="21"/>
                    </w:rPr>
                    <w:t>/</w:t>
                  </w:r>
                </w:p>
              </w:tc>
              <w:tc>
                <w:tcPr>
                  <w:tcW w:w="866"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0.026</w:t>
                  </w:r>
                </w:p>
              </w:tc>
              <w:tc>
                <w:tcPr>
                  <w:tcW w:w="857" w:type="dxa"/>
                  <w:tcBorders>
                    <w:tl2br w:val="nil"/>
                    <w:tr2bl w:val="nil"/>
                  </w:tcBorders>
                  <w:vAlign w:val="center"/>
                </w:tcPr>
                <w:p>
                  <w:pPr>
                    <w:autoSpaceDE w:val="0"/>
                    <w:spacing w:line="240" w:lineRule="auto"/>
                    <w:ind w:firstLine="0" w:firstLineChars="0"/>
                    <w:jc w:val="center"/>
                    <w:rPr>
                      <w:b/>
                      <w:bCs/>
                      <w:color w:val="auto"/>
                      <w:szCs w:val="21"/>
                    </w:rPr>
                  </w:pPr>
                  <w:r>
                    <w:rPr>
                      <w:color w:val="auto"/>
                      <w:szCs w:val="21"/>
                    </w:rPr>
                    <w:t>/</w:t>
                  </w:r>
                </w:p>
              </w:tc>
              <w:tc>
                <w:tcPr>
                  <w:tcW w:w="925" w:type="dxa"/>
                  <w:tcBorders>
                    <w:tl2br w:val="nil"/>
                    <w:tr2bl w:val="nil"/>
                  </w:tcBorders>
                  <w:vAlign w:val="center"/>
                </w:tcPr>
                <w:p>
                  <w:pPr>
                    <w:autoSpaceDE w:val="0"/>
                    <w:spacing w:line="240" w:lineRule="auto"/>
                    <w:ind w:firstLine="0" w:firstLineChars="0"/>
                    <w:jc w:val="center"/>
                    <w:rPr>
                      <w:b/>
                      <w:bCs/>
                      <w:color w:val="auto"/>
                      <w:szCs w:val="21"/>
                    </w:rPr>
                  </w:pPr>
                  <w:r>
                    <w:rPr>
                      <w:color w:val="auto"/>
                      <w:szCs w:val="21"/>
                    </w:rPr>
                    <w:t>/</w:t>
                  </w:r>
                </w:p>
              </w:tc>
              <w:tc>
                <w:tcPr>
                  <w:tcW w:w="736"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45</w:t>
                  </w:r>
                </w:p>
              </w:tc>
              <w:tc>
                <w:tcPr>
                  <w:tcW w:w="762"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0.02</w:t>
                  </w:r>
                </w:p>
              </w:tc>
              <w:tc>
                <w:tcPr>
                  <w:tcW w:w="887"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5</w:t>
                  </w:r>
                </w:p>
              </w:tc>
              <w:tc>
                <w:tcPr>
                  <w:tcW w:w="840"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0.002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016" w:type="dxa"/>
                  <w:tcBorders>
                    <w:tl2br w:val="nil"/>
                    <w:tr2bl w:val="nil"/>
                  </w:tcBorders>
                  <w:shd w:val="clear" w:color="auto" w:fill="auto"/>
                  <w:vAlign w:val="center"/>
                </w:tcPr>
                <w:p>
                  <w:pPr>
                    <w:widowControl/>
                    <w:spacing w:line="240" w:lineRule="auto"/>
                    <w:ind w:firstLine="0" w:firstLineChars="0"/>
                    <w:jc w:val="center"/>
                    <w:textAlignment w:val="center"/>
                    <w:rPr>
                      <w:color w:val="auto"/>
                      <w:szCs w:val="21"/>
                    </w:rPr>
                  </w:pPr>
                  <w:r>
                    <w:rPr>
                      <w:bCs/>
                      <w:color w:val="auto"/>
                      <w:kern w:val="0"/>
                      <w:szCs w:val="21"/>
                      <w:lang w:bidi="ar"/>
                    </w:rPr>
                    <w:t>粪大肠菌群</w:t>
                  </w:r>
                </w:p>
              </w:tc>
              <w:tc>
                <w:tcPr>
                  <w:tcW w:w="861"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b/>
                      <w:bCs/>
                      <w:color w:val="auto"/>
                      <w:szCs w:val="21"/>
                    </w:rPr>
                    <w:t>/</w:t>
                  </w:r>
                </w:p>
              </w:tc>
              <w:tc>
                <w:tcPr>
                  <w:tcW w:w="866"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1.02</w:t>
                  </w:r>
                  <w:r>
                    <w:rPr>
                      <w:color w:val="auto"/>
                      <w:sz w:val="21"/>
                      <w:szCs w:val="21"/>
                    </w:rPr>
                    <w:t>×10</w:t>
                  </w:r>
                  <w:r>
                    <w:rPr>
                      <w:color w:val="auto"/>
                      <w:sz w:val="21"/>
                      <w:szCs w:val="21"/>
                      <w:vertAlign w:val="superscript"/>
                    </w:rPr>
                    <w:t>13</w:t>
                  </w:r>
                  <w:r>
                    <w:rPr>
                      <w:color w:val="auto"/>
                      <w:sz w:val="21"/>
                      <w:szCs w:val="21"/>
                    </w:rPr>
                    <w:t>个</w:t>
                  </w:r>
                </w:p>
              </w:tc>
              <w:tc>
                <w:tcPr>
                  <w:tcW w:w="857" w:type="dxa"/>
                  <w:tcBorders>
                    <w:tl2br w:val="nil"/>
                    <w:tr2bl w:val="nil"/>
                  </w:tcBorders>
                  <w:vAlign w:val="center"/>
                </w:tcPr>
                <w:p>
                  <w:pPr>
                    <w:autoSpaceDE w:val="0"/>
                    <w:spacing w:line="240" w:lineRule="auto"/>
                    <w:ind w:firstLine="0" w:firstLineChars="0"/>
                    <w:jc w:val="center"/>
                    <w:rPr>
                      <w:b/>
                      <w:bCs/>
                      <w:color w:val="auto"/>
                      <w:szCs w:val="21"/>
                    </w:rPr>
                  </w:pPr>
                  <w:r>
                    <w:rPr>
                      <w:color w:val="auto"/>
                      <w:szCs w:val="21"/>
                    </w:rPr>
                    <w:t>/</w:t>
                  </w:r>
                </w:p>
              </w:tc>
              <w:tc>
                <w:tcPr>
                  <w:tcW w:w="925" w:type="dxa"/>
                  <w:tcBorders>
                    <w:tl2br w:val="nil"/>
                    <w:tr2bl w:val="nil"/>
                  </w:tcBorders>
                  <w:vAlign w:val="center"/>
                </w:tcPr>
                <w:p>
                  <w:pPr>
                    <w:autoSpaceDE w:val="0"/>
                    <w:spacing w:line="240" w:lineRule="auto"/>
                    <w:ind w:firstLine="0" w:firstLineChars="0"/>
                    <w:jc w:val="center"/>
                    <w:rPr>
                      <w:b/>
                      <w:bCs/>
                      <w:color w:val="auto"/>
                      <w:szCs w:val="21"/>
                    </w:rPr>
                  </w:pPr>
                  <w:r>
                    <w:rPr>
                      <w:color w:val="auto"/>
                      <w:szCs w:val="21"/>
                    </w:rPr>
                    <w:t>/</w:t>
                  </w:r>
                </w:p>
              </w:tc>
              <w:tc>
                <w:tcPr>
                  <w:tcW w:w="736"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5000</w:t>
                  </w:r>
                  <w:r>
                    <w:rPr>
                      <w:color w:val="auto"/>
                    </w:rPr>
                    <w:t>个/L</w:t>
                  </w:r>
                </w:p>
              </w:tc>
              <w:tc>
                <w:tcPr>
                  <w:tcW w:w="762"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2.</w:t>
                  </w:r>
                  <w:r>
                    <w:rPr>
                      <w:rFonts w:hint="eastAsia"/>
                      <w:color w:val="auto"/>
                      <w:sz w:val="21"/>
                      <w:szCs w:val="21"/>
                    </w:rPr>
                    <w:t>26</w:t>
                  </w:r>
                  <w:r>
                    <w:rPr>
                      <w:color w:val="auto"/>
                      <w:sz w:val="21"/>
                      <w:szCs w:val="21"/>
                    </w:rPr>
                    <w:t>×10</w:t>
                  </w:r>
                  <w:r>
                    <w:rPr>
                      <w:color w:val="auto"/>
                      <w:sz w:val="21"/>
                      <w:szCs w:val="21"/>
                      <w:vertAlign w:val="superscript"/>
                    </w:rPr>
                    <w:t>9</w:t>
                  </w:r>
                  <w:r>
                    <w:rPr>
                      <w:color w:val="auto"/>
                      <w:sz w:val="21"/>
                      <w:szCs w:val="21"/>
                    </w:rPr>
                    <w:t>个</w:t>
                  </w:r>
                </w:p>
              </w:tc>
              <w:tc>
                <w:tcPr>
                  <w:tcW w:w="887"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1000个/L</w:t>
                  </w:r>
                </w:p>
              </w:tc>
              <w:tc>
                <w:tcPr>
                  <w:tcW w:w="840"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4.52</w:t>
                  </w:r>
                  <w:r>
                    <w:rPr>
                      <w:color w:val="auto"/>
                      <w:sz w:val="21"/>
                      <w:szCs w:val="21"/>
                    </w:rPr>
                    <w:t>×10</w:t>
                  </w:r>
                  <w:r>
                    <w:rPr>
                      <w:color w:val="auto"/>
                      <w:sz w:val="21"/>
                      <w:szCs w:val="21"/>
                      <w:vertAlign w:val="superscript"/>
                    </w:rPr>
                    <w:t>8</w:t>
                  </w:r>
                  <w:r>
                    <w:rPr>
                      <w:color w:val="auto"/>
                      <w:sz w:val="21"/>
                      <w:szCs w:val="21"/>
                    </w:rPr>
                    <w:t>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016" w:type="dxa"/>
                  <w:tcBorders>
                    <w:tl2br w:val="nil"/>
                    <w:tr2bl w:val="nil"/>
                  </w:tcBorders>
                  <w:shd w:val="clear" w:color="auto" w:fill="auto"/>
                  <w:vAlign w:val="center"/>
                </w:tcPr>
                <w:p>
                  <w:pPr>
                    <w:widowControl/>
                    <w:spacing w:line="240" w:lineRule="auto"/>
                    <w:ind w:firstLine="0" w:firstLineChars="0"/>
                    <w:jc w:val="center"/>
                    <w:textAlignment w:val="center"/>
                    <w:rPr>
                      <w:color w:val="auto"/>
                      <w:szCs w:val="21"/>
                    </w:rPr>
                  </w:pPr>
                  <w:r>
                    <w:rPr>
                      <w:bCs/>
                      <w:color w:val="auto"/>
                      <w:kern w:val="0"/>
                      <w:szCs w:val="21"/>
                      <w:lang w:bidi="ar"/>
                    </w:rPr>
                    <w:t>LAS</w:t>
                  </w:r>
                </w:p>
              </w:tc>
              <w:tc>
                <w:tcPr>
                  <w:tcW w:w="861"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b/>
                      <w:bCs/>
                      <w:color w:val="auto"/>
                      <w:szCs w:val="21"/>
                    </w:rPr>
                    <w:t>/</w:t>
                  </w:r>
                </w:p>
              </w:tc>
              <w:tc>
                <w:tcPr>
                  <w:tcW w:w="866"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0.01</w:t>
                  </w:r>
                  <w:r>
                    <w:rPr>
                      <w:rFonts w:hint="eastAsia"/>
                      <w:color w:val="auto"/>
                      <w:sz w:val="21"/>
                      <w:szCs w:val="21"/>
                    </w:rPr>
                    <w:t>3</w:t>
                  </w:r>
                </w:p>
              </w:tc>
              <w:tc>
                <w:tcPr>
                  <w:tcW w:w="857" w:type="dxa"/>
                  <w:tcBorders>
                    <w:tl2br w:val="nil"/>
                    <w:tr2bl w:val="nil"/>
                  </w:tcBorders>
                  <w:vAlign w:val="center"/>
                </w:tcPr>
                <w:p>
                  <w:pPr>
                    <w:autoSpaceDE w:val="0"/>
                    <w:spacing w:line="240" w:lineRule="auto"/>
                    <w:ind w:firstLine="0" w:firstLineChars="0"/>
                    <w:jc w:val="center"/>
                    <w:rPr>
                      <w:b/>
                      <w:bCs/>
                      <w:color w:val="auto"/>
                      <w:szCs w:val="21"/>
                    </w:rPr>
                  </w:pPr>
                  <w:r>
                    <w:rPr>
                      <w:color w:val="auto"/>
                      <w:szCs w:val="21"/>
                    </w:rPr>
                    <w:t>/</w:t>
                  </w:r>
                </w:p>
              </w:tc>
              <w:tc>
                <w:tcPr>
                  <w:tcW w:w="925" w:type="dxa"/>
                  <w:tcBorders>
                    <w:tl2br w:val="nil"/>
                    <w:tr2bl w:val="nil"/>
                  </w:tcBorders>
                  <w:vAlign w:val="center"/>
                </w:tcPr>
                <w:p>
                  <w:pPr>
                    <w:autoSpaceDE w:val="0"/>
                    <w:spacing w:line="240" w:lineRule="auto"/>
                    <w:ind w:firstLine="0" w:firstLineChars="0"/>
                    <w:jc w:val="center"/>
                    <w:rPr>
                      <w:b/>
                      <w:bCs/>
                      <w:color w:val="auto"/>
                      <w:szCs w:val="21"/>
                    </w:rPr>
                  </w:pPr>
                  <w:r>
                    <w:rPr>
                      <w:color w:val="auto"/>
                      <w:szCs w:val="21"/>
                    </w:rPr>
                    <w:t>/</w:t>
                  </w:r>
                </w:p>
              </w:tc>
              <w:tc>
                <w:tcPr>
                  <w:tcW w:w="736"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20</w:t>
                  </w:r>
                </w:p>
              </w:tc>
              <w:tc>
                <w:tcPr>
                  <w:tcW w:w="762"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0.0</w:t>
                  </w:r>
                  <w:r>
                    <w:rPr>
                      <w:rFonts w:hint="eastAsia"/>
                      <w:color w:val="auto"/>
                      <w:sz w:val="21"/>
                      <w:szCs w:val="21"/>
                    </w:rPr>
                    <w:t>09</w:t>
                  </w:r>
                </w:p>
              </w:tc>
              <w:tc>
                <w:tcPr>
                  <w:tcW w:w="887"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0.5</w:t>
                  </w:r>
                </w:p>
              </w:tc>
              <w:tc>
                <w:tcPr>
                  <w:tcW w:w="840"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0.000</w:t>
                  </w:r>
                  <w:r>
                    <w:rPr>
                      <w:rFonts w:hint="eastAsia"/>
                      <w:color w:val="auto"/>
                      <w:sz w:val="21"/>
                      <w:szCs w:val="21"/>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8822" w:type="dxa"/>
                  <w:gridSpan w:val="10"/>
                  <w:tcBorders>
                    <w:tl2br w:val="nil"/>
                    <w:tr2bl w:val="nil"/>
                  </w:tcBorders>
                  <w:vAlign w:val="center"/>
                </w:tcPr>
                <w:p>
                  <w:pPr>
                    <w:widowControl/>
                    <w:spacing w:line="240" w:lineRule="auto"/>
                    <w:ind w:firstLine="0" w:firstLineChars="0"/>
                    <w:textAlignment w:val="center"/>
                    <w:rPr>
                      <w:color w:val="auto"/>
                      <w:szCs w:val="21"/>
                    </w:rPr>
                  </w:pPr>
                  <w:r>
                    <w:rPr>
                      <w:color w:val="auto"/>
                      <w:szCs w:val="21"/>
                      <w:lang w:bidi="ar"/>
                    </w:rPr>
                    <w:t>注：</w:t>
                  </w:r>
                  <w:r>
                    <w:rPr>
                      <w:color w:val="auto"/>
                      <w:szCs w:val="21"/>
                    </w:rPr>
                    <w:t>总余氯为医疗废水消毒过程产生。</w:t>
                  </w:r>
                </w:p>
              </w:tc>
            </w:tr>
          </w:tbl>
          <w:p>
            <w:pPr>
              <w:adjustRightInd/>
              <w:snapToGrid/>
              <w:spacing w:before="120" w:beforeLines="50"/>
              <w:ind w:firstLine="422"/>
              <w:rPr>
                <w:b/>
                <w:color w:val="auto"/>
                <w:szCs w:val="21"/>
              </w:rPr>
            </w:pPr>
            <w:r>
              <w:rPr>
                <w:b/>
                <w:color w:val="auto"/>
                <w:szCs w:val="21"/>
              </w:rPr>
              <w:t>（2）排放口基本情况</w:t>
            </w:r>
          </w:p>
          <w:p>
            <w:pPr>
              <w:pStyle w:val="2"/>
              <w:ind w:firstLine="420"/>
              <w:jc w:val="both"/>
              <w:rPr>
                <w:rFonts w:ascii="Times New Roman" w:cs="Times New Roman"/>
                <w:color w:val="auto"/>
                <w:sz w:val="21"/>
                <w:szCs w:val="21"/>
              </w:rPr>
            </w:pPr>
            <w:r>
              <w:rPr>
                <w:rFonts w:ascii="Times New Roman" w:cs="Times New Roman"/>
                <w:color w:val="auto"/>
                <w:sz w:val="21"/>
                <w:szCs w:val="21"/>
              </w:rPr>
              <w:t>1）废水类别、污染物及污染治理设施信息</w:t>
            </w:r>
          </w:p>
          <w:p>
            <w:pPr>
              <w:pStyle w:val="23"/>
              <w:adjustRightInd/>
              <w:snapToGrid/>
              <w:spacing w:before="120" w:beforeLines="50" w:line="240" w:lineRule="auto"/>
              <w:ind w:firstLine="0" w:firstLineChars="0"/>
              <w:jc w:val="center"/>
              <w:rPr>
                <w:rFonts w:ascii="Times New Roman" w:hAnsi="Times New Roman" w:cs="Times New Roman"/>
                <w:b/>
                <w:bCs/>
                <w:color w:val="auto"/>
              </w:rPr>
            </w:pPr>
            <w:r>
              <w:rPr>
                <w:rFonts w:ascii="Times New Roman" w:hAnsi="Times New Roman" w:cs="Times New Roman"/>
                <w:b/>
                <w:bCs/>
                <w:color w:val="auto"/>
              </w:rPr>
              <w:t>表4-3  废水类别、污染物及污染治理设施信息表</w:t>
            </w:r>
          </w:p>
          <w:tbl>
            <w:tblPr>
              <w:tblStyle w:val="40"/>
              <w:tblW w:w="8829"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56"/>
              <w:gridCol w:w="639"/>
              <w:gridCol w:w="968"/>
              <w:gridCol w:w="503"/>
              <w:gridCol w:w="701"/>
              <w:gridCol w:w="858"/>
              <w:gridCol w:w="1074"/>
              <w:gridCol w:w="722"/>
              <w:gridCol w:w="720"/>
              <w:gridCol w:w="1008"/>
              <w:gridCol w:w="12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356" w:type="dxa"/>
                  <w:vMerge w:val="restart"/>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序号</w:t>
                  </w:r>
                </w:p>
              </w:tc>
              <w:tc>
                <w:tcPr>
                  <w:tcW w:w="639" w:type="dxa"/>
                  <w:vMerge w:val="restart"/>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废水类别</w:t>
                  </w:r>
                </w:p>
              </w:tc>
              <w:tc>
                <w:tcPr>
                  <w:tcW w:w="968" w:type="dxa"/>
                  <w:vMerge w:val="restart"/>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污染物种类</w:t>
                  </w:r>
                </w:p>
              </w:tc>
              <w:tc>
                <w:tcPr>
                  <w:tcW w:w="503" w:type="dxa"/>
                  <w:vMerge w:val="restart"/>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排放去向</w:t>
                  </w:r>
                </w:p>
              </w:tc>
              <w:tc>
                <w:tcPr>
                  <w:tcW w:w="701" w:type="dxa"/>
                  <w:vMerge w:val="restart"/>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排放规律</w:t>
                  </w:r>
                </w:p>
              </w:tc>
              <w:tc>
                <w:tcPr>
                  <w:tcW w:w="2654" w:type="dxa"/>
                  <w:gridSpan w:val="3"/>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污染治理设施</w:t>
                  </w:r>
                </w:p>
              </w:tc>
              <w:tc>
                <w:tcPr>
                  <w:tcW w:w="720" w:type="dxa"/>
                  <w:vMerge w:val="restart"/>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排放口编号</w:t>
                  </w:r>
                </w:p>
              </w:tc>
              <w:tc>
                <w:tcPr>
                  <w:tcW w:w="1008" w:type="dxa"/>
                  <w:vMerge w:val="restart"/>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排放口设置是否符合要求</w:t>
                  </w:r>
                </w:p>
              </w:tc>
              <w:tc>
                <w:tcPr>
                  <w:tcW w:w="1280" w:type="dxa"/>
                  <w:vMerge w:val="restart"/>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排放口类型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356"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639"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968"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503"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701"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858" w:type="dxa"/>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污染治理设施编号</w:t>
                  </w:r>
                </w:p>
              </w:tc>
              <w:tc>
                <w:tcPr>
                  <w:tcW w:w="1074" w:type="dxa"/>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污染治理设施名称</w:t>
                  </w:r>
                </w:p>
              </w:tc>
              <w:tc>
                <w:tcPr>
                  <w:tcW w:w="722" w:type="dxa"/>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污染治理设施工艺</w:t>
                  </w:r>
                </w:p>
              </w:tc>
              <w:tc>
                <w:tcPr>
                  <w:tcW w:w="720"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1008"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1280"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356" w:type="dxa"/>
                  <w:vMerge w:val="restart"/>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1</w:t>
                  </w:r>
                </w:p>
              </w:tc>
              <w:tc>
                <w:tcPr>
                  <w:tcW w:w="639" w:type="dxa"/>
                  <w:vMerge w:val="restart"/>
                  <w:tcBorders>
                    <w:tl2br w:val="nil"/>
                    <w:tr2bl w:val="nil"/>
                  </w:tcBorders>
                  <w:vAlign w:val="center"/>
                </w:tcPr>
                <w:p>
                  <w:pPr>
                    <w:widowControl/>
                    <w:adjustRightInd/>
                    <w:snapToGrid/>
                    <w:spacing w:line="240" w:lineRule="auto"/>
                    <w:ind w:firstLine="0" w:firstLineChars="0"/>
                    <w:jc w:val="center"/>
                    <w:rPr>
                      <w:color w:val="auto"/>
                      <w:sz w:val="18"/>
                      <w:szCs w:val="18"/>
                    </w:rPr>
                  </w:pPr>
                  <w:r>
                    <w:rPr>
                      <w:color w:val="auto"/>
                      <w:sz w:val="18"/>
                      <w:szCs w:val="18"/>
                    </w:rPr>
                    <w:t>综合废水</w:t>
                  </w:r>
                </w:p>
              </w:tc>
              <w:tc>
                <w:tcPr>
                  <w:tcW w:w="968" w:type="dxa"/>
                  <w:tcBorders>
                    <w:tl2br w:val="nil"/>
                    <w:tr2bl w:val="nil"/>
                  </w:tcBorders>
                  <w:vAlign w:val="center"/>
                </w:tcPr>
                <w:p>
                  <w:pPr>
                    <w:widowControl/>
                    <w:adjustRightInd/>
                    <w:snapToGrid/>
                    <w:spacing w:line="240" w:lineRule="auto"/>
                    <w:ind w:firstLine="0" w:firstLineChars="0"/>
                    <w:jc w:val="center"/>
                    <w:rPr>
                      <w:color w:val="auto"/>
                      <w:sz w:val="18"/>
                      <w:szCs w:val="18"/>
                    </w:rPr>
                  </w:pPr>
                  <w:r>
                    <w:rPr>
                      <w:color w:val="auto"/>
                      <w:sz w:val="18"/>
                      <w:szCs w:val="18"/>
                    </w:rPr>
                    <w:t>pH</w:t>
                  </w:r>
                </w:p>
              </w:tc>
              <w:tc>
                <w:tcPr>
                  <w:tcW w:w="503" w:type="dxa"/>
                  <w:vMerge w:val="restart"/>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进入城市污水处理厂</w:t>
                  </w:r>
                </w:p>
              </w:tc>
              <w:tc>
                <w:tcPr>
                  <w:tcW w:w="701" w:type="dxa"/>
                  <w:vMerge w:val="restart"/>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间断排放，排放期间流量不稳定且无规律，但不属于冲击型排放</w:t>
                  </w:r>
                </w:p>
              </w:tc>
              <w:tc>
                <w:tcPr>
                  <w:tcW w:w="858" w:type="dxa"/>
                  <w:vMerge w:val="restart"/>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TW001</w:t>
                  </w:r>
                </w:p>
              </w:tc>
              <w:tc>
                <w:tcPr>
                  <w:tcW w:w="1074" w:type="dxa"/>
                  <w:vMerge w:val="restart"/>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医疗废水预处</w:t>
                  </w:r>
                  <w:r>
                    <w:rPr>
                      <w:rFonts w:hint="eastAsia" w:ascii="Times New Roman" w:hAnsi="Times New Roman" w:cs="Times New Roman"/>
                      <w:color w:val="auto"/>
                      <w:sz w:val="18"/>
                      <w:szCs w:val="18"/>
                    </w:rPr>
                    <w:t>理</w:t>
                  </w:r>
                  <w:r>
                    <w:rPr>
                      <w:rFonts w:ascii="Times New Roman" w:hAnsi="Times New Roman" w:cs="Times New Roman"/>
                      <w:color w:val="auto"/>
                      <w:sz w:val="18"/>
                      <w:szCs w:val="18"/>
                    </w:rPr>
                    <w:t>设施+生化池</w:t>
                  </w:r>
                </w:p>
              </w:tc>
              <w:tc>
                <w:tcPr>
                  <w:tcW w:w="722" w:type="dxa"/>
                  <w:vMerge w:val="restart"/>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消毒+生化</w:t>
                  </w:r>
                </w:p>
              </w:tc>
              <w:tc>
                <w:tcPr>
                  <w:tcW w:w="720" w:type="dxa"/>
                  <w:vMerge w:val="restart"/>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DW001</w:t>
                  </w:r>
                </w:p>
              </w:tc>
              <w:tc>
                <w:tcPr>
                  <w:tcW w:w="1008" w:type="dxa"/>
                  <w:vMerge w:val="restart"/>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■是</w:t>
                  </w:r>
                </w:p>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□否</w:t>
                  </w:r>
                </w:p>
              </w:tc>
              <w:tc>
                <w:tcPr>
                  <w:tcW w:w="1280" w:type="dxa"/>
                  <w:vMerge w:val="restart"/>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■企业总排</w:t>
                  </w:r>
                </w:p>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□雨水排放</w:t>
                  </w:r>
                </w:p>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□清净下水排放</w:t>
                  </w:r>
                </w:p>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□温排水排放</w:t>
                  </w:r>
                </w:p>
                <w:p>
                  <w:pPr>
                    <w:pStyle w:val="23"/>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□车间或车间处理设施排放口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356" w:type="dxa"/>
                  <w:vMerge w:val="continue"/>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p>
              </w:tc>
              <w:tc>
                <w:tcPr>
                  <w:tcW w:w="639"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968" w:type="dxa"/>
                  <w:tcBorders>
                    <w:tl2br w:val="nil"/>
                    <w:tr2bl w:val="nil"/>
                  </w:tcBorders>
                  <w:vAlign w:val="center"/>
                </w:tcPr>
                <w:p>
                  <w:pPr>
                    <w:widowControl/>
                    <w:adjustRightInd/>
                    <w:snapToGrid/>
                    <w:spacing w:line="240" w:lineRule="auto"/>
                    <w:ind w:firstLine="0" w:firstLineChars="0"/>
                    <w:jc w:val="center"/>
                    <w:rPr>
                      <w:color w:val="auto"/>
                      <w:sz w:val="18"/>
                      <w:szCs w:val="18"/>
                    </w:rPr>
                  </w:pPr>
                  <w:r>
                    <w:rPr>
                      <w:color w:val="auto"/>
                      <w:sz w:val="18"/>
                      <w:szCs w:val="18"/>
                    </w:rPr>
                    <w:t>COD</w:t>
                  </w:r>
                </w:p>
              </w:tc>
              <w:tc>
                <w:tcPr>
                  <w:tcW w:w="503" w:type="dxa"/>
                  <w:vMerge w:val="continue"/>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p>
              </w:tc>
              <w:tc>
                <w:tcPr>
                  <w:tcW w:w="701" w:type="dxa"/>
                  <w:vMerge w:val="continue"/>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p>
              </w:tc>
              <w:tc>
                <w:tcPr>
                  <w:tcW w:w="858" w:type="dxa"/>
                  <w:vMerge w:val="continue"/>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p>
              </w:tc>
              <w:tc>
                <w:tcPr>
                  <w:tcW w:w="1074" w:type="dxa"/>
                  <w:vMerge w:val="continue"/>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p>
              </w:tc>
              <w:tc>
                <w:tcPr>
                  <w:tcW w:w="722" w:type="dxa"/>
                  <w:vMerge w:val="continue"/>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p>
              </w:tc>
              <w:tc>
                <w:tcPr>
                  <w:tcW w:w="720" w:type="dxa"/>
                  <w:vMerge w:val="continue"/>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p>
              </w:tc>
              <w:tc>
                <w:tcPr>
                  <w:tcW w:w="1008" w:type="dxa"/>
                  <w:vMerge w:val="continue"/>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p>
              </w:tc>
              <w:tc>
                <w:tcPr>
                  <w:tcW w:w="1280" w:type="dxa"/>
                  <w:vMerge w:val="continue"/>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356" w:type="dxa"/>
                  <w:vMerge w:val="continue"/>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p>
              </w:tc>
              <w:tc>
                <w:tcPr>
                  <w:tcW w:w="639"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968" w:type="dxa"/>
                  <w:tcBorders>
                    <w:tl2br w:val="nil"/>
                    <w:tr2bl w:val="nil"/>
                  </w:tcBorders>
                  <w:vAlign w:val="center"/>
                </w:tcPr>
                <w:p>
                  <w:pPr>
                    <w:adjustRightInd/>
                    <w:snapToGrid/>
                    <w:spacing w:line="240" w:lineRule="auto"/>
                    <w:ind w:firstLine="0" w:firstLineChars="0"/>
                    <w:jc w:val="center"/>
                    <w:rPr>
                      <w:color w:val="auto"/>
                      <w:sz w:val="18"/>
                      <w:szCs w:val="18"/>
                    </w:rPr>
                  </w:pPr>
                  <w:r>
                    <w:rPr>
                      <w:color w:val="auto"/>
                      <w:sz w:val="18"/>
                      <w:szCs w:val="18"/>
                    </w:rPr>
                    <w:t>BOD</w:t>
                  </w:r>
                  <w:r>
                    <w:rPr>
                      <w:color w:val="auto"/>
                      <w:sz w:val="18"/>
                      <w:szCs w:val="18"/>
                      <w:vertAlign w:val="subscript"/>
                    </w:rPr>
                    <w:t>5</w:t>
                  </w:r>
                </w:p>
              </w:tc>
              <w:tc>
                <w:tcPr>
                  <w:tcW w:w="503" w:type="dxa"/>
                  <w:vMerge w:val="continue"/>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p>
              </w:tc>
              <w:tc>
                <w:tcPr>
                  <w:tcW w:w="701" w:type="dxa"/>
                  <w:vMerge w:val="continue"/>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p>
              </w:tc>
              <w:tc>
                <w:tcPr>
                  <w:tcW w:w="858" w:type="dxa"/>
                  <w:vMerge w:val="continue"/>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p>
              </w:tc>
              <w:tc>
                <w:tcPr>
                  <w:tcW w:w="1074" w:type="dxa"/>
                  <w:vMerge w:val="continue"/>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p>
              </w:tc>
              <w:tc>
                <w:tcPr>
                  <w:tcW w:w="722" w:type="dxa"/>
                  <w:vMerge w:val="continue"/>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p>
              </w:tc>
              <w:tc>
                <w:tcPr>
                  <w:tcW w:w="720" w:type="dxa"/>
                  <w:vMerge w:val="continue"/>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p>
              </w:tc>
              <w:tc>
                <w:tcPr>
                  <w:tcW w:w="1008" w:type="dxa"/>
                  <w:vMerge w:val="continue"/>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p>
              </w:tc>
              <w:tc>
                <w:tcPr>
                  <w:tcW w:w="1280" w:type="dxa"/>
                  <w:vMerge w:val="continue"/>
                  <w:tcBorders>
                    <w:tl2br w:val="nil"/>
                    <w:tr2bl w:val="nil"/>
                  </w:tcBorders>
                  <w:vAlign w:val="center"/>
                </w:tcPr>
                <w:p>
                  <w:pPr>
                    <w:pStyle w:val="23"/>
                    <w:adjustRightInd/>
                    <w:snapToGrid/>
                    <w:spacing w:line="240" w:lineRule="auto"/>
                    <w:ind w:firstLine="0" w:firstLineChars="0"/>
                    <w:jc w:val="center"/>
                    <w:rPr>
                      <w:rFonts w:ascii="Times New Roman" w:hAnsi="Times New Roman" w:cs="Times New Roman"/>
                      <w:color w:val="auto"/>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356"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639"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968" w:type="dxa"/>
                  <w:tcBorders>
                    <w:tl2br w:val="nil"/>
                    <w:tr2bl w:val="nil"/>
                  </w:tcBorders>
                  <w:vAlign w:val="center"/>
                </w:tcPr>
                <w:p>
                  <w:pPr>
                    <w:adjustRightInd/>
                    <w:snapToGrid/>
                    <w:spacing w:line="240" w:lineRule="auto"/>
                    <w:ind w:firstLine="0" w:firstLineChars="0"/>
                    <w:jc w:val="center"/>
                    <w:rPr>
                      <w:color w:val="auto"/>
                      <w:sz w:val="18"/>
                      <w:szCs w:val="18"/>
                    </w:rPr>
                  </w:pPr>
                  <w:r>
                    <w:rPr>
                      <w:color w:val="auto"/>
                      <w:sz w:val="18"/>
                      <w:szCs w:val="18"/>
                    </w:rPr>
                    <w:t>SS</w:t>
                  </w:r>
                </w:p>
              </w:tc>
              <w:tc>
                <w:tcPr>
                  <w:tcW w:w="503"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701"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858"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1074"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722"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720"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1008"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1280"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356"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639"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968" w:type="dxa"/>
                  <w:tcBorders>
                    <w:tl2br w:val="nil"/>
                    <w:tr2bl w:val="nil"/>
                  </w:tcBorders>
                  <w:vAlign w:val="center"/>
                </w:tcPr>
                <w:p>
                  <w:pPr>
                    <w:adjustRightInd/>
                    <w:snapToGrid/>
                    <w:spacing w:line="240" w:lineRule="auto"/>
                    <w:ind w:firstLine="0" w:firstLineChars="0"/>
                    <w:jc w:val="center"/>
                    <w:rPr>
                      <w:color w:val="auto"/>
                      <w:sz w:val="18"/>
                      <w:szCs w:val="18"/>
                    </w:rPr>
                  </w:pPr>
                  <w:r>
                    <w:rPr>
                      <w:color w:val="auto"/>
                      <w:sz w:val="18"/>
                      <w:szCs w:val="18"/>
                    </w:rPr>
                    <w:t>NH</w:t>
                  </w:r>
                  <w:r>
                    <w:rPr>
                      <w:color w:val="auto"/>
                      <w:sz w:val="18"/>
                      <w:szCs w:val="18"/>
                      <w:vertAlign w:val="subscript"/>
                    </w:rPr>
                    <w:t>3</w:t>
                  </w:r>
                  <w:r>
                    <w:rPr>
                      <w:color w:val="auto"/>
                      <w:sz w:val="18"/>
                      <w:szCs w:val="18"/>
                    </w:rPr>
                    <w:t>-N</w:t>
                  </w:r>
                </w:p>
              </w:tc>
              <w:tc>
                <w:tcPr>
                  <w:tcW w:w="503"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701"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858"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1074"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722"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720"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1008"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1280"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356"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639"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968" w:type="dxa"/>
                  <w:tcBorders>
                    <w:tl2br w:val="nil"/>
                    <w:tr2bl w:val="nil"/>
                  </w:tcBorders>
                  <w:vAlign w:val="center"/>
                </w:tcPr>
                <w:p>
                  <w:pPr>
                    <w:adjustRightInd/>
                    <w:snapToGrid/>
                    <w:spacing w:line="240" w:lineRule="auto"/>
                    <w:ind w:firstLine="0" w:firstLineChars="0"/>
                    <w:jc w:val="center"/>
                    <w:rPr>
                      <w:color w:val="auto"/>
                      <w:sz w:val="18"/>
                      <w:szCs w:val="18"/>
                    </w:rPr>
                  </w:pPr>
                  <w:r>
                    <w:rPr>
                      <w:color w:val="auto"/>
                      <w:sz w:val="18"/>
                      <w:szCs w:val="18"/>
                    </w:rPr>
                    <w:t>粪大肠菌群</w:t>
                  </w:r>
                </w:p>
              </w:tc>
              <w:tc>
                <w:tcPr>
                  <w:tcW w:w="503"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701"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858"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1074"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722"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720"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1008"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1280"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356"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639"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968" w:type="dxa"/>
                  <w:tcBorders>
                    <w:tl2br w:val="nil"/>
                    <w:tr2bl w:val="nil"/>
                  </w:tcBorders>
                  <w:vAlign w:val="center"/>
                </w:tcPr>
                <w:p>
                  <w:pPr>
                    <w:adjustRightInd/>
                    <w:snapToGrid/>
                    <w:spacing w:line="240" w:lineRule="auto"/>
                    <w:ind w:firstLine="0" w:firstLineChars="0"/>
                    <w:jc w:val="center"/>
                    <w:rPr>
                      <w:color w:val="auto"/>
                      <w:sz w:val="18"/>
                      <w:szCs w:val="18"/>
                    </w:rPr>
                  </w:pPr>
                  <w:r>
                    <w:rPr>
                      <w:color w:val="auto"/>
                      <w:sz w:val="18"/>
                      <w:szCs w:val="18"/>
                    </w:rPr>
                    <w:t>LAS</w:t>
                  </w:r>
                </w:p>
              </w:tc>
              <w:tc>
                <w:tcPr>
                  <w:tcW w:w="503"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701"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858"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1074"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722"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720"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1008"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1280"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356"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639"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968" w:type="dxa"/>
                  <w:tcBorders>
                    <w:tl2br w:val="nil"/>
                    <w:tr2bl w:val="nil"/>
                  </w:tcBorders>
                  <w:vAlign w:val="center"/>
                </w:tcPr>
                <w:p>
                  <w:pPr>
                    <w:adjustRightInd/>
                    <w:snapToGrid/>
                    <w:spacing w:line="240" w:lineRule="auto"/>
                    <w:ind w:firstLine="0" w:firstLineChars="0"/>
                    <w:jc w:val="center"/>
                    <w:rPr>
                      <w:color w:val="auto"/>
                      <w:sz w:val="18"/>
                      <w:szCs w:val="18"/>
                    </w:rPr>
                  </w:pPr>
                  <w:r>
                    <w:rPr>
                      <w:color w:val="auto"/>
                      <w:sz w:val="18"/>
                      <w:szCs w:val="18"/>
                    </w:rPr>
                    <w:t>总余氯*</w:t>
                  </w:r>
                </w:p>
              </w:tc>
              <w:tc>
                <w:tcPr>
                  <w:tcW w:w="503"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701"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858"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1074"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722"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720"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1008"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c>
                <w:tcPr>
                  <w:tcW w:w="1280" w:type="dxa"/>
                  <w:vMerge w:val="continue"/>
                  <w:tcBorders>
                    <w:tl2br w:val="nil"/>
                    <w:tr2bl w:val="nil"/>
                  </w:tcBorders>
                  <w:vAlign w:val="center"/>
                </w:tcPr>
                <w:p>
                  <w:pPr>
                    <w:widowControl/>
                    <w:adjustRightInd/>
                    <w:snapToGrid/>
                    <w:spacing w:line="240" w:lineRule="auto"/>
                    <w:ind w:firstLine="0" w:firstLineChars="0"/>
                    <w:jc w:val="center"/>
                    <w:rPr>
                      <w:color w:val="auto"/>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8829" w:type="dxa"/>
                  <w:gridSpan w:val="11"/>
                  <w:tcBorders>
                    <w:tl2br w:val="nil"/>
                    <w:tr2bl w:val="nil"/>
                  </w:tcBorders>
                  <w:vAlign w:val="center"/>
                </w:tcPr>
                <w:p>
                  <w:pPr>
                    <w:widowControl/>
                    <w:adjustRightInd/>
                    <w:snapToGrid/>
                    <w:spacing w:line="240" w:lineRule="auto"/>
                    <w:ind w:firstLine="0" w:firstLineChars="0"/>
                    <w:jc w:val="left"/>
                    <w:rPr>
                      <w:color w:val="auto"/>
                      <w:sz w:val="18"/>
                      <w:szCs w:val="18"/>
                    </w:rPr>
                  </w:pPr>
                  <w:r>
                    <w:rPr>
                      <w:color w:val="auto"/>
                      <w:sz w:val="18"/>
                      <w:szCs w:val="18"/>
                    </w:rPr>
                    <w:t>*注：总余氯为医疗废水消毒过程产生，其监控点位于预处理设施出水口。</w:t>
                  </w:r>
                </w:p>
              </w:tc>
            </w:tr>
          </w:tbl>
          <w:p>
            <w:pPr>
              <w:pStyle w:val="23"/>
              <w:adjustRightInd/>
              <w:snapToGrid/>
              <w:spacing w:before="120" w:beforeLines="50"/>
              <w:ind w:firstLine="420"/>
              <w:rPr>
                <w:rFonts w:ascii="Times New Roman" w:hAnsi="Times New Roman" w:cs="Times New Roman"/>
                <w:color w:val="auto"/>
              </w:rPr>
            </w:pPr>
            <w:r>
              <w:rPr>
                <w:rFonts w:ascii="Times New Roman" w:hAnsi="Times New Roman" w:cs="Times New Roman"/>
                <w:color w:val="auto"/>
              </w:rPr>
              <w:t>2）废水间接排放口基本信息</w:t>
            </w:r>
          </w:p>
          <w:p>
            <w:pPr>
              <w:pStyle w:val="23"/>
              <w:spacing w:line="240" w:lineRule="auto"/>
              <w:ind w:firstLine="0" w:firstLineChars="0"/>
              <w:jc w:val="center"/>
              <w:rPr>
                <w:rFonts w:ascii="Times New Roman" w:hAnsi="Times New Roman" w:cs="Times New Roman"/>
                <w:b/>
                <w:bCs/>
                <w:color w:val="auto"/>
              </w:rPr>
            </w:pPr>
            <w:r>
              <w:rPr>
                <w:rFonts w:ascii="Times New Roman" w:hAnsi="Times New Roman" w:cs="Times New Roman"/>
                <w:b/>
                <w:bCs/>
                <w:color w:val="auto"/>
              </w:rPr>
              <w:t>表4-4  废水间接排放口基本情况表</w:t>
            </w:r>
          </w:p>
          <w:tbl>
            <w:tblPr>
              <w:tblStyle w:val="40"/>
              <w:tblW w:w="8829"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03"/>
              <w:gridCol w:w="694"/>
              <w:gridCol w:w="795"/>
              <w:gridCol w:w="657"/>
              <w:gridCol w:w="782"/>
              <w:gridCol w:w="722"/>
              <w:gridCol w:w="832"/>
              <w:gridCol w:w="653"/>
              <w:gridCol w:w="496"/>
              <w:gridCol w:w="987"/>
              <w:gridCol w:w="180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403" w:type="dxa"/>
                  <w:vMerge w:val="restart"/>
                  <w:tcBorders>
                    <w:tl2br w:val="nil"/>
                    <w:tr2bl w:val="nil"/>
                  </w:tcBorders>
                  <w:vAlign w:val="center"/>
                </w:tcPr>
                <w:p>
                  <w:pPr>
                    <w:pStyle w:val="143"/>
                    <w:rPr>
                      <w:color w:val="auto"/>
                      <w:sz w:val="18"/>
                      <w:szCs w:val="18"/>
                    </w:rPr>
                  </w:pPr>
                  <w:r>
                    <w:rPr>
                      <w:color w:val="auto"/>
                      <w:sz w:val="18"/>
                      <w:szCs w:val="18"/>
                    </w:rPr>
                    <w:t>序号</w:t>
                  </w:r>
                </w:p>
              </w:tc>
              <w:tc>
                <w:tcPr>
                  <w:tcW w:w="694" w:type="dxa"/>
                  <w:vMerge w:val="restart"/>
                  <w:tcBorders>
                    <w:tl2br w:val="nil"/>
                    <w:tr2bl w:val="nil"/>
                  </w:tcBorders>
                  <w:vAlign w:val="center"/>
                </w:tcPr>
                <w:p>
                  <w:pPr>
                    <w:pStyle w:val="143"/>
                    <w:rPr>
                      <w:color w:val="auto"/>
                      <w:sz w:val="18"/>
                      <w:szCs w:val="18"/>
                    </w:rPr>
                  </w:pPr>
                  <w:r>
                    <w:rPr>
                      <w:color w:val="auto"/>
                      <w:sz w:val="18"/>
                      <w:szCs w:val="18"/>
                    </w:rPr>
                    <w:t>排放口编号</w:t>
                  </w:r>
                </w:p>
              </w:tc>
              <w:tc>
                <w:tcPr>
                  <w:tcW w:w="1452" w:type="dxa"/>
                  <w:gridSpan w:val="2"/>
                  <w:tcBorders>
                    <w:tl2br w:val="nil"/>
                    <w:tr2bl w:val="nil"/>
                  </w:tcBorders>
                  <w:vAlign w:val="center"/>
                </w:tcPr>
                <w:p>
                  <w:pPr>
                    <w:pStyle w:val="143"/>
                    <w:rPr>
                      <w:color w:val="auto"/>
                      <w:sz w:val="18"/>
                      <w:szCs w:val="18"/>
                    </w:rPr>
                  </w:pPr>
                  <w:r>
                    <w:rPr>
                      <w:color w:val="auto"/>
                      <w:sz w:val="18"/>
                      <w:szCs w:val="18"/>
                    </w:rPr>
                    <w:t>排放口地理坐标</w:t>
                  </w:r>
                </w:p>
              </w:tc>
              <w:tc>
                <w:tcPr>
                  <w:tcW w:w="782" w:type="dxa"/>
                  <w:vMerge w:val="restart"/>
                  <w:tcBorders>
                    <w:tl2br w:val="nil"/>
                    <w:tr2bl w:val="nil"/>
                  </w:tcBorders>
                  <w:vAlign w:val="center"/>
                </w:tcPr>
                <w:p>
                  <w:pPr>
                    <w:pStyle w:val="143"/>
                    <w:rPr>
                      <w:color w:val="auto"/>
                      <w:sz w:val="18"/>
                      <w:szCs w:val="18"/>
                    </w:rPr>
                  </w:pPr>
                  <w:r>
                    <w:rPr>
                      <w:color w:val="auto"/>
                      <w:sz w:val="18"/>
                      <w:szCs w:val="18"/>
                    </w:rPr>
                    <w:t>废水排放量/（万t/a）</w:t>
                  </w:r>
                </w:p>
              </w:tc>
              <w:tc>
                <w:tcPr>
                  <w:tcW w:w="722" w:type="dxa"/>
                  <w:vMerge w:val="restart"/>
                  <w:tcBorders>
                    <w:tl2br w:val="nil"/>
                    <w:tr2bl w:val="nil"/>
                  </w:tcBorders>
                  <w:vAlign w:val="center"/>
                </w:tcPr>
                <w:p>
                  <w:pPr>
                    <w:pStyle w:val="143"/>
                    <w:rPr>
                      <w:color w:val="auto"/>
                      <w:sz w:val="18"/>
                      <w:szCs w:val="18"/>
                    </w:rPr>
                  </w:pPr>
                  <w:r>
                    <w:rPr>
                      <w:color w:val="auto"/>
                      <w:sz w:val="18"/>
                      <w:szCs w:val="18"/>
                    </w:rPr>
                    <w:t>排放去向</w:t>
                  </w:r>
                </w:p>
              </w:tc>
              <w:tc>
                <w:tcPr>
                  <w:tcW w:w="832" w:type="dxa"/>
                  <w:vMerge w:val="restart"/>
                  <w:tcBorders>
                    <w:tl2br w:val="nil"/>
                    <w:tr2bl w:val="nil"/>
                  </w:tcBorders>
                  <w:vAlign w:val="center"/>
                </w:tcPr>
                <w:p>
                  <w:pPr>
                    <w:pStyle w:val="143"/>
                    <w:rPr>
                      <w:color w:val="auto"/>
                      <w:sz w:val="18"/>
                      <w:szCs w:val="18"/>
                    </w:rPr>
                  </w:pPr>
                  <w:r>
                    <w:rPr>
                      <w:color w:val="auto"/>
                      <w:sz w:val="18"/>
                      <w:szCs w:val="18"/>
                    </w:rPr>
                    <w:t>排放规律</w:t>
                  </w:r>
                </w:p>
              </w:tc>
              <w:tc>
                <w:tcPr>
                  <w:tcW w:w="653" w:type="dxa"/>
                  <w:vMerge w:val="restart"/>
                  <w:tcBorders>
                    <w:tl2br w:val="nil"/>
                    <w:tr2bl w:val="nil"/>
                  </w:tcBorders>
                  <w:vAlign w:val="center"/>
                </w:tcPr>
                <w:p>
                  <w:pPr>
                    <w:pStyle w:val="143"/>
                    <w:rPr>
                      <w:color w:val="auto"/>
                      <w:sz w:val="18"/>
                      <w:szCs w:val="18"/>
                    </w:rPr>
                  </w:pPr>
                  <w:r>
                    <w:rPr>
                      <w:color w:val="auto"/>
                      <w:sz w:val="18"/>
                      <w:szCs w:val="18"/>
                    </w:rPr>
                    <w:t>间歇排放时段</w:t>
                  </w:r>
                </w:p>
              </w:tc>
              <w:tc>
                <w:tcPr>
                  <w:tcW w:w="3291" w:type="dxa"/>
                  <w:gridSpan w:val="3"/>
                  <w:tcBorders>
                    <w:tl2br w:val="nil"/>
                    <w:tr2bl w:val="nil"/>
                  </w:tcBorders>
                  <w:vAlign w:val="center"/>
                </w:tcPr>
                <w:p>
                  <w:pPr>
                    <w:pStyle w:val="143"/>
                    <w:rPr>
                      <w:color w:val="auto"/>
                      <w:sz w:val="18"/>
                      <w:szCs w:val="18"/>
                    </w:rPr>
                  </w:pPr>
                  <w:r>
                    <w:rPr>
                      <w:color w:val="auto"/>
                      <w:sz w:val="18"/>
                      <w:szCs w:val="18"/>
                    </w:rPr>
                    <w:t>受纳污水处理厂信息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403" w:type="dxa"/>
                  <w:vMerge w:val="continue"/>
                  <w:tcBorders>
                    <w:tl2br w:val="nil"/>
                    <w:tr2bl w:val="nil"/>
                  </w:tcBorders>
                  <w:vAlign w:val="center"/>
                </w:tcPr>
                <w:p>
                  <w:pPr>
                    <w:pStyle w:val="143"/>
                    <w:rPr>
                      <w:color w:val="auto"/>
                      <w:sz w:val="18"/>
                      <w:szCs w:val="18"/>
                    </w:rPr>
                  </w:pPr>
                </w:p>
              </w:tc>
              <w:tc>
                <w:tcPr>
                  <w:tcW w:w="694" w:type="dxa"/>
                  <w:vMerge w:val="continue"/>
                  <w:tcBorders>
                    <w:tl2br w:val="nil"/>
                    <w:tr2bl w:val="nil"/>
                  </w:tcBorders>
                  <w:vAlign w:val="center"/>
                </w:tcPr>
                <w:p>
                  <w:pPr>
                    <w:pStyle w:val="143"/>
                    <w:rPr>
                      <w:color w:val="auto"/>
                      <w:sz w:val="18"/>
                      <w:szCs w:val="18"/>
                    </w:rPr>
                  </w:pPr>
                </w:p>
              </w:tc>
              <w:tc>
                <w:tcPr>
                  <w:tcW w:w="795" w:type="dxa"/>
                  <w:tcBorders>
                    <w:tl2br w:val="nil"/>
                    <w:tr2bl w:val="nil"/>
                  </w:tcBorders>
                  <w:vAlign w:val="center"/>
                </w:tcPr>
                <w:p>
                  <w:pPr>
                    <w:pStyle w:val="143"/>
                    <w:rPr>
                      <w:color w:val="auto"/>
                      <w:sz w:val="18"/>
                      <w:szCs w:val="18"/>
                    </w:rPr>
                  </w:pPr>
                  <w:r>
                    <w:rPr>
                      <w:color w:val="auto"/>
                      <w:sz w:val="18"/>
                      <w:szCs w:val="18"/>
                    </w:rPr>
                    <w:t>经度</w:t>
                  </w:r>
                </w:p>
              </w:tc>
              <w:tc>
                <w:tcPr>
                  <w:tcW w:w="657" w:type="dxa"/>
                  <w:tcBorders>
                    <w:tl2br w:val="nil"/>
                    <w:tr2bl w:val="nil"/>
                  </w:tcBorders>
                  <w:vAlign w:val="center"/>
                </w:tcPr>
                <w:p>
                  <w:pPr>
                    <w:pStyle w:val="143"/>
                    <w:rPr>
                      <w:color w:val="auto"/>
                      <w:sz w:val="18"/>
                      <w:szCs w:val="18"/>
                    </w:rPr>
                  </w:pPr>
                  <w:r>
                    <w:rPr>
                      <w:color w:val="auto"/>
                      <w:sz w:val="18"/>
                      <w:szCs w:val="18"/>
                    </w:rPr>
                    <w:t>纬度</w:t>
                  </w:r>
                </w:p>
              </w:tc>
              <w:tc>
                <w:tcPr>
                  <w:tcW w:w="782" w:type="dxa"/>
                  <w:vMerge w:val="continue"/>
                  <w:tcBorders>
                    <w:tl2br w:val="nil"/>
                    <w:tr2bl w:val="nil"/>
                  </w:tcBorders>
                  <w:vAlign w:val="center"/>
                </w:tcPr>
                <w:p>
                  <w:pPr>
                    <w:pStyle w:val="143"/>
                    <w:rPr>
                      <w:color w:val="auto"/>
                      <w:sz w:val="18"/>
                      <w:szCs w:val="18"/>
                    </w:rPr>
                  </w:pPr>
                </w:p>
              </w:tc>
              <w:tc>
                <w:tcPr>
                  <w:tcW w:w="722" w:type="dxa"/>
                  <w:vMerge w:val="continue"/>
                  <w:tcBorders>
                    <w:tl2br w:val="nil"/>
                    <w:tr2bl w:val="nil"/>
                  </w:tcBorders>
                  <w:vAlign w:val="center"/>
                </w:tcPr>
                <w:p>
                  <w:pPr>
                    <w:pStyle w:val="143"/>
                    <w:rPr>
                      <w:color w:val="auto"/>
                      <w:sz w:val="18"/>
                      <w:szCs w:val="18"/>
                    </w:rPr>
                  </w:pPr>
                </w:p>
              </w:tc>
              <w:tc>
                <w:tcPr>
                  <w:tcW w:w="832" w:type="dxa"/>
                  <w:vMerge w:val="continue"/>
                  <w:tcBorders>
                    <w:tl2br w:val="nil"/>
                    <w:tr2bl w:val="nil"/>
                  </w:tcBorders>
                  <w:vAlign w:val="center"/>
                </w:tcPr>
                <w:p>
                  <w:pPr>
                    <w:pStyle w:val="143"/>
                    <w:rPr>
                      <w:color w:val="auto"/>
                      <w:sz w:val="18"/>
                      <w:szCs w:val="18"/>
                    </w:rPr>
                  </w:pPr>
                </w:p>
              </w:tc>
              <w:tc>
                <w:tcPr>
                  <w:tcW w:w="653" w:type="dxa"/>
                  <w:vMerge w:val="continue"/>
                  <w:tcBorders>
                    <w:tl2br w:val="nil"/>
                    <w:tr2bl w:val="nil"/>
                  </w:tcBorders>
                  <w:vAlign w:val="center"/>
                </w:tcPr>
                <w:p>
                  <w:pPr>
                    <w:pStyle w:val="143"/>
                    <w:rPr>
                      <w:color w:val="auto"/>
                      <w:sz w:val="18"/>
                      <w:szCs w:val="18"/>
                    </w:rPr>
                  </w:pPr>
                </w:p>
              </w:tc>
              <w:tc>
                <w:tcPr>
                  <w:tcW w:w="496" w:type="dxa"/>
                  <w:tcBorders>
                    <w:tl2br w:val="nil"/>
                    <w:tr2bl w:val="nil"/>
                  </w:tcBorders>
                  <w:vAlign w:val="center"/>
                </w:tcPr>
                <w:p>
                  <w:pPr>
                    <w:pStyle w:val="143"/>
                    <w:rPr>
                      <w:color w:val="auto"/>
                      <w:sz w:val="18"/>
                      <w:szCs w:val="18"/>
                    </w:rPr>
                  </w:pPr>
                  <w:r>
                    <w:rPr>
                      <w:color w:val="auto"/>
                      <w:sz w:val="18"/>
                      <w:szCs w:val="18"/>
                    </w:rPr>
                    <w:t>名称</w:t>
                  </w:r>
                </w:p>
              </w:tc>
              <w:tc>
                <w:tcPr>
                  <w:tcW w:w="987" w:type="dxa"/>
                  <w:tcBorders>
                    <w:tl2br w:val="nil"/>
                    <w:tr2bl w:val="nil"/>
                  </w:tcBorders>
                  <w:vAlign w:val="center"/>
                </w:tcPr>
                <w:p>
                  <w:pPr>
                    <w:pStyle w:val="143"/>
                    <w:rPr>
                      <w:color w:val="auto"/>
                      <w:sz w:val="18"/>
                      <w:szCs w:val="18"/>
                    </w:rPr>
                  </w:pPr>
                  <w:r>
                    <w:rPr>
                      <w:color w:val="auto"/>
                      <w:sz w:val="18"/>
                      <w:szCs w:val="18"/>
                    </w:rPr>
                    <w:t>污染物种类</w:t>
                  </w:r>
                </w:p>
              </w:tc>
              <w:tc>
                <w:tcPr>
                  <w:tcW w:w="1808" w:type="dxa"/>
                  <w:tcBorders>
                    <w:tl2br w:val="nil"/>
                    <w:tr2bl w:val="nil"/>
                  </w:tcBorders>
                  <w:vAlign w:val="center"/>
                </w:tcPr>
                <w:p>
                  <w:pPr>
                    <w:pStyle w:val="143"/>
                    <w:rPr>
                      <w:color w:val="auto"/>
                      <w:sz w:val="18"/>
                      <w:szCs w:val="18"/>
                    </w:rPr>
                  </w:pPr>
                  <w:r>
                    <w:rPr>
                      <w:color w:val="auto"/>
                      <w:sz w:val="18"/>
                      <w:szCs w:val="18"/>
                    </w:rPr>
                    <w:t>国家或地方污染物排放标准浓度限值/（mg/L）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403" w:type="dxa"/>
                  <w:vMerge w:val="restart"/>
                  <w:tcBorders>
                    <w:tl2br w:val="nil"/>
                    <w:tr2bl w:val="nil"/>
                  </w:tcBorders>
                  <w:vAlign w:val="center"/>
                </w:tcPr>
                <w:p>
                  <w:pPr>
                    <w:pStyle w:val="143"/>
                    <w:rPr>
                      <w:color w:val="auto"/>
                      <w:sz w:val="18"/>
                      <w:szCs w:val="18"/>
                    </w:rPr>
                  </w:pPr>
                  <w:r>
                    <w:rPr>
                      <w:color w:val="auto"/>
                      <w:sz w:val="18"/>
                      <w:szCs w:val="18"/>
                    </w:rPr>
                    <w:t>1</w:t>
                  </w:r>
                </w:p>
              </w:tc>
              <w:tc>
                <w:tcPr>
                  <w:tcW w:w="694" w:type="dxa"/>
                  <w:vMerge w:val="restart"/>
                  <w:tcBorders>
                    <w:tl2br w:val="nil"/>
                    <w:tr2bl w:val="nil"/>
                  </w:tcBorders>
                  <w:vAlign w:val="center"/>
                </w:tcPr>
                <w:p>
                  <w:pPr>
                    <w:pStyle w:val="143"/>
                    <w:rPr>
                      <w:color w:val="auto"/>
                      <w:sz w:val="18"/>
                      <w:szCs w:val="18"/>
                    </w:rPr>
                  </w:pPr>
                  <w:r>
                    <w:rPr>
                      <w:color w:val="auto"/>
                      <w:sz w:val="18"/>
                      <w:szCs w:val="18"/>
                    </w:rPr>
                    <w:t>DW001</w:t>
                  </w:r>
                </w:p>
              </w:tc>
              <w:tc>
                <w:tcPr>
                  <w:tcW w:w="795" w:type="dxa"/>
                  <w:vMerge w:val="restart"/>
                  <w:tcBorders>
                    <w:tl2br w:val="nil"/>
                    <w:tr2bl w:val="nil"/>
                  </w:tcBorders>
                  <w:vAlign w:val="center"/>
                </w:tcPr>
                <w:p>
                  <w:pPr>
                    <w:pStyle w:val="143"/>
                    <w:rPr>
                      <w:color w:val="auto"/>
                      <w:sz w:val="18"/>
                      <w:szCs w:val="18"/>
                    </w:rPr>
                  </w:pPr>
                  <w:r>
                    <w:rPr>
                      <w:rFonts w:hint="eastAsia"/>
                      <w:color w:val="auto"/>
                      <w:sz w:val="18"/>
                      <w:szCs w:val="18"/>
                    </w:rPr>
                    <w:t>106.5182</w:t>
                  </w:r>
                </w:p>
              </w:tc>
              <w:tc>
                <w:tcPr>
                  <w:tcW w:w="657" w:type="dxa"/>
                  <w:vMerge w:val="restart"/>
                  <w:tcBorders>
                    <w:tl2br w:val="nil"/>
                    <w:tr2bl w:val="nil"/>
                  </w:tcBorders>
                  <w:vAlign w:val="center"/>
                </w:tcPr>
                <w:p>
                  <w:pPr>
                    <w:pStyle w:val="143"/>
                    <w:rPr>
                      <w:color w:val="auto"/>
                      <w:sz w:val="18"/>
                      <w:szCs w:val="18"/>
                    </w:rPr>
                  </w:pPr>
                  <w:r>
                    <w:rPr>
                      <w:rFonts w:hint="eastAsia"/>
                      <w:color w:val="auto"/>
                      <w:sz w:val="18"/>
                      <w:szCs w:val="18"/>
                    </w:rPr>
                    <w:t>29.5799</w:t>
                  </w:r>
                </w:p>
              </w:tc>
              <w:tc>
                <w:tcPr>
                  <w:tcW w:w="782" w:type="dxa"/>
                  <w:vMerge w:val="restart"/>
                  <w:tcBorders>
                    <w:tl2br w:val="nil"/>
                    <w:tr2bl w:val="nil"/>
                  </w:tcBorders>
                  <w:vAlign w:val="center"/>
                </w:tcPr>
                <w:p>
                  <w:pPr>
                    <w:pStyle w:val="143"/>
                    <w:rPr>
                      <w:color w:val="auto"/>
                      <w:sz w:val="18"/>
                      <w:szCs w:val="18"/>
                    </w:rPr>
                  </w:pPr>
                  <w:r>
                    <w:rPr>
                      <w:rFonts w:hint="eastAsia"/>
                      <w:color w:val="auto"/>
                      <w:sz w:val="18"/>
                      <w:szCs w:val="18"/>
                    </w:rPr>
                    <w:t>0.04516875</w:t>
                  </w:r>
                </w:p>
              </w:tc>
              <w:tc>
                <w:tcPr>
                  <w:tcW w:w="722" w:type="dxa"/>
                  <w:vMerge w:val="restart"/>
                  <w:tcBorders>
                    <w:tl2br w:val="nil"/>
                    <w:tr2bl w:val="nil"/>
                  </w:tcBorders>
                  <w:vAlign w:val="center"/>
                </w:tcPr>
                <w:p>
                  <w:pPr>
                    <w:pStyle w:val="143"/>
                    <w:rPr>
                      <w:color w:val="auto"/>
                      <w:sz w:val="18"/>
                      <w:szCs w:val="18"/>
                    </w:rPr>
                  </w:pPr>
                  <w:r>
                    <w:rPr>
                      <w:color w:val="auto"/>
                      <w:sz w:val="18"/>
                      <w:szCs w:val="18"/>
                    </w:rPr>
                    <w:t>进入城市污水处理厂</w:t>
                  </w:r>
                </w:p>
              </w:tc>
              <w:tc>
                <w:tcPr>
                  <w:tcW w:w="832" w:type="dxa"/>
                  <w:vMerge w:val="restart"/>
                  <w:tcBorders>
                    <w:tl2br w:val="nil"/>
                    <w:tr2bl w:val="nil"/>
                  </w:tcBorders>
                  <w:vAlign w:val="center"/>
                </w:tcPr>
                <w:p>
                  <w:pPr>
                    <w:pStyle w:val="143"/>
                    <w:rPr>
                      <w:color w:val="auto"/>
                      <w:sz w:val="18"/>
                      <w:szCs w:val="18"/>
                    </w:rPr>
                  </w:pPr>
                  <w:r>
                    <w:rPr>
                      <w:color w:val="auto"/>
                      <w:sz w:val="18"/>
                      <w:szCs w:val="18"/>
                    </w:rPr>
                    <w:t>间断排放，排放期间流量不稳定且无规律，但不属于冲击型排放</w:t>
                  </w:r>
                </w:p>
              </w:tc>
              <w:tc>
                <w:tcPr>
                  <w:tcW w:w="653" w:type="dxa"/>
                  <w:vMerge w:val="restart"/>
                  <w:tcBorders>
                    <w:tl2br w:val="nil"/>
                    <w:tr2bl w:val="nil"/>
                  </w:tcBorders>
                  <w:vAlign w:val="center"/>
                </w:tcPr>
                <w:p>
                  <w:pPr>
                    <w:pStyle w:val="143"/>
                    <w:rPr>
                      <w:color w:val="auto"/>
                      <w:sz w:val="18"/>
                      <w:szCs w:val="18"/>
                    </w:rPr>
                  </w:pPr>
                  <w:r>
                    <w:rPr>
                      <w:color w:val="auto"/>
                      <w:sz w:val="18"/>
                      <w:szCs w:val="18"/>
                    </w:rPr>
                    <w:t>无</w:t>
                  </w:r>
                </w:p>
              </w:tc>
              <w:tc>
                <w:tcPr>
                  <w:tcW w:w="496" w:type="dxa"/>
                  <w:vMerge w:val="restart"/>
                  <w:tcBorders>
                    <w:tl2br w:val="nil"/>
                    <w:tr2bl w:val="nil"/>
                  </w:tcBorders>
                  <w:vAlign w:val="center"/>
                </w:tcPr>
                <w:p>
                  <w:pPr>
                    <w:pStyle w:val="143"/>
                    <w:rPr>
                      <w:color w:val="auto"/>
                      <w:sz w:val="18"/>
                      <w:szCs w:val="18"/>
                    </w:rPr>
                  </w:pPr>
                  <w:r>
                    <w:rPr>
                      <w:bCs/>
                      <w:color w:val="auto"/>
                      <w:sz w:val="18"/>
                      <w:szCs w:val="18"/>
                    </w:rPr>
                    <w:t>唐家沱污水处理厂</w:t>
                  </w:r>
                </w:p>
              </w:tc>
              <w:tc>
                <w:tcPr>
                  <w:tcW w:w="987" w:type="dxa"/>
                  <w:tcBorders>
                    <w:tl2br w:val="nil"/>
                    <w:tr2bl w:val="nil"/>
                  </w:tcBorders>
                  <w:vAlign w:val="center"/>
                </w:tcPr>
                <w:p>
                  <w:pPr>
                    <w:pStyle w:val="143"/>
                    <w:rPr>
                      <w:color w:val="auto"/>
                      <w:sz w:val="18"/>
                      <w:szCs w:val="18"/>
                    </w:rPr>
                  </w:pPr>
                  <w:r>
                    <w:rPr>
                      <w:color w:val="auto"/>
                      <w:sz w:val="18"/>
                      <w:szCs w:val="18"/>
                    </w:rPr>
                    <w:t>pH</w:t>
                  </w:r>
                </w:p>
              </w:tc>
              <w:tc>
                <w:tcPr>
                  <w:tcW w:w="1808" w:type="dxa"/>
                  <w:tcBorders>
                    <w:tl2br w:val="nil"/>
                    <w:tr2bl w:val="nil"/>
                  </w:tcBorders>
                  <w:vAlign w:val="center"/>
                </w:tcPr>
                <w:p>
                  <w:pPr>
                    <w:pStyle w:val="143"/>
                    <w:rPr>
                      <w:color w:val="auto"/>
                      <w:sz w:val="18"/>
                      <w:szCs w:val="18"/>
                    </w:rPr>
                  </w:pPr>
                  <w:r>
                    <w:rPr>
                      <w:color w:val="auto"/>
                      <w:sz w:val="18"/>
                      <w:szCs w:val="18"/>
                    </w:rPr>
                    <w:t>6~9（无量纲）</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403" w:type="dxa"/>
                  <w:vMerge w:val="continue"/>
                  <w:tcBorders>
                    <w:tl2br w:val="nil"/>
                    <w:tr2bl w:val="nil"/>
                  </w:tcBorders>
                  <w:vAlign w:val="center"/>
                </w:tcPr>
                <w:p>
                  <w:pPr>
                    <w:pStyle w:val="143"/>
                    <w:rPr>
                      <w:color w:val="auto"/>
                      <w:sz w:val="18"/>
                      <w:szCs w:val="18"/>
                    </w:rPr>
                  </w:pPr>
                </w:p>
              </w:tc>
              <w:tc>
                <w:tcPr>
                  <w:tcW w:w="694" w:type="dxa"/>
                  <w:vMerge w:val="continue"/>
                  <w:tcBorders>
                    <w:tl2br w:val="nil"/>
                    <w:tr2bl w:val="nil"/>
                  </w:tcBorders>
                  <w:vAlign w:val="center"/>
                </w:tcPr>
                <w:p>
                  <w:pPr>
                    <w:pStyle w:val="143"/>
                    <w:rPr>
                      <w:color w:val="auto"/>
                      <w:sz w:val="18"/>
                      <w:szCs w:val="18"/>
                    </w:rPr>
                  </w:pPr>
                </w:p>
              </w:tc>
              <w:tc>
                <w:tcPr>
                  <w:tcW w:w="795" w:type="dxa"/>
                  <w:vMerge w:val="continue"/>
                  <w:tcBorders>
                    <w:tl2br w:val="nil"/>
                    <w:tr2bl w:val="nil"/>
                  </w:tcBorders>
                  <w:vAlign w:val="center"/>
                </w:tcPr>
                <w:p>
                  <w:pPr>
                    <w:pStyle w:val="143"/>
                    <w:rPr>
                      <w:color w:val="auto"/>
                      <w:sz w:val="18"/>
                      <w:szCs w:val="18"/>
                    </w:rPr>
                  </w:pPr>
                </w:p>
              </w:tc>
              <w:tc>
                <w:tcPr>
                  <w:tcW w:w="657" w:type="dxa"/>
                  <w:vMerge w:val="continue"/>
                  <w:tcBorders>
                    <w:tl2br w:val="nil"/>
                    <w:tr2bl w:val="nil"/>
                  </w:tcBorders>
                  <w:vAlign w:val="center"/>
                </w:tcPr>
                <w:p>
                  <w:pPr>
                    <w:pStyle w:val="143"/>
                    <w:rPr>
                      <w:color w:val="auto"/>
                      <w:sz w:val="18"/>
                      <w:szCs w:val="18"/>
                    </w:rPr>
                  </w:pPr>
                </w:p>
              </w:tc>
              <w:tc>
                <w:tcPr>
                  <w:tcW w:w="782" w:type="dxa"/>
                  <w:vMerge w:val="continue"/>
                  <w:tcBorders>
                    <w:tl2br w:val="nil"/>
                    <w:tr2bl w:val="nil"/>
                  </w:tcBorders>
                  <w:vAlign w:val="center"/>
                </w:tcPr>
                <w:p>
                  <w:pPr>
                    <w:pStyle w:val="143"/>
                    <w:rPr>
                      <w:color w:val="auto"/>
                      <w:sz w:val="18"/>
                      <w:szCs w:val="18"/>
                    </w:rPr>
                  </w:pPr>
                </w:p>
              </w:tc>
              <w:tc>
                <w:tcPr>
                  <w:tcW w:w="722" w:type="dxa"/>
                  <w:vMerge w:val="continue"/>
                  <w:tcBorders>
                    <w:tl2br w:val="nil"/>
                    <w:tr2bl w:val="nil"/>
                  </w:tcBorders>
                  <w:vAlign w:val="center"/>
                </w:tcPr>
                <w:p>
                  <w:pPr>
                    <w:pStyle w:val="143"/>
                    <w:rPr>
                      <w:color w:val="auto"/>
                      <w:sz w:val="18"/>
                      <w:szCs w:val="18"/>
                    </w:rPr>
                  </w:pPr>
                </w:p>
              </w:tc>
              <w:tc>
                <w:tcPr>
                  <w:tcW w:w="832" w:type="dxa"/>
                  <w:vMerge w:val="continue"/>
                  <w:tcBorders>
                    <w:tl2br w:val="nil"/>
                    <w:tr2bl w:val="nil"/>
                  </w:tcBorders>
                  <w:vAlign w:val="center"/>
                </w:tcPr>
                <w:p>
                  <w:pPr>
                    <w:pStyle w:val="143"/>
                    <w:rPr>
                      <w:color w:val="auto"/>
                      <w:sz w:val="18"/>
                      <w:szCs w:val="18"/>
                    </w:rPr>
                  </w:pPr>
                </w:p>
              </w:tc>
              <w:tc>
                <w:tcPr>
                  <w:tcW w:w="653" w:type="dxa"/>
                  <w:vMerge w:val="continue"/>
                  <w:tcBorders>
                    <w:tl2br w:val="nil"/>
                    <w:tr2bl w:val="nil"/>
                  </w:tcBorders>
                  <w:vAlign w:val="center"/>
                </w:tcPr>
                <w:p>
                  <w:pPr>
                    <w:pStyle w:val="143"/>
                    <w:rPr>
                      <w:color w:val="auto"/>
                      <w:sz w:val="18"/>
                      <w:szCs w:val="18"/>
                    </w:rPr>
                  </w:pPr>
                </w:p>
              </w:tc>
              <w:tc>
                <w:tcPr>
                  <w:tcW w:w="496" w:type="dxa"/>
                  <w:vMerge w:val="continue"/>
                  <w:tcBorders>
                    <w:tl2br w:val="nil"/>
                    <w:tr2bl w:val="nil"/>
                  </w:tcBorders>
                  <w:vAlign w:val="center"/>
                </w:tcPr>
                <w:p>
                  <w:pPr>
                    <w:pStyle w:val="143"/>
                    <w:rPr>
                      <w:color w:val="auto"/>
                      <w:sz w:val="18"/>
                      <w:szCs w:val="18"/>
                    </w:rPr>
                  </w:pPr>
                </w:p>
              </w:tc>
              <w:tc>
                <w:tcPr>
                  <w:tcW w:w="987" w:type="dxa"/>
                  <w:tcBorders>
                    <w:tl2br w:val="nil"/>
                    <w:tr2bl w:val="nil"/>
                  </w:tcBorders>
                  <w:vAlign w:val="center"/>
                </w:tcPr>
                <w:p>
                  <w:pPr>
                    <w:pStyle w:val="143"/>
                    <w:rPr>
                      <w:color w:val="auto"/>
                      <w:sz w:val="18"/>
                      <w:szCs w:val="18"/>
                    </w:rPr>
                  </w:pPr>
                  <w:r>
                    <w:rPr>
                      <w:color w:val="auto"/>
                      <w:sz w:val="18"/>
                      <w:szCs w:val="18"/>
                    </w:rPr>
                    <w:t>COD</w:t>
                  </w:r>
                </w:p>
              </w:tc>
              <w:tc>
                <w:tcPr>
                  <w:tcW w:w="1808" w:type="dxa"/>
                  <w:tcBorders>
                    <w:tl2br w:val="nil"/>
                    <w:tr2bl w:val="nil"/>
                  </w:tcBorders>
                  <w:shd w:val="clear" w:color="auto" w:fill="auto"/>
                  <w:vAlign w:val="center"/>
                </w:tcPr>
                <w:p>
                  <w:pPr>
                    <w:pStyle w:val="143"/>
                    <w:rPr>
                      <w:color w:val="auto"/>
                      <w:sz w:val="18"/>
                      <w:szCs w:val="18"/>
                    </w:rPr>
                  </w:pPr>
                  <w:r>
                    <w:rPr>
                      <w:color w:val="auto"/>
                      <w:sz w:val="18"/>
                      <w:szCs w:val="18"/>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403" w:type="dxa"/>
                  <w:vMerge w:val="continue"/>
                  <w:tcBorders>
                    <w:tl2br w:val="nil"/>
                    <w:tr2bl w:val="nil"/>
                  </w:tcBorders>
                  <w:vAlign w:val="center"/>
                </w:tcPr>
                <w:p>
                  <w:pPr>
                    <w:pStyle w:val="143"/>
                    <w:rPr>
                      <w:color w:val="auto"/>
                      <w:sz w:val="18"/>
                      <w:szCs w:val="18"/>
                    </w:rPr>
                  </w:pPr>
                </w:p>
              </w:tc>
              <w:tc>
                <w:tcPr>
                  <w:tcW w:w="694" w:type="dxa"/>
                  <w:vMerge w:val="continue"/>
                  <w:tcBorders>
                    <w:tl2br w:val="nil"/>
                    <w:tr2bl w:val="nil"/>
                  </w:tcBorders>
                  <w:vAlign w:val="center"/>
                </w:tcPr>
                <w:p>
                  <w:pPr>
                    <w:pStyle w:val="143"/>
                    <w:rPr>
                      <w:color w:val="auto"/>
                      <w:sz w:val="18"/>
                      <w:szCs w:val="18"/>
                    </w:rPr>
                  </w:pPr>
                </w:p>
              </w:tc>
              <w:tc>
                <w:tcPr>
                  <w:tcW w:w="795" w:type="dxa"/>
                  <w:vMerge w:val="continue"/>
                  <w:tcBorders>
                    <w:tl2br w:val="nil"/>
                    <w:tr2bl w:val="nil"/>
                  </w:tcBorders>
                  <w:vAlign w:val="center"/>
                </w:tcPr>
                <w:p>
                  <w:pPr>
                    <w:pStyle w:val="143"/>
                    <w:rPr>
                      <w:color w:val="auto"/>
                      <w:sz w:val="18"/>
                      <w:szCs w:val="18"/>
                    </w:rPr>
                  </w:pPr>
                </w:p>
              </w:tc>
              <w:tc>
                <w:tcPr>
                  <w:tcW w:w="657" w:type="dxa"/>
                  <w:vMerge w:val="continue"/>
                  <w:tcBorders>
                    <w:tl2br w:val="nil"/>
                    <w:tr2bl w:val="nil"/>
                  </w:tcBorders>
                  <w:vAlign w:val="center"/>
                </w:tcPr>
                <w:p>
                  <w:pPr>
                    <w:pStyle w:val="143"/>
                    <w:rPr>
                      <w:color w:val="auto"/>
                      <w:sz w:val="18"/>
                      <w:szCs w:val="18"/>
                    </w:rPr>
                  </w:pPr>
                </w:p>
              </w:tc>
              <w:tc>
                <w:tcPr>
                  <w:tcW w:w="782" w:type="dxa"/>
                  <w:vMerge w:val="continue"/>
                  <w:tcBorders>
                    <w:tl2br w:val="nil"/>
                    <w:tr2bl w:val="nil"/>
                  </w:tcBorders>
                  <w:vAlign w:val="center"/>
                </w:tcPr>
                <w:p>
                  <w:pPr>
                    <w:pStyle w:val="143"/>
                    <w:rPr>
                      <w:color w:val="auto"/>
                      <w:sz w:val="18"/>
                      <w:szCs w:val="18"/>
                    </w:rPr>
                  </w:pPr>
                </w:p>
              </w:tc>
              <w:tc>
                <w:tcPr>
                  <w:tcW w:w="722" w:type="dxa"/>
                  <w:vMerge w:val="continue"/>
                  <w:tcBorders>
                    <w:tl2br w:val="nil"/>
                    <w:tr2bl w:val="nil"/>
                  </w:tcBorders>
                  <w:vAlign w:val="center"/>
                </w:tcPr>
                <w:p>
                  <w:pPr>
                    <w:pStyle w:val="143"/>
                    <w:rPr>
                      <w:color w:val="auto"/>
                      <w:sz w:val="18"/>
                      <w:szCs w:val="18"/>
                    </w:rPr>
                  </w:pPr>
                </w:p>
              </w:tc>
              <w:tc>
                <w:tcPr>
                  <w:tcW w:w="832" w:type="dxa"/>
                  <w:vMerge w:val="continue"/>
                  <w:tcBorders>
                    <w:tl2br w:val="nil"/>
                    <w:tr2bl w:val="nil"/>
                  </w:tcBorders>
                  <w:vAlign w:val="center"/>
                </w:tcPr>
                <w:p>
                  <w:pPr>
                    <w:pStyle w:val="143"/>
                    <w:rPr>
                      <w:color w:val="auto"/>
                      <w:sz w:val="18"/>
                      <w:szCs w:val="18"/>
                    </w:rPr>
                  </w:pPr>
                </w:p>
              </w:tc>
              <w:tc>
                <w:tcPr>
                  <w:tcW w:w="653" w:type="dxa"/>
                  <w:vMerge w:val="continue"/>
                  <w:tcBorders>
                    <w:tl2br w:val="nil"/>
                    <w:tr2bl w:val="nil"/>
                  </w:tcBorders>
                  <w:vAlign w:val="center"/>
                </w:tcPr>
                <w:p>
                  <w:pPr>
                    <w:pStyle w:val="143"/>
                    <w:rPr>
                      <w:color w:val="auto"/>
                      <w:sz w:val="18"/>
                      <w:szCs w:val="18"/>
                    </w:rPr>
                  </w:pPr>
                </w:p>
              </w:tc>
              <w:tc>
                <w:tcPr>
                  <w:tcW w:w="496" w:type="dxa"/>
                  <w:vMerge w:val="continue"/>
                  <w:tcBorders>
                    <w:tl2br w:val="nil"/>
                    <w:tr2bl w:val="nil"/>
                  </w:tcBorders>
                  <w:vAlign w:val="center"/>
                </w:tcPr>
                <w:p>
                  <w:pPr>
                    <w:pStyle w:val="143"/>
                    <w:rPr>
                      <w:color w:val="auto"/>
                      <w:sz w:val="18"/>
                      <w:szCs w:val="18"/>
                    </w:rPr>
                  </w:pPr>
                </w:p>
              </w:tc>
              <w:tc>
                <w:tcPr>
                  <w:tcW w:w="987" w:type="dxa"/>
                  <w:tcBorders>
                    <w:tl2br w:val="nil"/>
                    <w:tr2bl w:val="nil"/>
                  </w:tcBorders>
                  <w:vAlign w:val="center"/>
                </w:tcPr>
                <w:p>
                  <w:pPr>
                    <w:pStyle w:val="143"/>
                    <w:rPr>
                      <w:color w:val="auto"/>
                      <w:sz w:val="18"/>
                      <w:szCs w:val="18"/>
                    </w:rPr>
                  </w:pPr>
                  <w:r>
                    <w:rPr>
                      <w:color w:val="auto"/>
                      <w:sz w:val="18"/>
                      <w:szCs w:val="18"/>
                    </w:rPr>
                    <w:t>BOD</w:t>
                  </w:r>
                  <w:r>
                    <w:rPr>
                      <w:color w:val="auto"/>
                      <w:sz w:val="18"/>
                      <w:szCs w:val="18"/>
                      <w:vertAlign w:val="subscript"/>
                    </w:rPr>
                    <w:t>5</w:t>
                  </w:r>
                </w:p>
              </w:tc>
              <w:tc>
                <w:tcPr>
                  <w:tcW w:w="1808" w:type="dxa"/>
                  <w:tcBorders>
                    <w:tl2br w:val="nil"/>
                    <w:tr2bl w:val="nil"/>
                  </w:tcBorders>
                  <w:shd w:val="clear" w:color="auto" w:fill="auto"/>
                  <w:vAlign w:val="center"/>
                </w:tcPr>
                <w:p>
                  <w:pPr>
                    <w:pStyle w:val="143"/>
                    <w:rPr>
                      <w:color w:val="auto"/>
                      <w:sz w:val="18"/>
                      <w:szCs w:val="18"/>
                    </w:rPr>
                  </w:pPr>
                  <w:r>
                    <w:rPr>
                      <w:color w:val="auto"/>
                      <w:sz w:val="18"/>
                      <w:szCs w:val="18"/>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403" w:type="dxa"/>
                  <w:vMerge w:val="continue"/>
                  <w:tcBorders>
                    <w:tl2br w:val="nil"/>
                    <w:tr2bl w:val="nil"/>
                  </w:tcBorders>
                  <w:vAlign w:val="center"/>
                </w:tcPr>
                <w:p>
                  <w:pPr>
                    <w:pStyle w:val="143"/>
                    <w:rPr>
                      <w:color w:val="auto"/>
                      <w:sz w:val="18"/>
                      <w:szCs w:val="18"/>
                    </w:rPr>
                  </w:pPr>
                </w:p>
              </w:tc>
              <w:tc>
                <w:tcPr>
                  <w:tcW w:w="694" w:type="dxa"/>
                  <w:vMerge w:val="continue"/>
                  <w:tcBorders>
                    <w:tl2br w:val="nil"/>
                    <w:tr2bl w:val="nil"/>
                  </w:tcBorders>
                  <w:vAlign w:val="center"/>
                </w:tcPr>
                <w:p>
                  <w:pPr>
                    <w:pStyle w:val="143"/>
                    <w:rPr>
                      <w:color w:val="auto"/>
                      <w:sz w:val="18"/>
                      <w:szCs w:val="18"/>
                    </w:rPr>
                  </w:pPr>
                </w:p>
              </w:tc>
              <w:tc>
                <w:tcPr>
                  <w:tcW w:w="795" w:type="dxa"/>
                  <w:vMerge w:val="continue"/>
                  <w:tcBorders>
                    <w:tl2br w:val="nil"/>
                    <w:tr2bl w:val="nil"/>
                  </w:tcBorders>
                  <w:vAlign w:val="center"/>
                </w:tcPr>
                <w:p>
                  <w:pPr>
                    <w:pStyle w:val="143"/>
                    <w:rPr>
                      <w:color w:val="auto"/>
                      <w:sz w:val="18"/>
                      <w:szCs w:val="18"/>
                    </w:rPr>
                  </w:pPr>
                </w:p>
              </w:tc>
              <w:tc>
                <w:tcPr>
                  <w:tcW w:w="657" w:type="dxa"/>
                  <w:vMerge w:val="continue"/>
                  <w:tcBorders>
                    <w:tl2br w:val="nil"/>
                    <w:tr2bl w:val="nil"/>
                  </w:tcBorders>
                  <w:vAlign w:val="center"/>
                </w:tcPr>
                <w:p>
                  <w:pPr>
                    <w:pStyle w:val="143"/>
                    <w:rPr>
                      <w:color w:val="auto"/>
                      <w:sz w:val="18"/>
                      <w:szCs w:val="18"/>
                    </w:rPr>
                  </w:pPr>
                </w:p>
              </w:tc>
              <w:tc>
                <w:tcPr>
                  <w:tcW w:w="782" w:type="dxa"/>
                  <w:vMerge w:val="continue"/>
                  <w:tcBorders>
                    <w:tl2br w:val="nil"/>
                    <w:tr2bl w:val="nil"/>
                  </w:tcBorders>
                  <w:vAlign w:val="center"/>
                </w:tcPr>
                <w:p>
                  <w:pPr>
                    <w:pStyle w:val="143"/>
                    <w:rPr>
                      <w:color w:val="auto"/>
                      <w:sz w:val="18"/>
                      <w:szCs w:val="18"/>
                    </w:rPr>
                  </w:pPr>
                </w:p>
              </w:tc>
              <w:tc>
                <w:tcPr>
                  <w:tcW w:w="722" w:type="dxa"/>
                  <w:vMerge w:val="continue"/>
                  <w:tcBorders>
                    <w:tl2br w:val="nil"/>
                    <w:tr2bl w:val="nil"/>
                  </w:tcBorders>
                  <w:vAlign w:val="center"/>
                </w:tcPr>
                <w:p>
                  <w:pPr>
                    <w:pStyle w:val="143"/>
                    <w:rPr>
                      <w:color w:val="auto"/>
                      <w:sz w:val="18"/>
                      <w:szCs w:val="18"/>
                    </w:rPr>
                  </w:pPr>
                </w:p>
              </w:tc>
              <w:tc>
                <w:tcPr>
                  <w:tcW w:w="832" w:type="dxa"/>
                  <w:vMerge w:val="continue"/>
                  <w:tcBorders>
                    <w:tl2br w:val="nil"/>
                    <w:tr2bl w:val="nil"/>
                  </w:tcBorders>
                  <w:vAlign w:val="center"/>
                </w:tcPr>
                <w:p>
                  <w:pPr>
                    <w:pStyle w:val="143"/>
                    <w:rPr>
                      <w:color w:val="auto"/>
                      <w:sz w:val="18"/>
                      <w:szCs w:val="18"/>
                    </w:rPr>
                  </w:pPr>
                </w:p>
              </w:tc>
              <w:tc>
                <w:tcPr>
                  <w:tcW w:w="653" w:type="dxa"/>
                  <w:vMerge w:val="continue"/>
                  <w:tcBorders>
                    <w:tl2br w:val="nil"/>
                    <w:tr2bl w:val="nil"/>
                  </w:tcBorders>
                  <w:vAlign w:val="center"/>
                </w:tcPr>
                <w:p>
                  <w:pPr>
                    <w:pStyle w:val="143"/>
                    <w:rPr>
                      <w:color w:val="auto"/>
                      <w:sz w:val="18"/>
                      <w:szCs w:val="18"/>
                    </w:rPr>
                  </w:pPr>
                </w:p>
              </w:tc>
              <w:tc>
                <w:tcPr>
                  <w:tcW w:w="496" w:type="dxa"/>
                  <w:vMerge w:val="continue"/>
                  <w:tcBorders>
                    <w:tl2br w:val="nil"/>
                    <w:tr2bl w:val="nil"/>
                  </w:tcBorders>
                  <w:vAlign w:val="center"/>
                </w:tcPr>
                <w:p>
                  <w:pPr>
                    <w:pStyle w:val="143"/>
                    <w:rPr>
                      <w:color w:val="auto"/>
                      <w:sz w:val="18"/>
                      <w:szCs w:val="18"/>
                    </w:rPr>
                  </w:pPr>
                </w:p>
              </w:tc>
              <w:tc>
                <w:tcPr>
                  <w:tcW w:w="987" w:type="dxa"/>
                  <w:tcBorders>
                    <w:tl2br w:val="nil"/>
                    <w:tr2bl w:val="nil"/>
                  </w:tcBorders>
                  <w:vAlign w:val="center"/>
                </w:tcPr>
                <w:p>
                  <w:pPr>
                    <w:pStyle w:val="143"/>
                    <w:rPr>
                      <w:color w:val="auto"/>
                      <w:sz w:val="18"/>
                      <w:szCs w:val="18"/>
                    </w:rPr>
                  </w:pPr>
                  <w:r>
                    <w:rPr>
                      <w:color w:val="auto"/>
                      <w:sz w:val="18"/>
                      <w:szCs w:val="18"/>
                    </w:rPr>
                    <w:t>SS</w:t>
                  </w:r>
                </w:p>
              </w:tc>
              <w:tc>
                <w:tcPr>
                  <w:tcW w:w="1808" w:type="dxa"/>
                  <w:tcBorders>
                    <w:tl2br w:val="nil"/>
                    <w:tr2bl w:val="nil"/>
                  </w:tcBorders>
                  <w:shd w:val="clear" w:color="auto" w:fill="auto"/>
                  <w:vAlign w:val="center"/>
                </w:tcPr>
                <w:p>
                  <w:pPr>
                    <w:pStyle w:val="143"/>
                    <w:rPr>
                      <w:color w:val="auto"/>
                      <w:sz w:val="18"/>
                      <w:szCs w:val="18"/>
                    </w:rPr>
                  </w:pPr>
                  <w:r>
                    <w:rPr>
                      <w:color w:val="auto"/>
                      <w:sz w:val="18"/>
                      <w:szCs w:val="18"/>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403" w:type="dxa"/>
                  <w:vMerge w:val="continue"/>
                  <w:tcBorders>
                    <w:tl2br w:val="nil"/>
                    <w:tr2bl w:val="nil"/>
                  </w:tcBorders>
                  <w:vAlign w:val="center"/>
                </w:tcPr>
                <w:p>
                  <w:pPr>
                    <w:pStyle w:val="143"/>
                    <w:rPr>
                      <w:color w:val="auto"/>
                      <w:sz w:val="18"/>
                      <w:szCs w:val="18"/>
                    </w:rPr>
                  </w:pPr>
                </w:p>
              </w:tc>
              <w:tc>
                <w:tcPr>
                  <w:tcW w:w="694" w:type="dxa"/>
                  <w:vMerge w:val="continue"/>
                  <w:tcBorders>
                    <w:tl2br w:val="nil"/>
                    <w:tr2bl w:val="nil"/>
                  </w:tcBorders>
                  <w:vAlign w:val="center"/>
                </w:tcPr>
                <w:p>
                  <w:pPr>
                    <w:pStyle w:val="143"/>
                    <w:rPr>
                      <w:color w:val="auto"/>
                      <w:sz w:val="18"/>
                      <w:szCs w:val="18"/>
                    </w:rPr>
                  </w:pPr>
                </w:p>
              </w:tc>
              <w:tc>
                <w:tcPr>
                  <w:tcW w:w="795" w:type="dxa"/>
                  <w:vMerge w:val="continue"/>
                  <w:tcBorders>
                    <w:tl2br w:val="nil"/>
                    <w:tr2bl w:val="nil"/>
                  </w:tcBorders>
                  <w:vAlign w:val="center"/>
                </w:tcPr>
                <w:p>
                  <w:pPr>
                    <w:pStyle w:val="143"/>
                    <w:rPr>
                      <w:color w:val="auto"/>
                      <w:sz w:val="18"/>
                      <w:szCs w:val="18"/>
                    </w:rPr>
                  </w:pPr>
                </w:p>
              </w:tc>
              <w:tc>
                <w:tcPr>
                  <w:tcW w:w="657" w:type="dxa"/>
                  <w:vMerge w:val="continue"/>
                  <w:tcBorders>
                    <w:tl2br w:val="nil"/>
                    <w:tr2bl w:val="nil"/>
                  </w:tcBorders>
                  <w:vAlign w:val="center"/>
                </w:tcPr>
                <w:p>
                  <w:pPr>
                    <w:pStyle w:val="143"/>
                    <w:rPr>
                      <w:color w:val="auto"/>
                      <w:sz w:val="18"/>
                      <w:szCs w:val="18"/>
                    </w:rPr>
                  </w:pPr>
                </w:p>
              </w:tc>
              <w:tc>
                <w:tcPr>
                  <w:tcW w:w="782" w:type="dxa"/>
                  <w:vMerge w:val="continue"/>
                  <w:tcBorders>
                    <w:tl2br w:val="nil"/>
                    <w:tr2bl w:val="nil"/>
                  </w:tcBorders>
                  <w:vAlign w:val="center"/>
                </w:tcPr>
                <w:p>
                  <w:pPr>
                    <w:pStyle w:val="143"/>
                    <w:rPr>
                      <w:color w:val="auto"/>
                      <w:sz w:val="18"/>
                      <w:szCs w:val="18"/>
                    </w:rPr>
                  </w:pPr>
                </w:p>
              </w:tc>
              <w:tc>
                <w:tcPr>
                  <w:tcW w:w="722" w:type="dxa"/>
                  <w:vMerge w:val="continue"/>
                  <w:tcBorders>
                    <w:tl2br w:val="nil"/>
                    <w:tr2bl w:val="nil"/>
                  </w:tcBorders>
                  <w:vAlign w:val="center"/>
                </w:tcPr>
                <w:p>
                  <w:pPr>
                    <w:pStyle w:val="143"/>
                    <w:rPr>
                      <w:color w:val="auto"/>
                      <w:sz w:val="18"/>
                      <w:szCs w:val="18"/>
                    </w:rPr>
                  </w:pPr>
                </w:p>
              </w:tc>
              <w:tc>
                <w:tcPr>
                  <w:tcW w:w="832" w:type="dxa"/>
                  <w:vMerge w:val="continue"/>
                  <w:tcBorders>
                    <w:tl2br w:val="nil"/>
                    <w:tr2bl w:val="nil"/>
                  </w:tcBorders>
                  <w:vAlign w:val="center"/>
                </w:tcPr>
                <w:p>
                  <w:pPr>
                    <w:pStyle w:val="143"/>
                    <w:rPr>
                      <w:color w:val="auto"/>
                      <w:sz w:val="18"/>
                      <w:szCs w:val="18"/>
                    </w:rPr>
                  </w:pPr>
                </w:p>
              </w:tc>
              <w:tc>
                <w:tcPr>
                  <w:tcW w:w="653" w:type="dxa"/>
                  <w:vMerge w:val="continue"/>
                  <w:tcBorders>
                    <w:tl2br w:val="nil"/>
                    <w:tr2bl w:val="nil"/>
                  </w:tcBorders>
                  <w:vAlign w:val="center"/>
                </w:tcPr>
                <w:p>
                  <w:pPr>
                    <w:pStyle w:val="143"/>
                    <w:rPr>
                      <w:color w:val="auto"/>
                      <w:sz w:val="18"/>
                      <w:szCs w:val="18"/>
                    </w:rPr>
                  </w:pPr>
                </w:p>
              </w:tc>
              <w:tc>
                <w:tcPr>
                  <w:tcW w:w="496" w:type="dxa"/>
                  <w:vMerge w:val="continue"/>
                  <w:tcBorders>
                    <w:tl2br w:val="nil"/>
                    <w:tr2bl w:val="nil"/>
                  </w:tcBorders>
                  <w:vAlign w:val="center"/>
                </w:tcPr>
                <w:p>
                  <w:pPr>
                    <w:pStyle w:val="143"/>
                    <w:rPr>
                      <w:color w:val="auto"/>
                      <w:sz w:val="18"/>
                      <w:szCs w:val="18"/>
                    </w:rPr>
                  </w:pPr>
                </w:p>
              </w:tc>
              <w:tc>
                <w:tcPr>
                  <w:tcW w:w="987" w:type="dxa"/>
                  <w:tcBorders>
                    <w:tl2br w:val="nil"/>
                    <w:tr2bl w:val="nil"/>
                  </w:tcBorders>
                  <w:shd w:val="clear" w:color="auto" w:fill="auto"/>
                  <w:vAlign w:val="center"/>
                </w:tcPr>
                <w:p>
                  <w:pPr>
                    <w:pStyle w:val="143"/>
                    <w:rPr>
                      <w:color w:val="auto"/>
                      <w:sz w:val="18"/>
                      <w:szCs w:val="18"/>
                    </w:rPr>
                  </w:pPr>
                  <w:r>
                    <w:rPr>
                      <w:color w:val="auto"/>
                      <w:sz w:val="18"/>
                      <w:szCs w:val="18"/>
                    </w:rPr>
                    <w:t>NH</w:t>
                  </w:r>
                  <w:r>
                    <w:rPr>
                      <w:color w:val="auto"/>
                      <w:sz w:val="18"/>
                      <w:szCs w:val="18"/>
                      <w:vertAlign w:val="subscript"/>
                    </w:rPr>
                    <w:t>3</w:t>
                  </w:r>
                  <w:r>
                    <w:rPr>
                      <w:color w:val="auto"/>
                      <w:sz w:val="18"/>
                      <w:szCs w:val="18"/>
                    </w:rPr>
                    <w:t>-N</w:t>
                  </w:r>
                </w:p>
              </w:tc>
              <w:tc>
                <w:tcPr>
                  <w:tcW w:w="1808" w:type="dxa"/>
                  <w:tcBorders>
                    <w:tl2br w:val="nil"/>
                    <w:tr2bl w:val="nil"/>
                  </w:tcBorders>
                  <w:shd w:val="clear" w:color="auto" w:fill="auto"/>
                  <w:vAlign w:val="center"/>
                </w:tcPr>
                <w:p>
                  <w:pPr>
                    <w:pStyle w:val="143"/>
                    <w:rPr>
                      <w:color w:val="auto"/>
                      <w:sz w:val="18"/>
                      <w:szCs w:val="18"/>
                    </w:rPr>
                  </w:pPr>
                  <w:r>
                    <w:rPr>
                      <w:color w:val="auto"/>
                      <w:sz w:val="18"/>
                      <w:szCs w:val="18"/>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403" w:type="dxa"/>
                  <w:vMerge w:val="continue"/>
                  <w:tcBorders>
                    <w:tl2br w:val="nil"/>
                    <w:tr2bl w:val="nil"/>
                  </w:tcBorders>
                  <w:vAlign w:val="center"/>
                </w:tcPr>
                <w:p>
                  <w:pPr>
                    <w:pStyle w:val="143"/>
                    <w:rPr>
                      <w:color w:val="auto"/>
                      <w:sz w:val="18"/>
                      <w:szCs w:val="18"/>
                    </w:rPr>
                  </w:pPr>
                </w:p>
              </w:tc>
              <w:tc>
                <w:tcPr>
                  <w:tcW w:w="694" w:type="dxa"/>
                  <w:vMerge w:val="continue"/>
                  <w:tcBorders>
                    <w:tl2br w:val="nil"/>
                    <w:tr2bl w:val="nil"/>
                  </w:tcBorders>
                  <w:vAlign w:val="center"/>
                </w:tcPr>
                <w:p>
                  <w:pPr>
                    <w:pStyle w:val="143"/>
                    <w:rPr>
                      <w:color w:val="auto"/>
                      <w:sz w:val="18"/>
                      <w:szCs w:val="18"/>
                    </w:rPr>
                  </w:pPr>
                </w:p>
              </w:tc>
              <w:tc>
                <w:tcPr>
                  <w:tcW w:w="795" w:type="dxa"/>
                  <w:vMerge w:val="continue"/>
                  <w:tcBorders>
                    <w:tl2br w:val="nil"/>
                    <w:tr2bl w:val="nil"/>
                  </w:tcBorders>
                  <w:vAlign w:val="center"/>
                </w:tcPr>
                <w:p>
                  <w:pPr>
                    <w:pStyle w:val="143"/>
                    <w:rPr>
                      <w:color w:val="auto"/>
                      <w:sz w:val="18"/>
                      <w:szCs w:val="18"/>
                    </w:rPr>
                  </w:pPr>
                </w:p>
              </w:tc>
              <w:tc>
                <w:tcPr>
                  <w:tcW w:w="657" w:type="dxa"/>
                  <w:vMerge w:val="continue"/>
                  <w:tcBorders>
                    <w:tl2br w:val="nil"/>
                    <w:tr2bl w:val="nil"/>
                  </w:tcBorders>
                  <w:vAlign w:val="center"/>
                </w:tcPr>
                <w:p>
                  <w:pPr>
                    <w:pStyle w:val="143"/>
                    <w:rPr>
                      <w:color w:val="auto"/>
                      <w:sz w:val="18"/>
                      <w:szCs w:val="18"/>
                    </w:rPr>
                  </w:pPr>
                </w:p>
              </w:tc>
              <w:tc>
                <w:tcPr>
                  <w:tcW w:w="782" w:type="dxa"/>
                  <w:vMerge w:val="continue"/>
                  <w:tcBorders>
                    <w:tl2br w:val="nil"/>
                    <w:tr2bl w:val="nil"/>
                  </w:tcBorders>
                  <w:vAlign w:val="center"/>
                </w:tcPr>
                <w:p>
                  <w:pPr>
                    <w:pStyle w:val="143"/>
                    <w:rPr>
                      <w:color w:val="auto"/>
                      <w:sz w:val="18"/>
                      <w:szCs w:val="18"/>
                    </w:rPr>
                  </w:pPr>
                </w:p>
              </w:tc>
              <w:tc>
                <w:tcPr>
                  <w:tcW w:w="722" w:type="dxa"/>
                  <w:vMerge w:val="continue"/>
                  <w:tcBorders>
                    <w:tl2br w:val="nil"/>
                    <w:tr2bl w:val="nil"/>
                  </w:tcBorders>
                  <w:vAlign w:val="center"/>
                </w:tcPr>
                <w:p>
                  <w:pPr>
                    <w:pStyle w:val="143"/>
                    <w:rPr>
                      <w:color w:val="auto"/>
                      <w:sz w:val="18"/>
                      <w:szCs w:val="18"/>
                    </w:rPr>
                  </w:pPr>
                </w:p>
              </w:tc>
              <w:tc>
                <w:tcPr>
                  <w:tcW w:w="832" w:type="dxa"/>
                  <w:vMerge w:val="continue"/>
                  <w:tcBorders>
                    <w:tl2br w:val="nil"/>
                    <w:tr2bl w:val="nil"/>
                  </w:tcBorders>
                  <w:vAlign w:val="center"/>
                </w:tcPr>
                <w:p>
                  <w:pPr>
                    <w:pStyle w:val="143"/>
                    <w:rPr>
                      <w:color w:val="auto"/>
                      <w:sz w:val="18"/>
                      <w:szCs w:val="18"/>
                    </w:rPr>
                  </w:pPr>
                </w:p>
              </w:tc>
              <w:tc>
                <w:tcPr>
                  <w:tcW w:w="653" w:type="dxa"/>
                  <w:vMerge w:val="continue"/>
                  <w:tcBorders>
                    <w:tl2br w:val="nil"/>
                    <w:tr2bl w:val="nil"/>
                  </w:tcBorders>
                  <w:vAlign w:val="center"/>
                </w:tcPr>
                <w:p>
                  <w:pPr>
                    <w:pStyle w:val="143"/>
                    <w:rPr>
                      <w:color w:val="auto"/>
                      <w:sz w:val="18"/>
                      <w:szCs w:val="18"/>
                    </w:rPr>
                  </w:pPr>
                </w:p>
              </w:tc>
              <w:tc>
                <w:tcPr>
                  <w:tcW w:w="496" w:type="dxa"/>
                  <w:vMerge w:val="continue"/>
                  <w:tcBorders>
                    <w:tl2br w:val="nil"/>
                    <w:tr2bl w:val="nil"/>
                  </w:tcBorders>
                  <w:vAlign w:val="center"/>
                </w:tcPr>
                <w:p>
                  <w:pPr>
                    <w:pStyle w:val="143"/>
                    <w:rPr>
                      <w:color w:val="auto"/>
                      <w:sz w:val="18"/>
                      <w:szCs w:val="18"/>
                    </w:rPr>
                  </w:pPr>
                </w:p>
              </w:tc>
              <w:tc>
                <w:tcPr>
                  <w:tcW w:w="987" w:type="dxa"/>
                  <w:tcBorders>
                    <w:tl2br w:val="nil"/>
                    <w:tr2bl w:val="nil"/>
                  </w:tcBorders>
                  <w:vAlign w:val="center"/>
                </w:tcPr>
                <w:p>
                  <w:pPr>
                    <w:pStyle w:val="143"/>
                    <w:rPr>
                      <w:color w:val="auto"/>
                      <w:sz w:val="18"/>
                      <w:szCs w:val="18"/>
                    </w:rPr>
                  </w:pPr>
                  <w:r>
                    <w:rPr>
                      <w:color w:val="auto"/>
                      <w:sz w:val="18"/>
                      <w:szCs w:val="18"/>
                    </w:rPr>
                    <w:t>粪大肠菌群</w:t>
                  </w:r>
                </w:p>
              </w:tc>
              <w:tc>
                <w:tcPr>
                  <w:tcW w:w="1808" w:type="dxa"/>
                  <w:tcBorders>
                    <w:tl2br w:val="nil"/>
                    <w:tr2bl w:val="nil"/>
                  </w:tcBorders>
                  <w:vAlign w:val="center"/>
                </w:tcPr>
                <w:p>
                  <w:pPr>
                    <w:pStyle w:val="143"/>
                    <w:rPr>
                      <w:color w:val="auto"/>
                      <w:sz w:val="18"/>
                      <w:szCs w:val="18"/>
                    </w:rPr>
                  </w:pPr>
                  <w:r>
                    <w:rPr>
                      <w:color w:val="auto"/>
                      <w:sz w:val="18"/>
                      <w:szCs w:val="18"/>
                    </w:rPr>
                    <w:t>5000个/L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403" w:type="dxa"/>
                  <w:vMerge w:val="continue"/>
                  <w:tcBorders>
                    <w:tl2br w:val="nil"/>
                    <w:tr2bl w:val="nil"/>
                  </w:tcBorders>
                  <w:vAlign w:val="center"/>
                </w:tcPr>
                <w:p>
                  <w:pPr>
                    <w:pStyle w:val="143"/>
                    <w:rPr>
                      <w:color w:val="auto"/>
                      <w:sz w:val="18"/>
                      <w:szCs w:val="18"/>
                    </w:rPr>
                  </w:pPr>
                </w:p>
              </w:tc>
              <w:tc>
                <w:tcPr>
                  <w:tcW w:w="694" w:type="dxa"/>
                  <w:vMerge w:val="continue"/>
                  <w:tcBorders>
                    <w:tl2br w:val="nil"/>
                    <w:tr2bl w:val="nil"/>
                  </w:tcBorders>
                  <w:vAlign w:val="center"/>
                </w:tcPr>
                <w:p>
                  <w:pPr>
                    <w:pStyle w:val="143"/>
                    <w:rPr>
                      <w:color w:val="auto"/>
                      <w:sz w:val="18"/>
                      <w:szCs w:val="18"/>
                    </w:rPr>
                  </w:pPr>
                </w:p>
              </w:tc>
              <w:tc>
                <w:tcPr>
                  <w:tcW w:w="795" w:type="dxa"/>
                  <w:vMerge w:val="continue"/>
                  <w:tcBorders>
                    <w:tl2br w:val="nil"/>
                    <w:tr2bl w:val="nil"/>
                  </w:tcBorders>
                  <w:vAlign w:val="center"/>
                </w:tcPr>
                <w:p>
                  <w:pPr>
                    <w:pStyle w:val="143"/>
                    <w:rPr>
                      <w:color w:val="auto"/>
                      <w:sz w:val="18"/>
                      <w:szCs w:val="18"/>
                    </w:rPr>
                  </w:pPr>
                </w:p>
              </w:tc>
              <w:tc>
                <w:tcPr>
                  <w:tcW w:w="657" w:type="dxa"/>
                  <w:vMerge w:val="continue"/>
                  <w:tcBorders>
                    <w:tl2br w:val="nil"/>
                    <w:tr2bl w:val="nil"/>
                  </w:tcBorders>
                  <w:vAlign w:val="center"/>
                </w:tcPr>
                <w:p>
                  <w:pPr>
                    <w:pStyle w:val="143"/>
                    <w:rPr>
                      <w:color w:val="auto"/>
                      <w:sz w:val="18"/>
                      <w:szCs w:val="18"/>
                    </w:rPr>
                  </w:pPr>
                </w:p>
              </w:tc>
              <w:tc>
                <w:tcPr>
                  <w:tcW w:w="782" w:type="dxa"/>
                  <w:vMerge w:val="continue"/>
                  <w:tcBorders>
                    <w:tl2br w:val="nil"/>
                    <w:tr2bl w:val="nil"/>
                  </w:tcBorders>
                  <w:vAlign w:val="center"/>
                </w:tcPr>
                <w:p>
                  <w:pPr>
                    <w:pStyle w:val="143"/>
                    <w:rPr>
                      <w:color w:val="auto"/>
                      <w:sz w:val="18"/>
                      <w:szCs w:val="18"/>
                    </w:rPr>
                  </w:pPr>
                </w:p>
              </w:tc>
              <w:tc>
                <w:tcPr>
                  <w:tcW w:w="722" w:type="dxa"/>
                  <w:vMerge w:val="continue"/>
                  <w:tcBorders>
                    <w:tl2br w:val="nil"/>
                    <w:tr2bl w:val="nil"/>
                  </w:tcBorders>
                  <w:vAlign w:val="center"/>
                </w:tcPr>
                <w:p>
                  <w:pPr>
                    <w:pStyle w:val="143"/>
                    <w:rPr>
                      <w:color w:val="auto"/>
                      <w:sz w:val="18"/>
                      <w:szCs w:val="18"/>
                    </w:rPr>
                  </w:pPr>
                </w:p>
              </w:tc>
              <w:tc>
                <w:tcPr>
                  <w:tcW w:w="832" w:type="dxa"/>
                  <w:vMerge w:val="continue"/>
                  <w:tcBorders>
                    <w:tl2br w:val="nil"/>
                    <w:tr2bl w:val="nil"/>
                  </w:tcBorders>
                  <w:vAlign w:val="center"/>
                </w:tcPr>
                <w:p>
                  <w:pPr>
                    <w:pStyle w:val="143"/>
                    <w:rPr>
                      <w:color w:val="auto"/>
                      <w:sz w:val="18"/>
                      <w:szCs w:val="18"/>
                    </w:rPr>
                  </w:pPr>
                </w:p>
              </w:tc>
              <w:tc>
                <w:tcPr>
                  <w:tcW w:w="653" w:type="dxa"/>
                  <w:vMerge w:val="continue"/>
                  <w:tcBorders>
                    <w:tl2br w:val="nil"/>
                    <w:tr2bl w:val="nil"/>
                  </w:tcBorders>
                  <w:vAlign w:val="center"/>
                </w:tcPr>
                <w:p>
                  <w:pPr>
                    <w:pStyle w:val="143"/>
                    <w:rPr>
                      <w:color w:val="auto"/>
                      <w:sz w:val="18"/>
                      <w:szCs w:val="18"/>
                    </w:rPr>
                  </w:pPr>
                </w:p>
              </w:tc>
              <w:tc>
                <w:tcPr>
                  <w:tcW w:w="496" w:type="dxa"/>
                  <w:vMerge w:val="continue"/>
                  <w:tcBorders>
                    <w:tl2br w:val="nil"/>
                    <w:tr2bl w:val="nil"/>
                  </w:tcBorders>
                  <w:vAlign w:val="center"/>
                </w:tcPr>
                <w:p>
                  <w:pPr>
                    <w:pStyle w:val="143"/>
                    <w:rPr>
                      <w:color w:val="auto"/>
                      <w:sz w:val="18"/>
                      <w:szCs w:val="18"/>
                    </w:rPr>
                  </w:pPr>
                </w:p>
              </w:tc>
              <w:tc>
                <w:tcPr>
                  <w:tcW w:w="987" w:type="dxa"/>
                  <w:tcBorders>
                    <w:tl2br w:val="nil"/>
                    <w:tr2bl w:val="nil"/>
                  </w:tcBorders>
                  <w:vAlign w:val="center"/>
                </w:tcPr>
                <w:p>
                  <w:pPr>
                    <w:pStyle w:val="143"/>
                    <w:rPr>
                      <w:color w:val="auto"/>
                      <w:sz w:val="18"/>
                      <w:szCs w:val="18"/>
                    </w:rPr>
                  </w:pPr>
                  <w:r>
                    <w:rPr>
                      <w:color w:val="auto"/>
                      <w:sz w:val="18"/>
                      <w:szCs w:val="18"/>
                    </w:rPr>
                    <w:t>LAS</w:t>
                  </w:r>
                </w:p>
              </w:tc>
              <w:tc>
                <w:tcPr>
                  <w:tcW w:w="1808" w:type="dxa"/>
                  <w:tcBorders>
                    <w:tl2br w:val="nil"/>
                    <w:tr2bl w:val="nil"/>
                  </w:tcBorders>
                  <w:vAlign w:val="center"/>
                </w:tcPr>
                <w:p>
                  <w:pPr>
                    <w:pStyle w:val="143"/>
                    <w:rPr>
                      <w:color w:val="auto"/>
                      <w:sz w:val="18"/>
                      <w:szCs w:val="18"/>
                    </w:rPr>
                  </w:pPr>
                  <w:r>
                    <w:rPr>
                      <w:color w:val="auto"/>
                      <w:sz w:val="18"/>
                      <w:szCs w:val="18"/>
                    </w:rPr>
                    <w:t>0.5</w:t>
                  </w:r>
                </w:p>
              </w:tc>
            </w:tr>
          </w:tbl>
          <w:p>
            <w:pPr>
              <w:pStyle w:val="23"/>
              <w:spacing w:before="120" w:beforeLines="50"/>
              <w:ind w:firstLine="420"/>
              <w:rPr>
                <w:rFonts w:ascii="Times New Roman" w:hAnsi="Times New Roman" w:cs="Times New Roman"/>
                <w:color w:val="auto"/>
              </w:rPr>
            </w:pPr>
            <w:r>
              <w:rPr>
                <w:rFonts w:ascii="Times New Roman" w:hAnsi="Times New Roman" w:cs="Times New Roman"/>
                <w:color w:val="auto"/>
              </w:rPr>
              <w:t>3）废水污染物排放执行标准表</w:t>
            </w:r>
          </w:p>
          <w:p>
            <w:pPr>
              <w:pStyle w:val="23"/>
              <w:spacing w:line="240" w:lineRule="auto"/>
              <w:ind w:firstLine="0" w:firstLineChars="0"/>
              <w:jc w:val="center"/>
              <w:rPr>
                <w:rFonts w:ascii="Times New Roman" w:hAnsi="Times New Roman" w:cs="Times New Roman"/>
                <w:b/>
                <w:bCs/>
                <w:color w:val="auto"/>
              </w:rPr>
            </w:pPr>
            <w:r>
              <w:rPr>
                <w:rFonts w:ascii="Times New Roman" w:hAnsi="Times New Roman" w:cs="Times New Roman"/>
                <w:b/>
                <w:bCs/>
                <w:color w:val="auto"/>
              </w:rPr>
              <w:t>表4-5  废水污染物排放执行标准表</w:t>
            </w:r>
          </w:p>
          <w:tbl>
            <w:tblPr>
              <w:tblStyle w:val="40"/>
              <w:tblW w:w="88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446"/>
              <w:gridCol w:w="1694"/>
              <w:gridCol w:w="2870"/>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6" w:type="dxa"/>
                  <w:vMerge w:val="restart"/>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序号</w:t>
                  </w:r>
                </w:p>
              </w:tc>
              <w:tc>
                <w:tcPr>
                  <w:tcW w:w="1446" w:type="dxa"/>
                  <w:vMerge w:val="restart"/>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排放口编号</w:t>
                  </w:r>
                </w:p>
              </w:tc>
              <w:tc>
                <w:tcPr>
                  <w:tcW w:w="1694" w:type="dxa"/>
                  <w:vMerge w:val="restart"/>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污染物种类</w:t>
                  </w:r>
                </w:p>
              </w:tc>
              <w:tc>
                <w:tcPr>
                  <w:tcW w:w="4955" w:type="dxa"/>
                  <w:gridSpan w:val="2"/>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6"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446"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694" w:type="dxa"/>
                  <w:vMerge w:val="continue"/>
                  <w:tcBorders>
                    <w:tl2br w:val="nil"/>
                    <w:tr2bl w:val="nil"/>
                  </w:tcBorders>
                  <w:vAlign w:val="center"/>
                </w:tcPr>
                <w:p>
                  <w:pPr>
                    <w:widowControl/>
                    <w:spacing w:line="240" w:lineRule="auto"/>
                    <w:ind w:firstLine="0" w:firstLineChars="0"/>
                    <w:jc w:val="center"/>
                    <w:rPr>
                      <w:color w:val="auto"/>
                      <w:szCs w:val="21"/>
                    </w:rPr>
                  </w:pPr>
                </w:p>
              </w:tc>
              <w:tc>
                <w:tcPr>
                  <w:tcW w:w="2870" w:type="dxa"/>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名称</w:t>
                  </w:r>
                </w:p>
              </w:tc>
              <w:tc>
                <w:tcPr>
                  <w:tcW w:w="2085" w:type="dxa"/>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6" w:type="dxa"/>
                  <w:vMerge w:val="restart"/>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1</w:t>
                  </w:r>
                </w:p>
              </w:tc>
              <w:tc>
                <w:tcPr>
                  <w:tcW w:w="1446" w:type="dxa"/>
                  <w:vMerge w:val="restart"/>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DW001</w:t>
                  </w:r>
                </w:p>
              </w:tc>
              <w:tc>
                <w:tcPr>
                  <w:tcW w:w="1694" w:type="dxa"/>
                  <w:tcBorders>
                    <w:tl2br w:val="nil"/>
                    <w:tr2bl w:val="nil"/>
                  </w:tcBorders>
                  <w:shd w:val="clear" w:color="auto" w:fill="auto"/>
                  <w:vAlign w:val="center"/>
                </w:tcPr>
                <w:p>
                  <w:pPr>
                    <w:widowControl/>
                    <w:spacing w:line="240" w:lineRule="auto"/>
                    <w:ind w:firstLine="0" w:firstLineChars="0"/>
                    <w:jc w:val="center"/>
                    <w:outlineLvl w:val="0"/>
                    <w:rPr>
                      <w:color w:val="auto"/>
                      <w:szCs w:val="21"/>
                    </w:rPr>
                  </w:pPr>
                  <w:r>
                    <w:rPr>
                      <w:color w:val="auto"/>
                      <w:szCs w:val="21"/>
                    </w:rPr>
                    <w:t>pH</w:t>
                  </w:r>
                </w:p>
              </w:tc>
              <w:tc>
                <w:tcPr>
                  <w:tcW w:w="2870" w:type="dxa"/>
                  <w:vMerge w:val="restart"/>
                  <w:tcBorders>
                    <w:tl2br w:val="nil"/>
                    <w:tr2bl w:val="nil"/>
                  </w:tcBorders>
                  <w:shd w:val="clear" w:color="auto" w:fill="auto"/>
                  <w:vAlign w:val="center"/>
                </w:tcPr>
                <w:p>
                  <w:pPr>
                    <w:tabs>
                      <w:tab w:val="left" w:pos="3435"/>
                    </w:tabs>
                    <w:spacing w:line="240" w:lineRule="auto"/>
                    <w:ind w:firstLine="0" w:firstLineChars="0"/>
                    <w:rPr>
                      <w:color w:val="auto"/>
                      <w:szCs w:val="21"/>
                      <w:lang w:bidi="ar"/>
                    </w:rPr>
                  </w:pPr>
                  <w:r>
                    <w:rPr>
                      <w:color w:val="auto"/>
                      <w:szCs w:val="21"/>
                    </w:rPr>
                    <w:t>《污水综合排放标准》（GB8978-1996）三级标准，氨氮执行《污水排入城镇地下水道水质标准》（GB/T31962-2015）表1中B等级标准</w:t>
                  </w:r>
                </w:p>
              </w:tc>
              <w:tc>
                <w:tcPr>
                  <w:tcW w:w="2085" w:type="dxa"/>
                  <w:tcBorders>
                    <w:tl2br w:val="nil"/>
                    <w:tr2bl w:val="nil"/>
                  </w:tcBorders>
                  <w:shd w:val="clear" w:color="auto" w:fill="auto"/>
                  <w:vAlign w:val="center"/>
                </w:tcPr>
                <w:p>
                  <w:pPr>
                    <w:autoSpaceDE w:val="0"/>
                    <w:spacing w:line="240" w:lineRule="auto"/>
                    <w:ind w:firstLine="0" w:firstLineChars="0"/>
                    <w:jc w:val="center"/>
                    <w:rPr>
                      <w:color w:val="auto"/>
                      <w:szCs w:val="21"/>
                    </w:rPr>
                  </w:pPr>
                  <w:r>
                    <w:rPr>
                      <w:color w:val="auto"/>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6" w:type="dxa"/>
                  <w:vMerge w:val="continue"/>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p>
              </w:tc>
              <w:tc>
                <w:tcPr>
                  <w:tcW w:w="1446" w:type="dxa"/>
                  <w:vMerge w:val="continue"/>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p>
              </w:tc>
              <w:tc>
                <w:tcPr>
                  <w:tcW w:w="1694" w:type="dxa"/>
                  <w:tcBorders>
                    <w:tl2br w:val="nil"/>
                    <w:tr2bl w:val="nil"/>
                  </w:tcBorders>
                  <w:shd w:val="clear" w:color="auto" w:fill="auto"/>
                  <w:vAlign w:val="center"/>
                </w:tcPr>
                <w:p>
                  <w:pPr>
                    <w:widowControl/>
                    <w:spacing w:line="240" w:lineRule="auto"/>
                    <w:ind w:firstLine="0" w:firstLineChars="0"/>
                    <w:jc w:val="center"/>
                    <w:outlineLvl w:val="0"/>
                    <w:rPr>
                      <w:color w:val="auto"/>
                      <w:szCs w:val="21"/>
                    </w:rPr>
                  </w:pPr>
                  <w:r>
                    <w:rPr>
                      <w:color w:val="auto"/>
                      <w:szCs w:val="21"/>
                    </w:rPr>
                    <w:t>COD</w:t>
                  </w:r>
                </w:p>
              </w:tc>
              <w:tc>
                <w:tcPr>
                  <w:tcW w:w="2870" w:type="dxa"/>
                  <w:vMerge w:val="continue"/>
                  <w:tcBorders>
                    <w:tl2br w:val="nil"/>
                    <w:tr2bl w:val="nil"/>
                  </w:tcBorders>
                  <w:shd w:val="clear" w:color="auto" w:fill="auto"/>
                  <w:vAlign w:val="center"/>
                </w:tcPr>
                <w:p>
                  <w:pPr>
                    <w:tabs>
                      <w:tab w:val="left" w:pos="3435"/>
                    </w:tabs>
                    <w:spacing w:line="240" w:lineRule="auto"/>
                    <w:ind w:firstLine="0" w:firstLineChars="0"/>
                    <w:rPr>
                      <w:color w:val="auto"/>
                      <w:szCs w:val="21"/>
                      <w:lang w:bidi="ar"/>
                    </w:rPr>
                  </w:pPr>
                </w:p>
              </w:tc>
              <w:tc>
                <w:tcPr>
                  <w:tcW w:w="2085" w:type="dxa"/>
                  <w:tcBorders>
                    <w:tl2br w:val="nil"/>
                    <w:tr2bl w:val="nil"/>
                  </w:tcBorders>
                  <w:vAlign w:val="center"/>
                </w:tcPr>
                <w:p>
                  <w:pPr>
                    <w:autoSpaceDE w:val="0"/>
                    <w:spacing w:line="240" w:lineRule="auto"/>
                    <w:ind w:firstLine="0" w:firstLineChars="0"/>
                    <w:jc w:val="center"/>
                    <w:rPr>
                      <w:color w:val="auto"/>
                      <w:szCs w:val="21"/>
                    </w:rPr>
                  </w:pPr>
                  <w:r>
                    <w:rPr>
                      <w:color w:val="auto"/>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6" w:type="dxa"/>
                  <w:vMerge w:val="continue"/>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p>
              </w:tc>
              <w:tc>
                <w:tcPr>
                  <w:tcW w:w="1446" w:type="dxa"/>
                  <w:vMerge w:val="continue"/>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p>
              </w:tc>
              <w:tc>
                <w:tcPr>
                  <w:tcW w:w="1694" w:type="dxa"/>
                  <w:tcBorders>
                    <w:tl2br w:val="nil"/>
                    <w:tr2bl w:val="nil"/>
                  </w:tcBorders>
                  <w:shd w:val="clear" w:color="auto" w:fill="auto"/>
                  <w:vAlign w:val="center"/>
                </w:tcPr>
                <w:p>
                  <w:pPr>
                    <w:widowControl/>
                    <w:spacing w:line="240" w:lineRule="auto"/>
                    <w:ind w:firstLine="0" w:firstLineChars="0"/>
                    <w:jc w:val="center"/>
                    <w:outlineLvl w:val="0"/>
                    <w:rPr>
                      <w:color w:val="auto"/>
                      <w:szCs w:val="21"/>
                      <w:vertAlign w:val="subscript"/>
                    </w:rPr>
                  </w:pPr>
                  <w:r>
                    <w:rPr>
                      <w:color w:val="auto"/>
                      <w:szCs w:val="21"/>
                    </w:rPr>
                    <w:t>BOD</w:t>
                  </w:r>
                  <w:r>
                    <w:rPr>
                      <w:color w:val="auto"/>
                      <w:szCs w:val="21"/>
                      <w:vertAlign w:val="subscript"/>
                    </w:rPr>
                    <w:t>5</w:t>
                  </w:r>
                </w:p>
              </w:tc>
              <w:tc>
                <w:tcPr>
                  <w:tcW w:w="2870" w:type="dxa"/>
                  <w:vMerge w:val="continue"/>
                  <w:tcBorders>
                    <w:tl2br w:val="nil"/>
                    <w:tr2bl w:val="nil"/>
                  </w:tcBorders>
                  <w:shd w:val="clear" w:color="auto" w:fill="auto"/>
                  <w:vAlign w:val="center"/>
                </w:tcPr>
                <w:p>
                  <w:pPr>
                    <w:tabs>
                      <w:tab w:val="left" w:pos="3435"/>
                    </w:tabs>
                    <w:spacing w:line="240" w:lineRule="auto"/>
                    <w:ind w:firstLine="0" w:firstLineChars="0"/>
                    <w:rPr>
                      <w:color w:val="auto"/>
                      <w:szCs w:val="21"/>
                      <w:lang w:bidi="ar"/>
                    </w:rPr>
                  </w:pPr>
                </w:p>
              </w:tc>
              <w:tc>
                <w:tcPr>
                  <w:tcW w:w="2085" w:type="dxa"/>
                  <w:tcBorders>
                    <w:tl2br w:val="nil"/>
                    <w:tr2bl w:val="nil"/>
                  </w:tcBorders>
                  <w:vAlign w:val="center"/>
                </w:tcPr>
                <w:p>
                  <w:pPr>
                    <w:autoSpaceDE w:val="0"/>
                    <w:spacing w:line="240" w:lineRule="auto"/>
                    <w:ind w:firstLine="0" w:firstLineChars="0"/>
                    <w:jc w:val="center"/>
                    <w:rPr>
                      <w:color w:val="auto"/>
                      <w:szCs w:val="21"/>
                    </w:rPr>
                  </w:pPr>
                  <w:r>
                    <w:rPr>
                      <w:color w:val="auto"/>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6" w:type="dxa"/>
                  <w:vMerge w:val="continue"/>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p>
              </w:tc>
              <w:tc>
                <w:tcPr>
                  <w:tcW w:w="1446" w:type="dxa"/>
                  <w:vMerge w:val="continue"/>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p>
              </w:tc>
              <w:tc>
                <w:tcPr>
                  <w:tcW w:w="1694" w:type="dxa"/>
                  <w:tcBorders>
                    <w:tl2br w:val="nil"/>
                    <w:tr2bl w:val="nil"/>
                  </w:tcBorders>
                  <w:shd w:val="clear" w:color="auto" w:fill="auto"/>
                  <w:vAlign w:val="center"/>
                </w:tcPr>
                <w:p>
                  <w:pPr>
                    <w:widowControl/>
                    <w:spacing w:line="240" w:lineRule="auto"/>
                    <w:ind w:firstLine="0" w:firstLineChars="0"/>
                    <w:jc w:val="center"/>
                    <w:outlineLvl w:val="0"/>
                    <w:rPr>
                      <w:color w:val="auto"/>
                      <w:szCs w:val="21"/>
                    </w:rPr>
                  </w:pPr>
                  <w:r>
                    <w:rPr>
                      <w:color w:val="auto"/>
                      <w:szCs w:val="21"/>
                    </w:rPr>
                    <w:t>SS</w:t>
                  </w:r>
                </w:p>
              </w:tc>
              <w:tc>
                <w:tcPr>
                  <w:tcW w:w="2870" w:type="dxa"/>
                  <w:vMerge w:val="continue"/>
                  <w:tcBorders>
                    <w:tl2br w:val="nil"/>
                    <w:tr2bl w:val="nil"/>
                  </w:tcBorders>
                  <w:shd w:val="clear" w:color="auto" w:fill="auto"/>
                  <w:vAlign w:val="center"/>
                </w:tcPr>
                <w:p>
                  <w:pPr>
                    <w:tabs>
                      <w:tab w:val="left" w:pos="3435"/>
                    </w:tabs>
                    <w:spacing w:line="240" w:lineRule="auto"/>
                    <w:ind w:firstLine="0" w:firstLineChars="0"/>
                    <w:rPr>
                      <w:color w:val="auto"/>
                      <w:szCs w:val="21"/>
                      <w:lang w:bidi="ar"/>
                    </w:rPr>
                  </w:pPr>
                </w:p>
              </w:tc>
              <w:tc>
                <w:tcPr>
                  <w:tcW w:w="2085" w:type="dxa"/>
                  <w:tcBorders>
                    <w:tl2br w:val="nil"/>
                    <w:tr2bl w:val="nil"/>
                  </w:tcBorders>
                  <w:vAlign w:val="center"/>
                </w:tcPr>
                <w:p>
                  <w:pPr>
                    <w:autoSpaceDE w:val="0"/>
                    <w:spacing w:line="240" w:lineRule="auto"/>
                    <w:ind w:firstLine="0" w:firstLineChars="0"/>
                    <w:jc w:val="center"/>
                    <w:rPr>
                      <w:color w:val="auto"/>
                      <w:szCs w:val="21"/>
                    </w:rPr>
                  </w:pPr>
                  <w:r>
                    <w:rPr>
                      <w:color w:val="auto"/>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6" w:type="dxa"/>
                  <w:vMerge w:val="continue"/>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p>
              </w:tc>
              <w:tc>
                <w:tcPr>
                  <w:tcW w:w="1446" w:type="dxa"/>
                  <w:vMerge w:val="continue"/>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p>
              </w:tc>
              <w:tc>
                <w:tcPr>
                  <w:tcW w:w="1694" w:type="dxa"/>
                  <w:tcBorders>
                    <w:tl2br w:val="nil"/>
                    <w:tr2bl w:val="nil"/>
                  </w:tcBorders>
                  <w:shd w:val="clear" w:color="auto" w:fill="auto"/>
                  <w:vAlign w:val="center"/>
                </w:tcPr>
                <w:p>
                  <w:pPr>
                    <w:widowControl/>
                    <w:spacing w:line="240" w:lineRule="auto"/>
                    <w:ind w:firstLine="0" w:firstLineChars="0"/>
                    <w:jc w:val="center"/>
                    <w:outlineLvl w:val="0"/>
                    <w:rPr>
                      <w:color w:val="auto"/>
                      <w:szCs w:val="21"/>
                    </w:rPr>
                  </w:pPr>
                  <w:r>
                    <w:rPr>
                      <w:color w:val="auto"/>
                      <w:szCs w:val="21"/>
                    </w:rPr>
                    <w:t>NH</w:t>
                  </w:r>
                  <w:r>
                    <w:rPr>
                      <w:color w:val="auto"/>
                      <w:szCs w:val="21"/>
                      <w:vertAlign w:val="subscript"/>
                    </w:rPr>
                    <w:t>3</w:t>
                  </w:r>
                  <w:r>
                    <w:rPr>
                      <w:color w:val="auto"/>
                      <w:szCs w:val="21"/>
                    </w:rPr>
                    <w:t>-N</w:t>
                  </w:r>
                </w:p>
              </w:tc>
              <w:tc>
                <w:tcPr>
                  <w:tcW w:w="2870" w:type="dxa"/>
                  <w:vMerge w:val="continue"/>
                  <w:tcBorders>
                    <w:tl2br w:val="nil"/>
                    <w:tr2bl w:val="nil"/>
                  </w:tcBorders>
                  <w:shd w:val="clear" w:color="auto" w:fill="auto"/>
                  <w:vAlign w:val="center"/>
                </w:tcPr>
                <w:p>
                  <w:pPr>
                    <w:tabs>
                      <w:tab w:val="left" w:pos="3435"/>
                    </w:tabs>
                    <w:spacing w:line="240" w:lineRule="auto"/>
                    <w:ind w:firstLine="0" w:firstLineChars="0"/>
                    <w:rPr>
                      <w:color w:val="auto"/>
                      <w:szCs w:val="21"/>
                      <w:lang w:bidi="ar"/>
                    </w:rPr>
                  </w:pPr>
                </w:p>
              </w:tc>
              <w:tc>
                <w:tcPr>
                  <w:tcW w:w="2085" w:type="dxa"/>
                  <w:tcBorders>
                    <w:tl2br w:val="nil"/>
                    <w:tr2bl w:val="nil"/>
                  </w:tcBorders>
                  <w:vAlign w:val="center"/>
                </w:tcPr>
                <w:p>
                  <w:pPr>
                    <w:autoSpaceDE w:val="0"/>
                    <w:spacing w:line="240" w:lineRule="auto"/>
                    <w:ind w:firstLine="0" w:firstLineChars="0"/>
                    <w:jc w:val="center"/>
                    <w:rPr>
                      <w:color w:val="auto"/>
                      <w:szCs w:val="21"/>
                    </w:rPr>
                  </w:pPr>
                  <w:r>
                    <w:rPr>
                      <w:color w:val="auto"/>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6" w:type="dxa"/>
                  <w:vMerge w:val="continue"/>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p>
              </w:tc>
              <w:tc>
                <w:tcPr>
                  <w:tcW w:w="1446" w:type="dxa"/>
                  <w:vMerge w:val="continue"/>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p>
              </w:tc>
              <w:tc>
                <w:tcPr>
                  <w:tcW w:w="1694" w:type="dxa"/>
                  <w:tcBorders>
                    <w:tl2br w:val="nil"/>
                    <w:tr2bl w:val="nil"/>
                  </w:tcBorders>
                  <w:vAlign w:val="center"/>
                </w:tcPr>
                <w:p>
                  <w:pPr>
                    <w:widowControl/>
                    <w:spacing w:line="240" w:lineRule="auto"/>
                    <w:ind w:firstLine="0" w:firstLineChars="0"/>
                    <w:jc w:val="center"/>
                    <w:outlineLvl w:val="0"/>
                    <w:rPr>
                      <w:color w:val="auto"/>
                      <w:szCs w:val="21"/>
                    </w:rPr>
                  </w:pPr>
                  <w:r>
                    <w:rPr>
                      <w:color w:val="auto"/>
                      <w:szCs w:val="21"/>
                    </w:rPr>
                    <w:t>粪大肠菌群</w:t>
                  </w:r>
                </w:p>
              </w:tc>
              <w:tc>
                <w:tcPr>
                  <w:tcW w:w="2870" w:type="dxa"/>
                  <w:vMerge w:val="continue"/>
                  <w:tcBorders>
                    <w:tl2br w:val="nil"/>
                    <w:tr2bl w:val="nil"/>
                  </w:tcBorders>
                  <w:vAlign w:val="center"/>
                </w:tcPr>
                <w:p>
                  <w:pPr>
                    <w:pStyle w:val="23"/>
                    <w:spacing w:line="240" w:lineRule="auto"/>
                    <w:ind w:firstLine="0" w:firstLineChars="0"/>
                    <w:rPr>
                      <w:rFonts w:ascii="Times New Roman" w:hAnsi="Times New Roman" w:cs="Times New Roman"/>
                      <w:color w:val="auto"/>
                    </w:rPr>
                  </w:pPr>
                </w:p>
              </w:tc>
              <w:tc>
                <w:tcPr>
                  <w:tcW w:w="2085" w:type="dxa"/>
                  <w:tcBorders>
                    <w:tl2br w:val="nil"/>
                    <w:tr2bl w:val="nil"/>
                  </w:tcBorders>
                  <w:shd w:val="clear" w:color="auto" w:fill="auto"/>
                  <w:vAlign w:val="center"/>
                </w:tcPr>
                <w:p>
                  <w:pPr>
                    <w:autoSpaceDE w:val="0"/>
                    <w:spacing w:line="240" w:lineRule="auto"/>
                    <w:ind w:firstLine="0" w:firstLineChars="0"/>
                    <w:jc w:val="center"/>
                    <w:rPr>
                      <w:color w:val="auto"/>
                      <w:szCs w:val="21"/>
                    </w:rPr>
                  </w:pPr>
                  <w:r>
                    <w:rPr>
                      <w:color w:val="auto"/>
                      <w:szCs w:val="21"/>
                    </w:rPr>
                    <w:t>5000个/L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6" w:type="dxa"/>
                  <w:vMerge w:val="continue"/>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p>
              </w:tc>
              <w:tc>
                <w:tcPr>
                  <w:tcW w:w="1446" w:type="dxa"/>
                  <w:vMerge w:val="continue"/>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p>
              </w:tc>
              <w:tc>
                <w:tcPr>
                  <w:tcW w:w="1694" w:type="dxa"/>
                  <w:tcBorders>
                    <w:tl2br w:val="nil"/>
                    <w:tr2bl w:val="nil"/>
                  </w:tcBorders>
                  <w:vAlign w:val="center"/>
                </w:tcPr>
                <w:p>
                  <w:pPr>
                    <w:widowControl/>
                    <w:spacing w:line="240" w:lineRule="auto"/>
                    <w:ind w:firstLine="0" w:firstLineChars="0"/>
                    <w:jc w:val="center"/>
                    <w:outlineLvl w:val="0"/>
                    <w:rPr>
                      <w:color w:val="auto"/>
                      <w:szCs w:val="21"/>
                    </w:rPr>
                  </w:pPr>
                  <w:r>
                    <w:rPr>
                      <w:color w:val="auto"/>
                      <w:szCs w:val="21"/>
                    </w:rPr>
                    <w:t>LAS</w:t>
                  </w:r>
                </w:p>
              </w:tc>
              <w:tc>
                <w:tcPr>
                  <w:tcW w:w="2870" w:type="dxa"/>
                  <w:vMerge w:val="continue"/>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p>
              </w:tc>
              <w:tc>
                <w:tcPr>
                  <w:tcW w:w="2085" w:type="dxa"/>
                  <w:tcBorders>
                    <w:tl2br w:val="nil"/>
                    <w:tr2bl w:val="nil"/>
                  </w:tcBorders>
                  <w:vAlign w:val="center"/>
                </w:tcPr>
                <w:p>
                  <w:pPr>
                    <w:autoSpaceDE w:val="0"/>
                    <w:spacing w:line="240" w:lineRule="auto"/>
                    <w:ind w:firstLine="0" w:firstLineChars="0"/>
                    <w:jc w:val="center"/>
                    <w:rPr>
                      <w:color w:val="auto"/>
                      <w:szCs w:val="21"/>
                    </w:rPr>
                  </w:pPr>
                  <w:r>
                    <w:rPr>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6" w:type="dxa"/>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2</w:t>
                  </w:r>
                </w:p>
              </w:tc>
              <w:tc>
                <w:tcPr>
                  <w:tcW w:w="1446" w:type="dxa"/>
                  <w:tcBorders>
                    <w:tl2br w:val="nil"/>
                    <w:tr2bl w:val="nil"/>
                  </w:tcBorders>
                  <w:shd w:val="clear" w:color="auto" w:fill="auto"/>
                  <w:vAlign w:val="center"/>
                </w:tcPr>
                <w:p>
                  <w:pPr>
                    <w:pStyle w:val="23"/>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医疗废水预处理设施出水口</w:t>
                  </w:r>
                </w:p>
              </w:tc>
              <w:tc>
                <w:tcPr>
                  <w:tcW w:w="1694" w:type="dxa"/>
                  <w:tcBorders>
                    <w:tl2br w:val="nil"/>
                    <w:tr2bl w:val="nil"/>
                  </w:tcBorders>
                  <w:vAlign w:val="center"/>
                </w:tcPr>
                <w:p>
                  <w:pPr>
                    <w:widowControl/>
                    <w:spacing w:line="240" w:lineRule="auto"/>
                    <w:ind w:firstLine="0" w:firstLineChars="0"/>
                    <w:jc w:val="center"/>
                    <w:outlineLvl w:val="0"/>
                    <w:rPr>
                      <w:color w:val="auto"/>
                      <w:szCs w:val="21"/>
                    </w:rPr>
                  </w:pPr>
                  <w:r>
                    <w:rPr>
                      <w:color w:val="auto"/>
                      <w:szCs w:val="21"/>
                    </w:rPr>
                    <w:t>总余氯</w:t>
                  </w:r>
                </w:p>
              </w:tc>
              <w:tc>
                <w:tcPr>
                  <w:tcW w:w="2870" w:type="dxa"/>
                  <w:tcBorders>
                    <w:tl2br w:val="nil"/>
                    <w:tr2bl w:val="nil"/>
                  </w:tcBorders>
                  <w:shd w:val="clear" w:color="auto" w:fill="auto"/>
                  <w:vAlign w:val="center"/>
                </w:tcPr>
                <w:p>
                  <w:pPr>
                    <w:tabs>
                      <w:tab w:val="left" w:pos="3435"/>
                    </w:tabs>
                    <w:spacing w:line="240" w:lineRule="auto"/>
                    <w:ind w:firstLine="0" w:firstLineChars="0"/>
                    <w:rPr>
                      <w:color w:val="auto"/>
                    </w:rPr>
                  </w:pPr>
                  <w:r>
                    <w:rPr>
                      <w:color w:val="auto"/>
                      <w:szCs w:val="21"/>
                      <w:lang w:bidi="ar"/>
                    </w:rPr>
                    <w:t>《医疗机构水污染物排放标准》（GB18466-2005）预处理标准</w:t>
                  </w:r>
                </w:p>
              </w:tc>
              <w:tc>
                <w:tcPr>
                  <w:tcW w:w="2085" w:type="dxa"/>
                  <w:tcBorders>
                    <w:tl2br w:val="nil"/>
                    <w:tr2bl w:val="nil"/>
                  </w:tcBorders>
                  <w:vAlign w:val="center"/>
                </w:tcPr>
                <w:p>
                  <w:pPr>
                    <w:autoSpaceDE w:val="0"/>
                    <w:spacing w:line="240" w:lineRule="auto"/>
                    <w:ind w:firstLine="0" w:firstLineChars="0"/>
                    <w:jc w:val="center"/>
                    <w:rPr>
                      <w:color w:val="auto"/>
                      <w:szCs w:val="21"/>
                    </w:rPr>
                  </w:pPr>
                  <w:r>
                    <w:rPr>
                      <w:color w:val="auto"/>
                      <w:szCs w:val="21"/>
                    </w:rPr>
                    <w:t>2~8</w:t>
                  </w:r>
                </w:p>
              </w:tc>
            </w:tr>
          </w:tbl>
          <w:p>
            <w:pPr>
              <w:pStyle w:val="2"/>
              <w:adjustRightInd/>
              <w:spacing w:before="120" w:beforeLines="50"/>
              <w:ind w:firstLine="420"/>
              <w:jc w:val="both"/>
              <w:rPr>
                <w:rFonts w:ascii="Times New Roman" w:cs="Times New Roman"/>
                <w:color w:val="auto"/>
                <w:sz w:val="21"/>
                <w:szCs w:val="21"/>
              </w:rPr>
            </w:pPr>
            <w:r>
              <w:rPr>
                <w:rFonts w:ascii="Times New Roman" w:cs="Times New Roman"/>
                <w:color w:val="auto"/>
                <w:sz w:val="21"/>
                <w:szCs w:val="21"/>
              </w:rPr>
              <w:t>4）废水污染物排放信息表</w:t>
            </w:r>
          </w:p>
          <w:p>
            <w:pPr>
              <w:pStyle w:val="23"/>
              <w:spacing w:line="240" w:lineRule="auto"/>
              <w:ind w:firstLine="0" w:firstLineChars="0"/>
              <w:jc w:val="center"/>
              <w:rPr>
                <w:rFonts w:ascii="Times New Roman" w:hAnsi="Times New Roman" w:cs="Times New Roman"/>
                <w:b/>
                <w:bCs/>
                <w:color w:val="auto"/>
              </w:rPr>
            </w:pPr>
            <w:r>
              <w:rPr>
                <w:rFonts w:ascii="Times New Roman" w:hAnsi="Times New Roman" w:cs="Times New Roman"/>
                <w:b/>
                <w:bCs/>
                <w:color w:val="auto"/>
              </w:rPr>
              <w:t>表4-6  废水污染物排放信息表</w:t>
            </w:r>
          </w:p>
          <w:tbl>
            <w:tblPr>
              <w:tblStyle w:val="40"/>
              <w:tblW w:w="8803"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21"/>
              <w:gridCol w:w="1430"/>
              <w:gridCol w:w="1528"/>
              <w:gridCol w:w="2044"/>
              <w:gridCol w:w="1567"/>
              <w:gridCol w:w="16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621" w:type="dxa"/>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序号</w:t>
                  </w:r>
                </w:p>
              </w:tc>
              <w:tc>
                <w:tcPr>
                  <w:tcW w:w="1430" w:type="dxa"/>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排放口编号</w:t>
                  </w:r>
                </w:p>
              </w:tc>
              <w:tc>
                <w:tcPr>
                  <w:tcW w:w="1528" w:type="dxa"/>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污染物种类</w:t>
                  </w:r>
                </w:p>
              </w:tc>
              <w:tc>
                <w:tcPr>
                  <w:tcW w:w="2044" w:type="dxa"/>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排放浓度/（mg/L）</w:t>
                  </w:r>
                </w:p>
              </w:tc>
              <w:tc>
                <w:tcPr>
                  <w:tcW w:w="1567" w:type="dxa"/>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日排放量（t/d）</w:t>
                  </w:r>
                </w:p>
              </w:tc>
              <w:tc>
                <w:tcPr>
                  <w:tcW w:w="1613" w:type="dxa"/>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年排放量/（t/a）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621" w:type="dxa"/>
                  <w:vMerge w:val="restart"/>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1</w:t>
                  </w:r>
                </w:p>
              </w:tc>
              <w:tc>
                <w:tcPr>
                  <w:tcW w:w="1430" w:type="dxa"/>
                  <w:vMerge w:val="restart"/>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DW001</w:t>
                  </w:r>
                </w:p>
              </w:tc>
              <w:tc>
                <w:tcPr>
                  <w:tcW w:w="1528" w:type="dxa"/>
                  <w:tcBorders>
                    <w:tl2br w:val="nil"/>
                    <w:tr2bl w:val="nil"/>
                  </w:tcBorders>
                  <w:vAlign w:val="center"/>
                </w:tcPr>
                <w:p>
                  <w:pPr>
                    <w:widowControl/>
                    <w:spacing w:line="240" w:lineRule="auto"/>
                    <w:ind w:firstLine="0" w:firstLineChars="0"/>
                    <w:jc w:val="center"/>
                    <w:rPr>
                      <w:color w:val="auto"/>
                      <w:szCs w:val="21"/>
                    </w:rPr>
                  </w:pPr>
                  <w:r>
                    <w:rPr>
                      <w:color w:val="auto"/>
                      <w:szCs w:val="21"/>
                    </w:rPr>
                    <w:t>pH</w:t>
                  </w:r>
                </w:p>
              </w:tc>
              <w:tc>
                <w:tcPr>
                  <w:tcW w:w="2044" w:type="dxa"/>
                  <w:tcBorders>
                    <w:tl2br w:val="nil"/>
                    <w:tr2bl w:val="nil"/>
                  </w:tcBorders>
                  <w:shd w:val="clear" w:color="auto" w:fill="auto"/>
                  <w:vAlign w:val="center"/>
                </w:tcPr>
                <w:p>
                  <w:pPr>
                    <w:autoSpaceDE w:val="0"/>
                    <w:spacing w:line="240" w:lineRule="auto"/>
                    <w:ind w:firstLine="0" w:firstLineChars="0"/>
                    <w:jc w:val="center"/>
                    <w:rPr>
                      <w:color w:val="auto"/>
                      <w:szCs w:val="21"/>
                    </w:rPr>
                  </w:pPr>
                  <w:r>
                    <w:rPr>
                      <w:color w:val="auto"/>
                      <w:szCs w:val="21"/>
                    </w:rPr>
                    <w:t>6~9（无量纲）</w:t>
                  </w:r>
                </w:p>
              </w:tc>
              <w:tc>
                <w:tcPr>
                  <w:tcW w:w="1567" w:type="dxa"/>
                  <w:tcBorders>
                    <w:tl2br w:val="nil"/>
                    <w:tr2bl w:val="nil"/>
                  </w:tcBorders>
                  <w:shd w:val="clear" w:color="auto" w:fill="auto"/>
                  <w:vAlign w:val="center"/>
                </w:tcPr>
                <w:p>
                  <w:pPr>
                    <w:pStyle w:val="22"/>
                    <w:spacing w:after="0" w:line="240" w:lineRule="auto"/>
                    <w:ind w:left="0" w:leftChars="0" w:firstLine="0" w:firstLineChars="0"/>
                    <w:jc w:val="center"/>
                    <w:rPr>
                      <w:color w:val="auto"/>
                      <w:sz w:val="21"/>
                      <w:szCs w:val="21"/>
                    </w:rPr>
                  </w:pPr>
                  <w:r>
                    <w:rPr>
                      <w:color w:val="auto"/>
                      <w:sz w:val="21"/>
                      <w:szCs w:val="21"/>
                    </w:rPr>
                    <w:t>/</w:t>
                  </w:r>
                </w:p>
              </w:tc>
              <w:tc>
                <w:tcPr>
                  <w:tcW w:w="1613" w:type="dxa"/>
                  <w:tcBorders>
                    <w:tl2br w:val="nil"/>
                    <w:tr2bl w:val="nil"/>
                  </w:tcBorders>
                  <w:shd w:val="clear" w:color="auto" w:fill="auto"/>
                  <w:vAlign w:val="center"/>
                </w:tcPr>
                <w:p>
                  <w:pPr>
                    <w:pStyle w:val="22"/>
                    <w:spacing w:after="0" w:line="240" w:lineRule="auto"/>
                    <w:ind w:left="0" w:leftChars="0" w:firstLine="0" w:firstLineChars="0"/>
                    <w:jc w:val="center"/>
                    <w:rPr>
                      <w:color w:val="auto"/>
                      <w:sz w:val="21"/>
                      <w:szCs w:val="21"/>
                    </w:rPr>
                  </w:pPr>
                  <w:r>
                    <w:rPr>
                      <w:color w:val="auto"/>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621" w:type="dxa"/>
                  <w:vMerge w:val="continue"/>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p>
              </w:tc>
              <w:tc>
                <w:tcPr>
                  <w:tcW w:w="1430" w:type="dxa"/>
                  <w:vMerge w:val="continue"/>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p>
              </w:tc>
              <w:tc>
                <w:tcPr>
                  <w:tcW w:w="1528" w:type="dxa"/>
                  <w:tcBorders>
                    <w:tl2br w:val="nil"/>
                    <w:tr2bl w:val="nil"/>
                  </w:tcBorders>
                  <w:vAlign w:val="center"/>
                </w:tcPr>
                <w:p>
                  <w:pPr>
                    <w:widowControl/>
                    <w:spacing w:line="240" w:lineRule="auto"/>
                    <w:ind w:firstLine="0" w:firstLineChars="0"/>
                    <w:jc w:val="center"/>
                    <w:rPr>
                      <w:color w:val="auto"/>
                      <w:szCs w:val="21"/>
                    </w:rPr>
                  </w:pPr>
                  <w:r>
                    <w:rPr>
                      <w:color w:val="auto"/>
                      <w:szCs w:val="21"/>
                    </w:rPr>
                    <w:t>COD</w:t>
                  </w:r>
                </w:p>
              </w:tc>
              <w:tc>
                <w:tcPr>
                  <w:tcW w:w="2044" w:type="dxa"/>
                  <w:tcBorders>
                    <w:tl2br w:val="nil"/>
                    <w:tr2bl w:val="nil"/>
                  </w:tcBorders>
                  <w:shd w:val="clear" w:color="auto" w:fill="auto"/>
                  <w:vAlign w:val="center"/>
                </w:tcPr>
                <w:p>
                  <w:pPr>
                    <w:autoSpaceDE w:val="0"/>
                    <w:spacing w:line="240" w:lineRule="auto"/>
                    <w:ind w:firstLine="0" w:firstLineChars="0"/>
                    <w:jc w:val="center"/>
                    <w:rPr>
                      <w:color w:val="auto"/>
                      <w:szCs w:val="21"/>
                    </w:rPr>
                  </w:pPr>
                  <w:r>
                    <w:rPr>
                      <w:color w:val="auto"/>
                      <w:szCs w:val="21"/>
                    </w:rPr>
                    <w:t>500</w:t>
                  </w:r>
                </w:p>
              </w:tc>
              <w:tc>
                <w:tcPr>
                  <w:tcW w:w="1567" w:type="dxa"/>
                  <w:tcBorders>
                    <w:tl2br w:val="nil"/>
                    <w:tr2bl w:val="nil"/>
                  </w:tcBorders>
                  <w:shd w:val="clear" w:color="auto" w:fill="auto"/>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0.00056</w:t>
                  </w:r>
                </w:p>
              </w:tc>
              <w:tc>
                <w:tcPr>
                  <w:tcW w:w="1613" w:type="dxa"/>
                  <w:tcBorders>
                    <w:tl2br w:val="nil"/>
                    <w:tr2bl w:val="nil"/>
                  </w:tcBorders>
                  <w:shd w:val="clear" w:color="auto" w:fill="auto"/>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0.203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621" w:type="dxa"/>
                  <w:vMerge w:val="continue"/>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p>
              </w:tc>
              <w:tc>
                <w:tcPr>
                  <w:tcW w:w="1430" w:type="dxa"/>
                  <w:vMerge w:val="continue"/>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p>
              </w:tc>
              <w:tc>
                <w:tcPr>
                  <w:tcW w:w="1528" w:type="dxa"/>
                  <w:tcBorders>
                    <w:tl2br w:val="nil"/>
                    <w:tr2bl w:val="nil"/>
                  </w:tcBorders>
                  <w:vAlign w:val="center"/>
                </w:tcPr>
                <w:p>
                  <w:pPr>
                    <w:widowControl/>
                    <w:spacing w:line="240" w:lineRule="auto"/>
                    <w:ind w:firstLine="0" w:firstLineChars="0"/>
                    <w:jc w:val="center"/>
                    <w:rPr>
                      <w:color w:val="auto"/>
                      <w:szCs w:val="21"/>
                      <w:vertAlign w:val="subscript"/>
                    </w:rPr>
                  </w:pPr>
                  <w:r>
                    <w:rPr>
                      <w:color w:val="auto"/>
                      <w:szCs w:val="21"/>
                    </w:rPr>
                    <w:t>BOD</w:t>
                  </w:r>
                  <w:r>
                    <w:rPr>
                      <w:color w:val="auto"/>
                      <w:szCs w:val="21"/>
                      <w:vertAlign w:val="subscript"/>
                    </w:rPr>
                    <w:t>5</w:t>
                  </w:r>
                </w:p>
              </w:tc>
              <w:tc>
                <w:tcPr>
                  <w:tcW w:w="2044" w:type="dxa"/>
                  <w:tcBorders>
                    <w:tl2br w:val="nil"/>
                    <w:tr2bl w:val="nil"/>
                  </w:tcBorders>
                  <w:shd w:val="clear" w:color="auto" w:fill="auto"/>
                  <w:vAlign w:val="center"/>
                </w:tcPr>
                <w:p>
                  <w:pPr>
                    <w:autoSpaceDE w:val="0"/>
                    <w:spacing w:line="240" w:lineRule="auto"/>
                    <w:ind w:firstLine="0" w:firstLineChars="0"/>
                    <w:jc w:val="center"/>
                    <w:rPr>
                      <w:color w:val="auto"/>
                      <w:szCs w:val="21"/>
                    </w:rPr>
                  </w:pPr>
                  <w:r>
                    <w:rPr>
                      <w:color w:val="auto"/>
                      <w:szCs w:val="21"/>
                    </w:rPr>
                    <w:t>300</w:t>
                  </w:r>
                </w:p>
              </w:tc>
              <w:tc>
                <w:tcPr>
                  <w:tcW w:w="1567" w:type="dxa"/>
                  <w:tcBorders>
                    <w:tl2br w:val="nil"/>
                    <w:tr2bl w:val="nil"/>
                  </w:tcBorders>
                  <w:shd w:val="clear" w:color="auto" w:fill="auto"/>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0.00037</w:t>
                  </w:r>
                </w:p>
              </w:tc>
              <w:tc>
                <w:tcPr>
                  <w:tcW w:w="1613" w:type="dxa"/>
                  <w:tcBorders>
                    <w:tl2br w:val="nil"/>
                    <w:tr2bl w:val="nil"/>
                  </w:tcBorders>
                  <w:shd w:val="clear" w:color="auto" w:fill="auto"/>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0.136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621"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430"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528" w:type="dxa"/>
                  <w:tcBorders>
                    <w:tl2br w:val="nil"/>
                    <w:tr2bl w:val="nil"/>
                  </w:tcBorders>
                  <w:vAlign w:val="center"/>
                </w:tcPr>
                <w:p>
                  <w:pPr>
                    <w:widowControl/>
                    <w:spacing w:line="240" w:lineRule="auto"/>
                    <w:ind w:firstLine="0" w:firstLineChars="0"/>
                    <w:jc w:val="center"/>
                    <w:rPr>
                      <w:color w:val="auto"/>
                      <w:szCs w:val="21"/>
                    </w:rPr>
                  </w:pPr>
                  <w:r>
                    <w:rPr>
                      <w:color w:val="auto"/>
                      <w:szCs w:val="21"/>
                    </w:rPr>
                    <w:t>SS</w:t>
                  </w:r>
                </w:p>
              </w:tc>
              <w:tc>
                <w:tcPr>
                  <w:tcW w:w="2044" w:type="dxa"/>
                  <w:tcBorders>
                    <w:tl2br w:val="nil"/>
                    <w:tr2bl w:val="nil"/>
                  </w:tcBorders>
                  <w:shd w:val="clear" w:color="auto" w:fill="auto"/>
                  <w:vAlign w:val="center"/>
                </w:tcPr>
                <w:p>
                  <w:pPr>
                    <w:autoSpaceDE w:val="0"/>
                    <w:spacing w:line="240" w:lineRule="auto"/>
                    <w:ind w:firstLine="0" w:firstLineChars="0"/>
                    <w:jc w:val="center"/>
                    <w:rPr>
                      <w:color w:val="auto"/>
                      <w:szCs w:val="21"/>
                    </w:rPr>
                  </w:pPr>
                  <w:r>
                    <w:rPr>
                      <w:color w:val="auto"/>
                      <w:szCs w:val="21"/>
                    </w:rPr>
                    <w:t>400</w:t>
                  </w:r>
                </w:p>
              </w:tc>
              <w:tc>
                <w:tcPr>
                  <w:tcW w:w="1567" w:type="dxa"/>
                  <w:tcBorders>
                    <w:tl2br w:val="nil"/>
                    <w:tr2bl w:val="nil"/>
                  </w:tcBorders>
                  <w:shd w:val="clear" w:color="auto" w:fill="auto"/>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0.00037</w:t>
                  </w:r>
                </w:p>
              </w:tc>
              <w:tc>
                <w:tcPr>
                  <w:tcW w:w="1613" w:type="dxa"/>
                  <w:tcBorders>
                    <w:tl2br w:val="nil"/>
                    <w:tr2bl w:val="nil"/>
                  </w:tcBorders>
                  <w:shd w:val="clear" w:color="auto" w:fill="auto"/>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0.136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621"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430"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528" w:type="dxa"/>
                  <w:tcBorders>
                    <w:tl2br w:val="nil"/>
                    <w:tr2bl w:val="nil"/>
                  </w:tcBorders>
                  <w:shd w:val="clear" w:color="auto" w:fill="auto"/>
                  <w:vAlign w:val="center"/>
                </w:tcPr>
                <w:p>
                  <w:pPr>
                    <w:widowControl/>
                    <w:spacing w:line="240" w:lineRule="auto"/>
                    <w:ind w:firstLine="0" w:firstLineChars="0"/>
                    <w:jc w:val="center"/>
                    <w:rPr>
                      <w:color w:val="auto"/>
                      <w:szCs w:val="21"/>
                    </w:rPr>
                  </w:pPr>
                  <w:r>
                    <w:rPr>
                      <w:color w:val="auto"/>
                      <w:szCs w:val="21"/>
                    </w:rPr>
                    <w:t>NH</w:t>
                  </w:r>
                  <w:r>
                    <w:rPr>
                      <w:color w:val="auto"/>
                      <w:szCs w:val="21"/>
                      <w:vertAlign w:val="subscript"/>
                    </w:rPr>
                    <w:t>3</w:t>
                  </w:r>
                  <w:r>
                    <w:rPr>
                      <w:color w:val="auto"/>
                      <w:szCs w:val="21"/>
                    </w:rPr>
                    <w:t>-N</w:t>
                  </w:r>
                </w:p>
              </w:tc>
              <w:tc>
                <w:tcPr>
                  <w:tcW w:w="2044" w:type="dxa"/>
                  <w:tcBorders>
                    <w:tl2br w:val="nil"/>
                    <w:tr2bl w:val="nil"/>
                  </w:tcBorders>
                  <w:shd w:val="clear" w:color="auto" w:fill="auto"/>
                  <w:vAlign w:val="center"/>
                </w:tcPr>
                <w:p>
                  <w:pPr>
                    <w:autoSpaceDE w:val="0"/>
                    <w:spacing w:line="240" w:lineRule="auto"/>
                    <w:ind w:firstLine="0" w:firstLineChars="0"/>
                    <w:jc w:val="center"/>
                    <w:rPr>
                      <w:color w:val="auto"/>
                      <w:szCs w:val="21"/>
                    </w:rPr>
                  </w:pPr>
                  <w:r>
                    <w:rPr>
                      <w:color w:val="auto"/>
                      <w:szCs w:val="21"/>
                    </w:rPr>
                    <w:t>45</w:t>
                  </w:r>
                </w:p>
              </w:tc>
              <w:tc>
                <w:tcPr>
                  <w:tcW w:w="1567" w:type="dxa"/>
                  <w:tcBorders>
                    <w:tl2br w:val="nil"/>
                    <w:tr2bl w:val="nil"/>
                  </w:tcBorders>
                  <w:shd w:val="clear" w:color="auto" w:fill="auto"/>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0.00005</w:t>
                  </w:r>
                </w:p>
              </w:tc>
              <w:tc>
                <w:tcPr>
                  <w:tcW w:w="1613" w:type="dxa"/>
                  <w:tcBorders>
                    <w:tl2br w:val="nil"/>
                    <w:tr2bl w:val="nil"/>
                  </w:tcBorders>
                  <w:shd w:val="clear" w:color="auto" w:fill="auto"/>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621"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430"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528" w:type="dxa"/>
                  <w:tcBorders>
                    <w:tl2br w:val="nil"/>
                    <w:tr2bl w:val="nil"/>
                  </w:tcBorders>
                  <w:shd w:val="clear" w:color="auto" w:fill="auto"/>
                  <w:vAlign w:val="center"/>
                </w:tcPr>
                <w:p>
                  <w:pPr>
                    <w:widowControl/>
                    <w:spacing w:line="240" w:lineRule="auto"/>
                    <w:ind w:firstLine="0" w:firstLineChars="0"/>
                    <w:jc w:val="center"/>
                    <w:outlineLvl w:val="0"/>
                    <w:rPr>
                      <w:color w:val="auto"/>
                      <w:szCs w:val="21"/>
                    </w:rPr>
                  </w:pPr>
                  <w:r>
                    <w:rPr>
                      <w:color w:val="auto"/>
                      <w:szCs w:val="21"/>
                    </w:rPr>
                    <w:t>粪大肠菌群</w:t>
                  </w:r>
                </w:p>
              </w:tc>
              <w:tc>
                <w:tcPr>
                  <w:tcW w:w="2044" w:type="dxa"/>
                  <w:tcBorders>
                    <w:tl2br w:val="nil"/>
                    <w:tr2bl w:val="nil"/>
                  </w:tcBorders>
                  <w:shd w:val="clear" w:color="auto" w:fill="auto"/>
                  <w:vAlign w:val="center"/>
                </w:tcPr>
                <w:p>
                  <w:pPr>
                    <w:autoSpaceDE w:val="0"/>
                    <w:spacing w:line="240" w:lineRule="auto"/>
                    <w:ind w:firstLine="0" w:firstLineChars="0"/>
                    <w:jc w:val="center"/>
                    <w:rPr>
                      <w:color w:val="auto"/>
                      <w:szCs w:val="21"/>
                    </w:rPr>
                  </w:pPr>
                  <w:r>
                    <w:rPr>
                      <w:color w:val="auto"/>
                      <w:szCs w:val="21"/>
                    </w:rPr>
                    <w:t>5000个/L</w:t>
                  </w:r>
                </w:p>
              </w:tc>
              <w:tc>
                <w:tcPr>
                  <w:tcW w:w="1567" w:type="dxa"/>
                  <w:tcBorders>
                    <w:tl2br w:val="nil"/>
                    <w:tr2bl w:val="nil"/>
                  </w:tcBorders>
                  <w:shd w:val="clear" w:color="auto" w:fill="auto"/>
                  <w:vAlign w:val="center"/>
                </w:tcPr>
                <w:p>
                  <w:pPr>
                    <w:pStyle w:val="22"/>
                    <w:spacing w:after="0" w:line="240" w:lineRule="auto"/>
                    <w:ind w:left="0" w:leftChars="0" w:firstLine="0" w:firstLineChars="0"/>
                    <w:jc w:val="center"/>
                    <w:rPr>
                      <w:color w:val="auto"/>
                      <w:sz w:val="21"/>
                      <w:szCs w:val="21"/>
                    </w:rPr>
                  </w:pPr>
                  <w:r>
                    <w:rPr>
                      <w:rFonts w:hint="eastAsia" w:eastAsia="等线"/>
                      <w:color w:val="auto"/>
                      <w:sz w:val="21"/>
                      <w:szCs w:val="21"/>
                    </w:rPr>
                    <w:t>6.19</w:t>
                  </w:r>
                  <w:r>
                    <w:rPr>
                      <w:color w:val="auto"/>
                      <w:sz w:val="21"/>
                      <w:szCs w:val="21"/>
                    </w:rPr>
                    <w:t>×10</w:t>
                  </w:r>
                  <w:r>
                    <w:rPr>
                      <w:color w:val="auto"/>
                      <w:sz w:val="21"/>
                      <w:szCs w:val="21"/>
                      <w:vertAlign w:val="superscript"/>
                    </w:rPr>
                    <w:t>6</w:t>
                  </w:r>
                  <w:r>
                    <w:rPr>
                      <w:color w:val="auto"/>
                      <w:sz w:val="21"/>
                      <w:szCs w:val="21"/>
                    </w:rPr>
                    <w:t>个</w:t>
                  </w:r>
                </w:p>
              </w:tc>
              <w:tc>
                <w:tcPr>
                  <w:tcW w:w="1613" w:type="dxa"/>
                  <w:tcBorders>
                    <w:tl2br w:val="nil"/>
                    <w:tr2bl w:val="nil"/>
                  </w:tcBorders>
                  <w:shd w:val="clear" w:color="auto" w:fill="auto"/>
                  <w:vAlign w:val="center"/>
                </w:tcPr>
                <w:p>
                  <w:pPr>
                    <w:pStyle w:val="22"/>
                    <w:spacing w:after="0" w:line="240" w:lineRule="auto"/>
                    <w:ind w:left="0" w:leftChars="0" w:firstLine="0" w:firstLineChars="0"/>
                    <w:jc w:val="center"/>
                    <w:rPr>
                      <w:color w:val="auto"/>
                      <w:sz w:val="21"/>
                      <w:szCs w:val="21"/>
                    </w:rPr>
                  </w:pPr>
                  <w:r>
                    <w:rPr>
                      <w:color w:val="auto"/>
                      <w:sz w:val="21"/>
                      <w:szCs w:val="21"/>
                    </w:rPr>
                    <w:t>2.</w:t>
                  </w:r>
                  <w:r>
                    <w:rPr>
                      <w:rFonts w:hint="eastAsia"/>
                      <w:color w:val="auto"/>
                      <w:sz w:val="21"/>
                      <w:szCs w:val="21"/>
                    </w:rPr>
                    <w:t>26</w:t>
                  </w:r>
                  <w:r>
                    <w:rPr>
                      <w:color w:val="auto"/>
                      <w:sz w:val="21"/>
                      <w:szCs w:val="21"/>
                    </w:rPr>
                    <w:t>×10</w:t>
                  </w:r>
                  <w:r>
                    <w:rPr>
                      <w:color w:val="auto"/>
                      <w:sz w:val="21"/>
                      <w:szCs w:val="21"/>
                      <w:vertAlign w:val="superscript"/>
                    </w:rPr>
                    <w:t>9</w:t>
                  </w:r>
                  <w:r>
                    <w:rPr>
                      <w:color w:val="auto"/>
                      <w:sz w:val="21"/>
                      <w:szCs w:val="21"/>
                    </w:rPr>
                    <w:t>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621"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430" w:type="dxa"/>
                  <w:vMerge w:val="continue"/>
                  <w:tcBorders>
                    <w:tl2br w:val="nil"/>
                    <w:tr2bl w:val="nil"/>
                  </w:tcBorders>
                  <w:vAlign w:val="center"/>
                </w:tcPr>
                <w:p>
                  <w:pPr>
                    <w:widowControl/>
                    <w:spacing w:line="240" w:lineRule="auto"/>
                    <w:ind w:firstLine="0" w:firstLineChars="0"/>
                    <w:jc w:val="center"/>
                    <w:rPr>
                      <w:color w:val="auto"/>
                      <w:szCs w:val="21"/>
                    </w:rPr>
                  </w:pPr>
                </w:p>
              </w:tc>
              <w:tc>
                <w:tcPr>
                  <w:tcW w:w="1528" w:type="dxa"/>
                  <w:tcBorders>
                    <w:tl2br w:val="nil"/>
                    <w:tr2bl w:val="nil"/>
                  </w:tcBorders>
                  <w:shd w:val="clear" w:color="auto" w:fill="auto"/>
                  <w:vAlign w:val="center"/>
                </w:tcPr>
                <w:p>
                  <w:pPr>
                    <w:widowControl/>
                    <w:spacing w:line="240" w:lineRule="auto"/>
                    <w:ind w:firstLine="0" w:firstLineChars="0"/>
                    <w:jc w:val="center"/>
                    <w:outlineLvl w:val="0"/>
                    <w:rPr>
                      <w:color w:val="auto"/>
                      <w:szCs w:val="21"/>
                    </w:rPr>
                  </w:pPr>
                  <w:r>
                    <w:rPr>
                      <w:color w:val="auto"/>
                      <w:szCs w:val="21"/>
                    </w:rPr>
                    <w:t>LAS</w:t>
                  </w:r>
                </w:p>
              </w:tc>
              <w:tc>
                <w:tcPr>
                  <w:tcW w:w="2044" w:type="dxa"/>
                  <w:tcBorders>
                    <w:tl2br w:val="nil"/>
                    <w:tr2bl w:val="nil"/>
                  </w:tcBorders>
                  <w:shd w:val="clear" w:color="auto" w:fill="auto"/>
                  <w:vAlign w:val="center"/>
                </w:tcPr>
                <w:p>
                  <w:pPr>
                    <w:autoSpaceDE w:val="0"/>
                    <w:spacing w:line="240" w:lineRule="auto"/>
                    <w:ind w:firstLine="0" w:firstLineChars="0"/>
                    <w:jc w:val="center"/>
                    <w:rPr>
                      <w:color w:val="auto"/>
                      <w:szCs w:val="21"/>
                    </w:rPr>
                  </w:pPr>
                  <w:r>
                    <w:rPr>
                      <w:color w:val="auto"/>
                      <w:szCs w:val="21"/>
                    </w:rPr>
                    <w:t>20</w:t>
                  </w:r>
                </w:p>
              </w:tc>
              <w:tc>
                <w:tcPr>
                  <w:tcW w:w="1567" w:type="dxa"/>
                  <w:tcBorders>
                    <w:tl2br w:val="nil"/>
                    <w:tr2bl w:val="nil"/>
                  </w:tcBorders>
                  <w:shd w:val="clear" w:color="auto" w:fill="auto"/>
                  <w:vAlign w:val="center"/>
                </w:tcPr>
                <w:p>
                  <w:pPr>
                    <w:pStyle w:val="22"/>
                    <w:spacing w:after="0" w:line="240" w:lineRule="auto"/>
                    <w:ind w:left="0" w:leftChars="0" w:firstLine="0" w:firstLineChars="0"/>
                    <w:jc w:val="center"/>
                    <w:rPr>
                      <w:rFonts w:eastAsia="等线"/>
                      <w:color w:val="auto"/>
                      <w:sz w:val="21"/>
                      <w:szCs w:val="21"/>
                    </w:rPr>
                  </w:pPr>
                  <w:r>
                    <w:rPr>
                      <w:rFonts w:eastAsia="等线"/>
                      <w:color w:val="auto"/>
                      <w:sz w:val="21"/>
                      <w:szCs w:val="21"/>
                    </w:rPr>
                    <w:t>0.0000</w:t>
                  </w:r>
                  <w:r>
                    <w:rPr>
                      <w:rFonts w:hint="eastAsia" w:eastAsia="等线"/>
                      <w:color w:val="auto"/>
                      <w:sz w:val="21"/>
                      <w:szCs w:val="21"/>
                    </w:rPr>
                    <w:t>2</w:t>
                  </w:r>
                </w:p>
              </w:tc>
              <w:tc>
                <w:tcPr>
                  <w:tcW w:w="1613" w:type="dxa"/>
                  <w:tcBorders>
                    <w:tl2br w:val="nil"/>
                    <w:tr2bl w:val="nil"/>
                  </w:tcBorders>
                  <w:shd w:val="clear" w:color="auto" w:fill="auto"/>
                  <w:vAlign w:val="center"/>
                </w:tcPr>
                <w:p>
                  <w:pPr>
                    <w:pStyle w:val="22"/>
                    <w:spacing w:after="0" w:line="240" w:lineRule="auto"/>
                    <w:ind w:left="0" w:leftChars="0" w:firstLine="0" w:firstLineChars="0"/>
                    <w:jc w:val="center"/>
                    <w:rPr>
                      <w:color w:val="auto"/>
                      <w:sz w:val="21"/>
                      <w:szCs w:val="21"/>
                    </w:rPr>
                  </w:pPr>
                  <w:r>
                    <w:rPr>
                      <w:color w:val="auto"/>
                      <w:sz w:val="21"/>
                      <w:szCs w:val="21"/>
                    </w:rPr>
                    <w:t>0.0</w:t>
                  </w:r>
                  <w:r>
                    <w:rPr>
                      <w:rFonts w:hint="eastAsia"/>
                      <w:color w:val="auto"/>
                      <w:sz w:val="21"/>
                      <w:szCs w:val="21"/>
                    </w:rPr>
                    <w:t>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2051" w:type="dxa"/>
                  <w:gridSpan w:val="2"/>
                  <w:vMerge w:val="restart"/>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全厂排放口合计</w:t>
                  </w:r>
                </w:p>
              </w:tc>
              <w:tc>
                <w:tcPr>
                  <w:tcW w:w="5139" w:type="dxa"/>
                  <w:gridSpan w:val="3"/>
                  <w:tcBorders>
                    <w:tl2br w:val="nil"/>
                    <w:tr2bl w:val="nil"/>
                  </w:tcBorders>
                  <w:vAlign w:val="center"/>
                </w:tcPr>
                <w:p>
                  <w:pPr>
                    <w:widowControl/>
                    <w:spacing w:line="240" w:lineRule="auto"/>
                    <w:ind w:firstLine="0" w:firstLineChars="0"/>
                    <w:jc w:val="center"/>
                    <w:rPr>
                      <w:color w:val="auto"/>
                      <w:szCs w:val="21"/>
                    </w:rPr>
                  </w:pPr>
                  <w:r>
                    <w:rPr>
                      <w:color w:val="auto"/>
                      <w:szCs w:val="21"/>
                    </w:rPr>
                    <w:t>pH</w:t>
                  </w:r>
                </w:p>
              </w:tc>
              <w:tc>
                <w:tcPr>
                  <w:tcW w:w="1613"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2051" w:type="dxa"/>
                  <w:gridSpan w:val="2"/>
                  <w:vMerge w:val="continue"/>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p>
              </w:tc>
              <w:tc>
                <w:tcPr>
                  <w:tcW w:w="5139" w:type="dxa"/>
                  <w:gridSpan w:val="3"/>
                  <w:tcBorders>
                    <w:tl2br w:val="nil"/>
                    <w:tr2bl w:val="nil"/>
                  </w:tcBorders>
                  <w:vAlign w:val="center"/>
                </w:tcPr>
                <w:p>
                  <w:pPr>
                    <w:widowControl/>
                    <w:spacing w:line="240" w:lineRule="auto"/>
                    <w:ind w:firstLine="0" w:firstLineChars="0"/>
                    <w:jc w:val="center"/>
                    <w:rPr>
                      <w:color w:val="auto"/>
                      <w:szCs w:val="21"/>
                    </w:rPr>
                  </w:pPr>
                  <w:r>
                    <w:rPr>
                      <w:color w:val="auto"/>
                      <w:szCs w:val="21"/>
                    </w:rPr>
                    <w:t>COD</w:t>
                  </w:r>
                </w:p>
              </w:tc>
              <w:tc>
                <w:tcPr>
                  <w:tcW w:w="1613"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0.203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2051" w:type="dxa"/>
                  <w:gridSpan w:val="2"/>
                  <w:vMerge w:val="continue"/>
                  <w:tcBorders>
                    <w:tl2br w:val="nil"/>
                    <w:tr2bl w:val="nil"/>
                  </w:tcBorders>
                  <w:vAlign w:val="center"/>
                </w:tcPr>
                <w:p>
                  <w:pPr>
                    <w:pStyle w:val="23"/>
                    <w:spacing w:line="240" w:lineRule="auto"/>
                    <w:ind w:firstLine="0" w:firstLineChars="0"/>
                    <w:jc w:val="center"/>
                    <w:rPr>
                      <w:rFonts w:ascii="Times New Roman" w:hAnsi="Times New Roman" w:cs="Times New Roman"/>
                      <w:color w:val="auto"/>
                    </w:rPr>
                  </w:pPr>
                </w:p>
              </w:tc>
              <w:tc>
                <w:tcPr>
                  <w:tcW w:w="5139" w:type="dxa"/>
                  <w:gridSpan w:val="3"/>
                  <w:tcBorders>
                    <w:tl2br w:val="nil"/>
                    <w:tr2bl w:val="nil"/>
                  </w:tcBorders>
                  <w:vAlign w:val="center"/>
                </w:tcPr>
                <w:p>
                  <w:pPr>
                    <w:widowControl/>
                    <w:spacing w:line="240" w:lineRule="auto"/>
                    <w:ind w:firstLine="0" w:firstLineChars="0"/>
                    <w:jc w:val="center"/>
                    <w:rPr>
                      <w:color w:val="auto"/>
                      <w:szCs w:val="21"/>
                      <w:vertAlign w:val="subscript"/>
                    </w:rPr>
                  </w:pPr>
                  <w:r>
                    <w:rPr>
                      <w:color w:val="auto"/>
                      <w:szCs w:val="21"/>
                    </w:rPr>
                    <w:t>BOD</w:t>
                  </w:r>
                  <w:r>
                    <w:rPr>
                      <w:color w:val="auto"/>
                      <w:szCs w:val="21"/>
                      <w:vertAlign w:val="subscript"/>
                    </w:rPr>
                    <w:t>5</w:t>
                  </w:r>
                </w:p>
              </w:tc>
              <w:tc>
                <w:tcPr>
                  <w:tcW w:w="1613"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0.136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2051" w:type="dxa"/>
                  <w:gridSpan w:val="2"/>
                  <w:vMerge w:val="continue"/>
                  <w:tcBorders>
                    <w:tl2br w:val="nil"/>
                    <w:tr2bl w:val="nil"/>
                  </w:tcBorders>
                  <w:vAlign w:val="center"/>
                </w:tcPr>
                <w:p>
                  <w:pPr>
                    <w:widowControl/>
                    <w:spacing w:line="240" w:lineRule="auto"/>
                    <w:ind w:firstLine="0" w:firstLineChars="0"/>
                    <w:jc w:val="center"/>
                    <w:rPr>
                      <w:color w:val="auto"/>
                      <w:szCs w:val="21"/>
                    </w:rPr>
                  </w:pPr>
                </w:p>
              </w:tc>
              <w:tc>
                <w:tcPr>
                  <w:tcW w:w="5139" w:type="dxa"/>
                  <w:gridSpan w:val="3"/>
                  <w:tcBorders>
                    <w:tl2br w:val="nil"/>
                    <w:tr2bl w:val="nil"/>
                  </w:tcBorders>
                  <w:vAlign w:val="center"/>
                </w:tcPr>
                <w:p>
                  <w:pPr>
                    <w:widowControl/>
                    <w:spacing w:line="240" w:lineRule="auto"/>
                    <w:ind w:firstLine="0" w:firstLineChars="0"/>
                    <w:jc w:val="center"/>
                    <w:rPr>
                      <w:color w:val="auto"/>
                      <w:szCs w:val="21"/>
                    </w:rPr>
                  </w:pPr>
                  <w:r>
                    <w:rPr>
                      <w:color w:val="auto"/>
                      <w:szCs w:val="21"/>
                    </w:rPr>
                    <w:t>SS</w:t>
                  </w:r>
                </w:p>
              </w:tc>
              <w:tc>
                <w:tcPr>
                  <w:tcW w:w="1613"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0.136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2051" w:type="dxa"/>
                  <w:gridSpan w:val="2"/>
                  <w:vMerge w:val="continue"/>
                  <w:tcBorders>
                    <w:tl2br w:val="nil"/>
                    <w:tr2bl w:val="nil"/>
                  </w:tcBorders>
                  <w:vAlign w:val="center"/>
                </w:tcPr>
                <w:p>
                  <w:pPr>
                    <w:widowControl/>
                    <w:spacing w:line="240" w:lineRule="auto"/>
                    <w:ind w:firstLine="0" w:firstLineChars="0"/>
                    <w:jc w:val="center"/>
                    <w:rPr>
                      <w:color w:val="auto"/>
                      <w:szCs w:val="21"/>
                    </w:rPr>
                  </w:pPr>
                </w:p>
              </w:tc>
              <w:tc>
                <w:tcPr>
                  <w:tcW w:w="5139" w:type="dxa"/>
                  <w:gridSpan w:val="3"/>
                  <w:tcBorders>
                    <w:tl2br w:val="nil"/>
                    <w:tr2bl w:val="nil"/>
                  </w:tcBorders>
                  <w:vAlign w:val="center"/>
                </w:tcPr>
                <w:p>
                  <w:pPr>
                    <w:widowControl/>
                    <w:spacing w:line="240" w:lineRule="auto"/>
                    <w:ind w:firstLine="0" w:firstLineChars="0"/>
                    <w:jc w:val="center"/>
                    <w:rPr>
                      <w:color w:val="auto"/>
                      <w:szCs w:val="21"/>
                    </w:rPr>
                  </w:pPr>
                  <w:r>
                    <w:rPr>
                      <w:color w:val="auto"/>
                      <w:szCs w:val="21"/>
                    </w:rPr>
                    <w:t>NH</w:t>
                  </w:r>
                  <w:r>
                    <w:rPr>
                      <w:color w:val="auto"/>
                      <w:szCs w:val="21"/>
                      <w:vertAlign w:val="subscript"/>
                    </w:rPr>
                    <w:t>3</w:t>
                  </w:r>
                  <w:r>
                    <w:rPr>
                      <w:color w:val="auto"/>
                      <w:szCs w:val="21"/>
                    </w:rPr>
                    <w:t>-N</w:t>
                  </w:r>
                </w:p>
              </w:tc>
              <w:tc>
                <w:tcPr>
                  <w:tcW w:w="1613"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rFonts w:hint="eastAsia"/>
                      <w:color w:val="auto"/>
                      <w:sz w:val="21"/>
                      <w:szCs w:val="21"/>
                    </w:rPr>
                    <w:t>0.02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2051" w:type="dxa"/>
                  <w:gridSpan w:val="2"/>
                  <w:vMerge w:val="continue"/>
                  <w:tcBorders>
                    <w:tl2br w:val="nil"/>
                    <w:tr2bl w:val="nil"/>
                  </w:tcBorders>
                  <w:vAlign w:val="center"/>
                </w:tcPr>
                <w:p>
                  <w:pPr>
                    <w:widowControl/>
                    <w:spacing w:line="240" w:lineRule="auto"/>
                    <w:ind w:firstLine="0" w:firstLineChars="0"/>
                    <w:jc w:val="center"/>
                    <w:rPr>
                      <w:color w:val="auto"/>
                      <w:szCs w:val="21"/>
                    </w:rPr>
                  </w:pPr>
                </w:p>
              </w:tc>
              <w:tc>
                <w:tcPr>
                  <w:tcW w:w="5139" w:type="dxa"/>
                  <w:gridSpan w:val="3"/>
                  <w:tcBorders>
                    <w:tl2br w:val="nil"/>
                    <w:tr2bl w:val="nil"/>
                  </w:tcBorders>
                  <w:vAlign w:val="center"/>
                </w:tcPr>
                <w:p>
                  <w:pPr>
                    <w:widowControl/>
                    <w:spacing w:line="240" w:lineRule="auto"/>
                    <w:ind w:firstLine="0" w:firstLineChars="0"/>
                    <w:jc w:val="center"/>
                    <w:rPr>
                      <w:color w:val="auto"/>
                      <w:szCs w:val="21"/>
                    </w:rPr>
                  </w:pPr>
                  <w:r>
                    <w:rPr>
                      <w:color w:val="auto"/>
                      <w:szCs w:val="21"/>
                    </w:rPr>
                    <w:t>粪大肠菌群</w:t>
                  </w:r>
                </w:p>
              </w:tc>
              <w:tc>
                <w:tcPr>
                  <w:tcW w:w="1613"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2.</w:t>
                  </w:r>
                  <w:r>
                    <w:rPr>
                      <w:rFonts w:hint="eastAsia"/>
                      <w:color w:val="auto"/>
                      <w:sz w:val="21"/>
                      <w:szCs w:val="21"/>
                    </w:rPr>
                    <w:t>26</w:t>
                  </w:r>
                  <w:r>
                    <w:rPr>
                      <w:color w:val="auto"/>
                      <w:sz w:val="21"/>
                      <w:szCs w:val="21"/>
                    </w:rPr>
                    <w:t>×10</w:t>
                  </w:r>
                  <w:r>
                    <w:rPr>
                      <w:color w:val="auto"/>
                      <w:sz w:val="21"/>
                      <w:szCs w:val="21"/>
                      <w:vertAlign w:val="superscript"/>
                    </w:rPr>
                    <w:t>9</w:t>
                  </w:r>
                  <w:r>
                    <w:rPr>
                      <w:color w:val="auto"/>
                      <w:sz w:val="21"/>
                      <w:szCs w:val="21"/>
                    </w:rPr>
                    <w:t>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2051" w:type="dxa"/>
                  <w:gridSpan w:val="2"/>
                  <w:vMerge w:val="continue"/>
                  <w:tcBorders>
                    <w:tl2br w:val="nil"/>
                    <w:tr2bl w:val="nil"/>
                  </w:tcBorders>
                  <w:vAlign w:val="center"/>
                </w:tcPr>
                <w:p>
                  <w:pPr>
                    <w:widowControl/>
                    <w:spacing w:line="240" w:lineRule="auto"/>
                    <w:ind w:firstLine="0" w:firstLineChars="0"/>
                    <w:jc w:val="center"/>
                    <w:rPr>
                      <w:color w:val="auto"/>
                      <w:szCs w:val="21"/>
                    </w:rPr>
                  </w:pPr>
                </w:p>
              </w:tc>
              <w:tc>
                <w:tcPr>
                  <w:tcW w:w="5139" w:type="dxa"/>
                  <w:gridSpan w:val="3"/>
                  <w:tcBorders>
                    <w:tl2br w:val="nil"/>
                    <w:tr2bl w:val="nil"/>
                  </w:tcBorders>
                  <w:vAlign w:val="center"/>
                </w:tcPr>
                <w:p>
                  <w:pPr>
                    <w:widowControl/>
                    <w:spacing w:line="240" w:lineRule="auto"/>
                    <w:ind w:firstLine="0" w:firstLineChars="0"/>
                    <w:jc w:val="center"/>
                    <w:rPr>
                      <w:color w:val="auto"/>
                      <w:szCs w:val="21"/>
                    </w:rPr>
                  </w:pPr>
                  <w:r>
                    <w:rPr>
                      <w:color w:val="auto"/>
                      <w:szCs w:val="21"/>
                    </w:rPr>
                    <w:t>LAS</w:t>
                  </w:r>
                </w:p>
              </w:tc>
              <w:tc>
                <w:tcPr>
                  <w:tcW w:w="1613" w:type="dxa"/>
                  <w:tcBorders>
                    <w:tl2br w:val="nil"/>
                    <w:tr2bl w:val="nil"/>
                  </w:tcBorders>
                  <w:vAlign w:val="center"/>
                </w:tcPr>
                <w:p>
                  <w:pPr>
                    <w:pStyle w:val="22"/>
                    <w:spacing w:after="0" w:line="240" w:lineRule="auto"/>
                    <w:ind w:left="0" w:leftChars="0" w:firstLine="0" w:firstLineChars="0"/>
                    <w:jc w:val="center"/>
                    <w:rPr>
                      <w:color w:val="auto"/>
                      <w:sz w:val="21"/>
                      <w:szCs w:val="21"/>
                    </w:rPr>
                  </w:pPr>
                  <w:r>
                    <w:rPr>
                      <w:color w:val="auto"/>
                      <w:sz w:val="21"/>
                      <w:szCs w:val="21"/>
                    </w:rPr>
                    <w:t>0.0</w:t>
                  </w:r>
                  <w:r>
                    <w:rPr>
                      <w:rFonts w:hint="eastAsia"/>
                      <w:color w:val="auto"/>
                      <w:sz w:val="21"/>
                      <w:szCs w:val="21"/>
                    </w:rPr>
                    <w:t>09</w:t>
                  </w:r>
                </w:p>
              </w:tc>
            </w:tr>
          </w:tbl>
          <w:p>
            <w:pPr>
              <w:spacing w:before="120" w:beforeLines="50"/>
              <w:ind w:firstLine="422"/>
              <w:rPr>
                <w:b/>
                <w:color w:val="auto"/>
              </w:rPr>
            </w:pPr>
            <w:r>
              <w:rPr>
                <w:b/>
                <w:color w:val="auto"/>
              </w:rPr>
              <w:t>（3）监测要求</w:t>
            </w:r>
          </w:p>
          <w:p>
            <w:pPr>
              <w:pStyle w:val="234"/>
              <w:adjustRightInd/>
              <w:snapToGrid/>
              <w:spacing w:before="0" w:beforeLines="0" w:line="360" w:lineRule="auto"/>
              <w:ind w:firstLine="420"/>
              <w:jc w:val="both"/>
              <w:rPr>
                <w:b w:val="0"/>
                <w:color w:val="auto"/>
              </w:rPr>
            </w:pPr>
            <w:r>
              <w:rPr>
                <w:rFonts w:hint="eastAsia"/>
                <w:b w:val="0"/>
                <w:color w:val="auto"/>
              </w:rPr>
              <w:t>本项目污废水排入招商锦星汇已建生化池进行处理，该生化池的管理及维护均由招商局物业管理有限公司重庆分公司承担。</w:t>
            </w:r>
          </w:p>
          <w:p>
            <w:pPr>
              <w:pStyle w:val="234"/>
              <w:adjustRightInd/>
              <w:snapToGrid/>
              <w:spacing w:before="0" w:beforeLines="0" w:line="360" w:lineRule="auto"/>
              <w:ind w:firstLine="420"/>
              <w:jc w:val="both"/>
              <w:rPr>
                <w:b w:val="0"/>
                <w:color w:val="auto"/>
              </w:rPr>
            </w:pPr>
            <w:r>
              <w:rPr>
                <w:rFonts w:hint="eastAsia"/>
                <w:b w:val="0"/>
                <w:color w:val="auto"/>
              </w:rPr>
              <w:t>宠物医院尚未发布排污许可技术规范及自行监测指南，故项目参照《排污许可证申请与核发技术规范 医疗机构》及《医疗机构水污染物排放标准》（GB 18466-2005）4.1.3规定“县级以下或20张床位以下的综合医疗机构和其他所有医疗机构污水经消毒后方可排放”，按照该标准项目不需要对废水排放口水质进行监控。本项目医疗废水经医疗废水预处理设施预处理后排入招商锦星汇小区生化池进行处理，环保责任主体为招商局物业管理有限公司重庆分公司，同时本项目污废水产生量小，对生化池的冲击不大，故项目对生化池不作监测要求。</w:t>
            </w:r>
          </w:p>
          <w:p>
            <w:pPr>
              <w:pStyle w:val="234"/>
              <w:adjustRightInd/>
              <w:snapToGrid/>
              <w:spacing w:before="0" w:beforeLines="0" w:line="360" w:lineRule="auto"/>
              <w:ind w:firstLine="420"/>
              <w:jc w:val="both"/>
              <w:rPr>
                <w:b w:val="0"/>
                <w:color w:val="auto"/>
                <w:lang w:val="zh-CN"/>
              </w:rPr>
            </w:pPr>
            <w:r>
              <w:rPr>
                <w:rFonts w:hint="eastAsia"/>
                <w:b w:val="0"/>
                <w:color w:val="auto"/>
              </w:rPr>
              <w:t>为配合余氯的监督性监测和确保项目消毒设施处理效果，对医疗废水预处理设施出水总余氯排放限值进行控制，参考《排污单位自行监测技术指南 总则》（HJ819-2017）有关规定，本项目废水监测要求如下：</w:t>
            </w:r>
          </w:p>
          <w:p>
            <w:pPr>
              <w:pStyle w:val="234"/>
              <w:adjustRightInd/>
              <w:snapToGrid/>
              <w:spacing w:before="120"/>
              <w:ind w:firstLine="0" w:firstLineChars="0"/>
              <w:rPr>
                <w:bCs/>
                <w:color w:val="auto"/>
                <w:lang w:val="zh-CN"/>
              </w:rPr>
            </w:pPr>
            <w:r>
              <w:rPr>
                <w:bCs/>
                <w:color w:val="auto"/>
                <w:lang w:val="zh-CN"/>
              </w:rPr>
              <w:t>表4-</w:t>
            </w:r>
            <w:r>
              <w:rPr>
                <w:bCs/>
                <w:color w:val="auto"/>
              </w:rPr>
              <w:t>7</w:t>
            </w:r>
            <w:r>
              <w:rPr>
                <w:bCs/>
                <w:color w:val="auto"/>
                <w:lang w:val="zh-CN"/>
              </w:rPr>
              <w:t xml:space="preserve">   监测点位、监测因子及监测频率一览表</w:t>
            </w:r>
          </w:p>
          <w:tbl>
            <w:tblPr>
              <w:tblStyle w:val="40"/>
              <w:tblW w:w="8809"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99"/>
              <w:gridCol w:w="1647"/>
              <w:gridCol w:w="2036"/>
              <w:gridCol w:w="32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899" w:type="dxa"/>
                  <w:tcBorders>
                    <w:tl2br w:val="nil"/>
                    <w:tr2bl w:val="nil"/>
                  </w:tcBorders>
                  <w:vAlign w:val="center"/>
                </w:tcPr>
                <w:p>
                  <w:pPr>
                    <w:pStyle w:val="242"/>
                    <w:adjustRightInd/>
                    <w:snapToGrid/>
                    <w:jc w:val="center"/>
                    <w:rPr>
                      <w:color w:val="auto"/>
                    </w:rPr>
                  </w:pPr>
                  <w:r>
                    <w:rPr>
                      <w:color w:val="auto"/>
                    </w:rPr>
                    <w:t>监测点位</w:t>
                  </w:r>
                </w:p>
              </w:tc>
              <w:tc>
                <w:tcPr>
                  <w:tcW w:w="1647" w:type="dxa"/>
                  <w:tcBorders>
                    <w:tl2br w:val="nil"/>
                    <w:tr2bl w:val="nil"/>
                  </w:tcBorders>
                  <w:vAlign w:val="center"/>
                </w:tcPr>
                <w:p>
                  <w:pPr>
                    <w:pStyle w:val="242"/>
                    <w:adjustRightInd/>
                    <w:snapToGrid/>
                    <w:jc w:val="center"/>
                    <w:rPr>
                      <w:color w:val="auto"/>
                    </w:rPr>
                  </w:pPr>
                  <w:r>
                    <w:rPr>
                      <w:color w:val="auto"/>
                    </w:rPr>
                    <w:t>监测项目</w:t>
                  </w:r>
                </w:p>
              </w:tc>
              <w:tc>
                <w:tcPr>
                  <w:tcW w:w="2036" w:type="dxa"/>
                  <w:tcBorders>
                    <w:tl2br w:val="nil"/>
                    <w:tr2bl w:val="nil"/>
                  </w:tcBorders>
                  <w:vAlign w:val="center"/>
                </w:tcPr>
                <w:p>
                  <w:pPr>
                    <w:pStyle w:val="242"/>
                    <w:adjustRightInd/>
                    <w:snapToGrid/>
                    <w:jc w:val="center"/>
                    <w:rPr>
                      <w:color w:val="auto"/>
                    </w:rPr>
                  </w:pPr>
                  <w:r>
                    <w:rPr>
                      <w:color w:val="auto"/>
                    </w:rPr>
                    <w:t>监测频率</w:t>
                  </w:r>
                </w:p>
              </w:tc>
              <w:tc>
                <w:tcPr>
                  <w:tcW w:w="3227" w:type="dxa"/>
                  <w:tcBorders>
                    <w:tl2br w:val="nil"/>
                    <w:tr2bl w:val="nil"/>
                  </w:tcBorders>
                  <w:vAlign w:val="center"/>
                </w:tcPr>
                <w:p>
                  <w:pPr>
                    <w:pStyle w:val="242"/>
                    <w:adjustRightInd/>
                    <w:snapToGrid/>
                    <w:jc w:val="center"/>
                    <w:rPr>
                      <w:color w:val="auto"/>
                    </w:rPr>
                  </w:pPr>
                  <w:r>
                    <w:rPr>
                      <w:color w:val="auto"/>
                    </w:rPr>
                    <w:t>执行标准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899" w:type="dxa"/>
                  <w:tcBorders>
                    <w:tl2br w:val="nil"/>
                    <w:tr2bl w:val="nil"/>
                  </w:tcBorders>
                  <w:vAlign w:val="center"/>
                </w:tcPr>
                <w:p>
                  <w:pPr>
                    <w:pStyle w:val="242"/>
                    <w:adjustRightInd/>
                    <w:snapToGrid/>
                    <w:jc w:val="center"/>
                    <w:rPr>
                      <w:color w:val="auto"/>
                    </w:rPr>
                  </w:pPr>
                  <w:r>
                    <w:rPr>
                      <w:color w:val="auto"/>
                    </w:rPr>
                    <w:t>医疗废水预处理设施出水口</w:t>
                  </w:r>
                </w:p>
              </w:tc>
              <w:tc>
                <w:tcPr>
                  <w:tcW w:w="1647" w:type="dxa"/>
                  <w:tcBorders>
                    <w:tl2br w:val="nil"/>
                    <w:tr2bl w:val="nil"/>
                  </w:tcBorders>
                  <w:vAlign w:val="center"/>
                </w:tcPr>
                <w:p>
                  <w:pPr>
                    <w:pStyle w:val="242"/>
                    <w:adjustRightInd/>
                    <w:snapToGrid/>
                    <w:jc w:val="center"/>
                    <w:rPr>
                      <w:color w:val="auto"/>
                    </w:rPr>
                  </w:pPr>
                  <w:r>
                    <w:rPr>
                      <w:color w:val="auto"/>
                      <w:kern w:val="0"/>
                    </w:rPr>
                    <w:t>总余氯</w:t>
                  </w:r>
                </w:p>
              </w:tc>
              <w:tc>
                <w:tcPr>
                  <w:tcW w:w="2036" w:type="dxa"/>
                  <w:tcBorders>
                    <w:tl2br w:val="nil"/>
                    <w:tr2bl w:val="nil"/>
                  </w:tcBorders>
                  <w:vAlign w:val="center"/>
                </w:tcPr>
                <w:p>
                  <w:pPr>
                    <w:pStyle w:val="242"/>
                    <w:adjustRightInd/>
                    <w:snapToGrid/>
                    <w:rPr>
                      <w:color w:val="auto"/>
                    </w:rPr>
                  </w:pPr>
                  <w:r>
                    <w:rPr>
                      <w:color w:val="auto"/>
                    </w:rPr>
                    <w:t>验收时监测1次</w:t>
                  </w:r>
                </w:p>
              </w:tc>
              <w:tc>
                <w:tcPr>
                  <w:tcW w:w="3227" w:type="dxa"/>
                  <w:tcBorders>
                    <w:tl2br w:val="nil"/>
                    <w:tr2bl w:val="nil"/>
                  </w:tcBorders>
                  <w:shd w:val="clear" w:color="auto" w:fill="auto"/>
                  <w:vAlign w:val="center"/>
                </w:tcPr>
                <w:p>
                  <w:pPr>
                    <w:pStyle w:val="242"/>
                    <w:adjustRightInd/>
                    <w:snapToGrid/>
                    <w:rPr>
                      <w:color w:val="auto"/>
                      <w:szCs w:val="21"/>
                    </w:rPr>
                  </w:pPr>
                  <w:r>
                    <w:rPr>
                      <w:color w:val="auto"/>
                      <w:kern w:val="0"/>
                    </w:rPr>
                    <w:t>《医疗机构水污染物排放标准》（GB18466-2005）预处理标准</w:t>
                  </w:r>
                </w:p>
              </w:tc>
            </w:tr>
          </w:tbl>
          <w:p>
            <w:pPr>
              <w:spacing w:before="120" w:beforeLines="50"/>
              <w:ind w:firstLine="422"/>
              <w:rPr>
                <w:b/>
                <w:color w:val="auto"/>
              </w:rPr>
            </w:pPr>
            <w:r>
              <w:rPr>
                <w:b/>
                <w:color w:val="auto"/>
              </w:rPr>
              <w:t>（4）污水处理设施依托可行性分析</w:t>
            </w:r>
          </w:p>
          <w:p>
            <w:pPr>
              <w:ind w:firstLine="420"/>
              <w:rPr>
                <w:color w:val="auto"/>
                <w:szCs w:val="21"/>
              </w:rPr>
            </w:pPr>
            <w:r>
              <w:rPr>
                <w:rFonts w:hint="eastAsia" w:ascii="宋体" w:hAnsi="宋体" w:cs="宋体"/>
                <w:color w:val="auto"/>
                <w:szCs w:val="21"/>
                <w:lang w:eastAsia="ja-JP"/>
              </w:rPr>
              <w:t>①</w:t>
            </w:r>
            <w:r>
              <w:rPr>
                <w:color w:val="auto"/>
                <w:szCs w:val="21"/>
              </w:rPr>
              <w:t>废水处理措施可行性分析</w:t>
            </w:r>
          </w:p>
          <w:p>
            <w:pPr>
              <w:ind w:firstLine="420"/>
              <w:rPr>
                <w:color w:val="auto"/>
                <w:szCs w:val="21"/>
              </w:rPr>
            </w:pPr>
            <w:r>
              <w:rPr>
                <w:color w:val="auto"/>
                <w:szCs w:val="21"/>
              </w:rPr>
              <w:t>本项目废水主要包括医疗废水、生活污水、洗浴废水，主要污染因子为COD、BOD</w:t>
            </w:r>
            <w:r>
              <w:rPr>
                <w:color w:val="auto"/>
                <w:szCs w:val="21"/>
                <w:vertAlign w:val="subscript"/>
              </w:rPr>
              <w:t>5</w:t>
            </w:r>
            <w:r>
              <w:rPr>
                <w:color w:val="auto"/>
                <w:szCs w:val="21"/>
              </w:rPr>
              <w:t>、NH</w:t>
            </w:r>
            <w:r>
              <w:rPr>
                <w:color w:val="auto"/>
                <w:szCs w:val="21"/>
                <w:vertAlign w:val="subscript"/>
              </w:rPr>
              <w:t>3</w:t>
            </w:r>
            <w:r>
              <w:rPr>
                <w:color w:val="auto"/>
                <w:szCs w:val="21"/>
              </w:rPr>
              <w:t>-N、SS、粪大肠菌群等。项目设</w:t>
            </w:r>
            <w:r>
              <w:rPr>
                <w:color w:val="auto"/>
                <w:szCs w:val="21"/>
                <w:highlight w:val="none"/>
              </w:rPr>
              <w:t>置1</w:t>
            </w:r>
            <w:r>
              <w:rPr>
                <w:rFonts w:hint="eastAsia"/>
                <w:color w:val="auto"/>
                <w:szCs w:val="21"/>
                <w:highlight w:val="none"/>
              </w:rPr>
              <w:t>套</w:t>
            </w:r>
            <w:r>
              <w:rPr>
                <w:color w:val="auto"/>
                <w:szCs w:val="21"/>
                <w:highlight w:val="none"/>
              </w:rPr>
              <w:t>医疗废</w:t>
            </w:r>
            <w:r>
              <w:rPr>
                <w:color w:val="auto"/>
                <w:szCs w:val="21"/>
              </w:rPr>
              <w:t>水预处理设施（设计处理能力0.</w:t>
            </w:r>
            <w:r>
              <w:rPr>
                <w:rFonts w:hint="eastAsia"/>
                <w:color w:val="auto"/>
                <w:szCs w:val="21"/>
              </w:rPr>
              <w:t>5</w:t>
            </w:r>
            <w:r>
              <w:rPr>
                <w:color w:val="auto"/>
                <w:szCs w:val="21"/>
              </w:rPr>
              <w:t>m</w:t>
            </w:r>
            <w:r>
              <w:rPr>
                <w:color w:val="auto"/>
                <w:szCs w:val="21"/>
                <w:vertAlign w:val="superscript"/>
              </w:rPr>
              <w:t>3</w:t>
            </w:r>
            <w:r>
              <w:rPr>
                <w:color w:val="auto"/>
                <w:szCs w:val="21"/>
              </w:rPr>
              <w:t>/d），医疗废水产生量为0.</w:t>
            </w:r>
            <w:r>
              <w:rPr>
                <w:rFonts w:hint="eastAsia"/>
                <w:color w:val="auto"/>
                <w:szCs w:val="21"/>
              </w:rPr>
              <w:t>176</w:t>
            </w:r>
            <w:r>
              <w:rPr>
                <w:color w:val="auto"/>
                <w:szCs w:val="21"/>
              </w:rPr>
              <w:t>m</w:t>
            </w:r>
            <w:r>
              <w:rPr>
                <w:color w:val="auto"/>
                <w:szCs w:val="21"/>
                <w:vertAlign w:val="superscript"/>
              </w:rPr>
              <w:t>3</w:t>
            </w:r>
            <w:r>
              <w:rPr>
                <w:color w:val="auto"/>
                <w:szCs w:val="21"/>
              </w:rPr>
              <w:t>/d，处理能力足够。医疗废水经二氧化氯消毒处理（总余氯达《医疗机构水污染物排放标准》（GB18466-2005）中预处理标准）后与其他污水一起进入生化池处理达《污水综合排放标准》（GB8978-1996）三级标准后接入市政污水管网排至</w:t>
            </w:r>
            <w:r>
              <w:rPr>
                <w:color w:val="auto"/>
              </w:rPr>
              <w:t>唐家沱污水处理厂</w:t>
            </w:r>
            <w:r>
              <w:rPr>
                <w:color w:val="auto"/>
                <w:szCs w:val="21"/>
              </w:rPr>
              <w:t>深度处理。</w:t>
            </w:r>
          </w:p>
          <w:p>
            <w:pPr>
              <w:ind w:firstLine="420"/>
              <w:rPr>
                <w:color w:val="auto"/>
                <w:szCs w:val="21"/>
              </w:rPr>
            </w:pPr>
            <w:r>
              <w:rPr>
                <w:color w:val="auto"/>
                <w:szCs w:val="21"/>
              </w:rPr>
              <w:t>参照《医疗机构水污染物排放标准》（GB18466-2005）4.1.3“县级以下或20张床位以下的综合医疗机构和其他所有医疗机构污水经消毒后方可排放”规定，医疗废水需经消毒处理之后方可外排。消毒是医疗废水处理的重要工艺过程，其目的是杀灭污水中的各种致病菌，本项目采用二氧化氯进行消毒，二氧化氯具有较强的氧化和杀菌作用，其作用机理是对细胞壁有较强的吸附和穿透能力，放出原子氧将细胞内的含巯基的酶氧化起到杀菌作用。</w:t>
            </w:r>
          </w:p>
          <w:p>
            <w:pPr>
              <w:ind w:firstLine="420"/>
              <w:rPr>
                <w:color w:val="auto"/>
                <w:szCs w:val="21"/>
              </w:rPr>
            </w:pPr>
            <w:r>
              <w:rPr>
                <w:color w:val="auto"/>
                <w:szCs w:val="21"/>
              </w:rPr>
              <w:t>综上，项目选用的废水处理方式成熟，满足要求。</w:t>
            </w:r>
          </w:p>
          <w:p>
            <w:pPr>
              <w:ind w:firstLine="420"/>
              <w:rPr>
                <w:color w:val="auto"/>
                <w:szCs w:val="21"/>
              </w:rPr>
            </w:pPr>
            <w:r>
              <w:rPr>
                <w:color w:val="auto"/>
                <w:szCs w:val="21"/>
              </w:rPr>
              <w:t>废水处理流程图见下图4-2。</w:t>
            </w:r>
          </w:p>
          <w:p>
            <w:pPr>
              <w:ind w:firstLine="0" w:firstLineChars="0"/>
              <w:jc w:val="center"/>
              <w:rPr>
                <w:color w:val="auto"/>
                <w:szCs w:val="21"/>
              </w:rPr>
            </w:pPr>
            <w:r>
              <w:rPr>
                <w:color w:val="auto"/>
              </w:rPr>
              <w:object>
                <v:shape id="_x0000_i1027" o:spt="75" type="#_x0000_t75" style="height:82.4pt;width:434.1pt;" o:ole="t" filled="f" o:preferrelative="t" stroked="f" coordsize="21600,21600">
                  <v:path/>
                  <v:fill on="f" focussize="0,0"/>
                  <v:stroke on="f" joinstyle="miter"/>
                  <v:imagedata r:id="rId19" o:title=""/>
                  <o:lock v:ext="edit" aspectratio="t"/>
                  <w10:wrap type="none"/>
                  <w10:anchorlock/>
                </v:shape>
                <o:OLEObject Type="Embed" ProgID="Visio.Drawing.11" ShapeID="_x0000_i1027" DrawAspect="Content" ObjectID="_1468075727" r:id="rId18">
                  <o:LockedField>false</o:LockedField>
                </o:OLEObject>
              </w:object>
            </w:r>
          </w:p>
          <w:p>
            <w:pPr>
              <w:pStyle w:val="234"/>
              <w:adjustRightInd/>
              <w:snapToGrid/>
              <w:spacing w:before="120" w:after="120" w:afterLines="50"/>
              <w:ind w:firstLine="0" w:firstLineChars="0"/>
              <w:rPr>
                <w:bCs/>
                <w:color w:val="auto"/>
                <w:u w:val="single"/>
              </w:rPr>
            </w:pPr>
            <w:r>
              <w:rPr>
                <w:bCs/>
                <w:color w:val="auto"/>
                <w:u w:val="single"/>
              </w:rPr>
              <w:t>图4-2   废水处理流程图</w:t>
            </w:r>
          </w:p>
          <w:p>
            <w:pPr>
              <w:ind w:firstLine="420"/>
              <w:rPr>
                <w:rFonts w:eastAsia="MS Mincho"/>
                <w:snapToGrid w:val="0"/>
                <w:color w:val="auto"/>
                <w:szCs w:val="21"/>
                <w:lang w:eastAsia="ja-JP"/>
              </w:rPr>
            </w:pPr>
            <w:r>
              <w:rPr>
                <w:rFonts w:hint="eastAsia" w:ascii="宋体" w:hAnsi="宋体" w:cs="宋体"/>
                <w:snapToGrid w:val="0"/>
                <w:color w:val="auto"/>
                <w:szCs w:val="21"/>
                <w:lang w:eastAsia="ja-JP"/>
              </w:rPr>
              <w:t>②</w:t>
            </w:r>
            <w:r>
              <w:rPr>
                <w:snapToGrid w:val="0"/>
                <w:color w:val="auto"/>
                <w:szCs w:val="21"/>
              </w:rPr>
              <w:t>生化池</w:t>
            </w:r>
            <w:r>
              <w:rPr>
                <w:color w:val="auto"/>
                <w:szCs w:val="21"/>
              </w:rPr>
              <w:t>可行性分析</w:t>
            </w:r>
          </w:p>
          <w:p>
            <w:pPr>
              <w:ind w:firstLine="420"/>
              <w:rPr>
                <w:color w:val="auto"/>
                <w:szCs w:val="21"/>
              </w:rPr>
            </w:pPr>
            <w:r>
              <w:rPr>
                <w:color w:val="auto"/>
                <w:szCs w:val="21"/>
              </w:rPr>
              <w:t>本项目综合废水排放量为1.</w:t>
            </w:r>
            <w:r>
              <w:rPr>
                <w:rFonts w:hint="eastAsia"/>
                <w:color w:val="auto"/>
                <w:szCs w:val="21"/>
              </w:rPr>
              <w:t>238</w:t>
            </w:r>
            <w:r>
              <w:rPr>
                <w:color w:val="auto"/>
                <w:szCs w:val="21"/>
              </w:rPr>
              <w:t>m</w:t>
            </w:r>
            <w:r>
              <w:rPr>
                <w:color w:val="auto"/>
                <w:szCs w:val="21"/>
                <w:vertAlign w:val="superscript"/>
              </w:rPr>
              <w:t>3</w:t>
            </w:r>
            <w:r>
              <w:rPr>
                <w:color w:val="auto"/>
                <w:szCs w:val="21"/>
              </w:rPr>
              <w:t>/d，产生量较小，依托现有排水管网进入</w:t>
            </w:r>
            <w:r>
              <w:rPr>
                <w:rFonts w:hint="eastAsia"/>
                <w:color w:val="auto"/>
                <w:szCs w:val="21"/>
              </w:rPr>
              <w:t>招商锦星汇</w:t>
            </w:r>
            <w:r>
              <w:rPr>
                <w:color w:val="auto"/>
                <w:szCs w:val="21"/>
              </w:rPr>
              <w:t>小区已建生化池，建设生化池时已对整个小区及商铺规划期的排水量进行了估算，生化池剩余处理能力足够，且综合废水消毒后</w:t>
            </w:r>
            <w:r>
              <w:rPr>
                <w:snapToGrid w:val="0"/>
                <w:color w:val="auto"/>
                <w:kern w:val="0"/>
                <w:szCs w:val="21"/>
              </w:rPr>
              <w:t>主要污染物为COD、氨氮，污染物浓度较低，属于</w:t>
            </w:r>
            <w:r>
              <w:rPr>
                <w:color w:val="auto"/>
                <w:szCs w:val="21"/>
              </w:rPr>
              <w:t>易生化类型废水，生化池处理生活污水</w:t>
            </w:r>
            <w:r>
              <w:rPr>
                <w:bCs/>
                <w:color w:val="auto"/>
                <w:szCs w:val="21"/>
              </w:rPr>
              <w:t>是一种成熟可靠的生活污水治理技术，广泛运用于生活生产中，处理后满足</w:t>
            </w:r>
            <w:r>
              <w:rPr>
                <w:color w:val="auto"/>
                <w:szCs w:val="21"/>
              </w:rPr>
              <w:t>《污水综合排放标准》（GB8978-1996）中三级标准要求，治理措施可行。</w:t>
            </w:r>
          </w:p>
          <w:p>
            <w:pPr>
              <w:ind w:firstLine="420"/>
              <w:rPr>
                <w:rFonts w:eastAsia="MS Mincho"/>
                <w:snapToGrid w:val="0"/>
                <w:color w:val="auto"/>
                <w:szCs w:val="21"/>
                <w:lang w:eastAsia="ja-JP"/>
              </w:rPr>
            </w:pPr>
            <w:r>
              <w:rPr>
                <w:snapToGrid w:val="0"/>
                <w:color w:val="auto"/>
                <w:szCs w:val="21"/>
                <w:lang w:eastAsia="ja-JP"/>
              </w:rPr>
              <w:fldChar w:fldCharType="begin"/>
            </w:r>
            <w:r>
              <w:rPr>
                <w:snapToGrid w:val="0"/>
                <w:color w:val="auto"/>
                <w:szCs w:val="21"/>
              </w:rPr>
              <w:instrText xml:space="preserve"> = 3 \* GB3 </w:instrText>
            </w:r>
            <w:r>
              <w:rPr>
                <w:snapToGrid w:val="0"/>
                <w:color w:val="auto"/>
                <w:szCs w:val="21"/>
                <w:lang w:eastAsia="ja-JP"/>
              </w:rPr>
              <w:fldChar w:fldCharType="separate"/>
            </w:r>
            <w:r>
              <w:rPr>
                <w:rFonts w:hint="eastAsia" w:ascii="宋体" w:hAnsi="宋体" w:cs="宋体"/>
                <w:snapToGrid w:val="0"/>
                <w:color w:val="auto"/>
                <w:szCs w:val="21"/>
              </w:rPr>
              <w:t>③</w:t>
            </w:r>
            <w:r>
              <w:rPr>
                <w:snapToGrid w:val="0"/>
                <w:color w:val="auto"/>
                <w:szCs w:val="21"/>
                <w:lang w:eastAsia="ja-JP"/>
              </w:rPr>
              <w:fldChar w:fldCharType="end"/>
            </w:r>
            <w:r>
              <w:rPr>
                <w:snapToGrid w:val="0"/>
                <w:color w:val="auto"/>
                <w:szCs w:val="21"/>
              </w:rPr>
              <w:t>进入唐家沱污水处理厂</w:t>
            </w:r>
            <w:r>
              <w:rPr>
                <w:color w:val="auto"/>
                <w:szCs w:val="21"/>
              </w:rPr>
              <w:t>可行性分析</w:t>
            </w:r>
          </w:p>
          <w:p>
            <w:pPr>
              <w:ind w:firstLine="420"/>
              <w:rPr>
                <w:color w:val="auto"/>
                <w:szCs w:val="21"/>
              </w:rPr>
            </w:pPr>
            <w:r>
              <w:rPr>
                <w:color w:val="auto"/>
                <w:szCs w:val="21"/>
              </w:rPr>
              <w:t>根据现场踏勘及资料显示，项目属于唐家沱污水处理厂服务范围，项目所在区域市政污水管网已经接通至唐家沱污水处理厂，项目排水能够接入污水处理厂进行深度处理。唐家沱污水处理厂设计处理能力为40万m</w:t>
            </w:r>
            <w:r>
              <w:rPr>
                <w:color w:val="auto"/>
                <w:szCs w:val="21"/>
                <w:vertAlign w:val="superscript"/>
              </w:rPr>
              <w:t>3</w:t>
            </w:r>
            <w:r>
              <w:rPr>
                <w:color w:val="auto"/>
                <w:szCs w:val="21"/>
              </w:rPr>
              <w:t>/d，采用改良型含脱氮除磷工艺 A-A/O 二级强化处理工艺，</w:t>
            </w:r>
            <w:r>
              <w:rPr>
                <w:rFonts w:hint="eastAsia"/>
                <w:color w:val="auto"/>
                <w:szCs w:val="21"/>
              </w:rPr>
              <w:t>自</w:t>
            </w:r>
            <w:r>
              <w:rPr>
                <w:color w:val="auto"/>
                <w:szCs w:val="21"/>
              </w:rPr>
              <w:t>正式投入运行以来，污水处理设备运转良好，而项目污水排放量为1.</w:t>
            </w:r>
            <w:r>
              <w:rPr>
                <w:rFonts w:hint="eastAsia"/>
                <w:color w:val="auto"/>
                <w:szCs w:val="21"/>
              </w:rPr>
              <w:t>238</w:t>
            </w:r>
            <w:r>
              <w:rPr>
                <w:color w:val="auto"/>
                <w:szCs w:val="21"/>
              </w:rPr>
              <w:t>m</w:t>
            </w:r>
            <w:r>
              <w:rPr>
                <w:color w:val="auto"/>
                <w:szCs w:val="21"/>
                <w:vertAlign w:val="superscript"/>
              </w:rPr>
              <w:t>3</w:t>
            </w:r>
            <w:r>
              <w:rPr>
                <w:color w:val="auto"/>
                <w:szCs w:val="21"/>
              </w:rPr>
              <w:t>/d，项目水量所占其比例甚小，且项目废水中污染物浓度低、易降解。因此，唐家沱污水处理厂完全可以接纳项目的排水。</w:t>
            </w:r>
          </w:p>
          <w:p>
            <w:pPr>
              <w:ind w:firstLine="420"/>
              <w:rPr>
                <w:color w:val="auto"/>
              </w:rPr>
            </w:pPr>
          </w:p>
        </w:tc>
      </w:tr>
    </w:tbl>
    <w:p>
      <w:pPr>
        <w:ind w:firstLine="420"/>
        <w:rPr>
          <w:color w:val="auto"/>
        </w:rPr>
      </w:pPr>
    </w:p>
    <w:p>
      <w:pPr>
        <w:ind w:firstLine="420"/>
        <w:rPr>
          <w:color w:val="auto"/>
        </w:rPr>
        <w:sectPr>
          <w:type w:val="continuous"/>
          <w:pgSz w:w="11907" w:h="16840"/>
          <w:pgMar w:top="1440" w:right="1080" w:bottom="1440" w:left="1080" w:header="851" w:footer="851" w:gutter="0"/>
          <w:cols w:space="720" w:num="1"/>
          <w:docGrid w:linePitch="312" w:charSpace="0"/>
        </w:sectPr>
      </w:pPr>
    </w:p>
    <w:tbl>
      <w:tblPr>
        <w:tblStyle w:val="41"/>
        <w:tblW w:w="139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shd w:val="clear" w:color="auto" w:fill="auto"/>
            <w:vAlign w:val="center"/>
          </w:tcPr>
          <w:p>
            <w:pPr>
              <w:ind w:firstLine="0" w:firstLineChars="0"/>
              <w:rPr>
                <w:bCs/>
                <w:color w:val="auto"/>
                <w:szCs w:val="21"/>
              </w:rPr>
            </w:pPr>
            <w:r>
              <w:rPr>
                <w:bCs/>
                <w:color w:val="auto"/>
                <w:szCs w:val="21"/>
              </w:rPr>
              <w:t>运营期环境影响和保护措施</w:t>
            </w:r>
          </w:p>
        </w:tc>
        <w:tc>
          <w:tcPr>
            <w:tcW w:w="13246" w:type="dxa"/>
          </w:tcPr>
          <w:p>
            <w:pPr>
              <w:ind w:firstLine="422"/>
              <w:rPr>
                <w:b/>
                <w:color w:val="auto"/>
                <w:szCs w:val="21"/>
              </w:rPr>
            </w:pPr>
            <w:r>
              <w:rPr>
                <w:b/>
                <w:color w:val="auto"/>
                <w:szCs w:val="21"/>
              </w:rPr>
              <w:t>3、噪声</w:t>
            </w:r>
          </w:p>
          <w:p>
            <w:pPr>
              <w:ind w:firstLine="422"/>
              <w:rPr>
                <w:b/>
                <w:color w:val="auto"/>
                <w:szCs w:val="21"/>
              </w:rPr>
            </w:pPr>
            <w:r>
              <w:rPr>
                <w:b/>
                <w:color w:val="auto"/>
                <w:szCs w:val="21"/>
              </w:rPr>
              <w:t>（1）噪声源强</w:t>
            </w:r>
          </w:p>
          <w:p>
            <w:pPr>
              <w:pStyle w:val="2"/>
              <w:ind w:firstLine="420"/>
              <w:jc w:val="both"/>
              <w:rPr>
                <w:rFonts w:ascii="Times New Roman" w:cs="Times New Roman"/>
                <w:bCs/>
                <w:color w:val="auto"/>
                <w:kern w:val="2"/>
                <w:sz w:val="21"/>
                <w:szCs w:val="21"/>
              </w:rPr>
            </w:pPr>
            <w:r>
              <w:rPr>
                <w:rFonts w:ascii="Times New Roman" w:cs="Times New Roman"/>
                <w:bCs/>
                <w:color w:val="auto"/>
                <w:sz w:val="21"/>
                <w:szCs w:val="21"/>
              </w:rPr>
              <w:t>根据《环境影响评价技术导则声环境》（HJ2.4-2021），本项目</w:t>
            </w:r>
            <w:r>
              <w:rPr>
                <w:rFonts w:ascii="Times New Roman" w:cs="Times New Roman"/>
                <w:bCs/>
                <w:color w:val="auto"/>
                <w:kern w:val="2"/>
                <w:sz w:val="21"/>
                <w:szCs w:val="21"/>
              </w:rPr>
              <w:t>噪声源强调查清单见下表。</w:t>
            </w:r>
          </w:p>
          <w:p>
            <w:pPr>
              <w:adjustRightInd/>
              <w:snapToGrid/>
              <w:spacing w:before="120" w:beforeLines="50" w:line="240" w:lineRule="auto"/>
              <w:ind w:firstLine="0" w:firstLineChars="0"/>
              <w:jc w:val="center"/>
              <w:rPr>
                <w:b/>
                <w:bCs/>
                <w:color w:val="auto"/>
                <w:szCs w:val="21"/>
              </w:rPr>
            </w:pPr>
            <w:r>
              <w:rPr>
                <w:b/>
                <w:bCs/>
                <w:color w:val="auto"/>
                <w:szCs w:val="21"/>
              </w:rPr>
              <w:t>表4-8  噪声源强调查清单（室内声源）</w:t>
            </w:r>
          </w:p>
          <w:tbl>
            <w:tblPr>
              <w:tblStyle w:val="40"/>
              <w:tblW w:w="12994"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79"/>
              <w:gridCol w:w="675"/>
              <w:gridCol w:w="682"/>
              <w:gridCol w:w="1357"/>
              <w:gridCol w:w="845"/>
              <w:gridCol w:w="826"/>
              <w:gridCol w:w="689"/>
              <w:gridCol w:w="699"/>
              <w:gridCol w:w="624"/>
              <w:gridCol w:w="564"/>
              <w:gridCol w:w="891"/>
              <w:gridCol w:w="728"/>
              <w:gridCol w:w="891"/>
              <w:gridCol w:w="1130"/>
              <w:gridCol w:w="1188"/>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 w:type="dxa"/>
                  <w:vMerge w:val="restart"/>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序号</w:t>
                  </w:r>
                </w:p>
              </w:tc>
              <w:tc>
                <w:tcPr>
                  <w:tcW w:w="779" w:type="dxa"/>
                  <w:vMerge w:val="restart"/>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建筑物名称</w:t>
                  </w:r>
                </w:p>
              </w:tc>
              <w:tc>
                <w:tcPr>
                  <w:tcW w:w="675" w:type="dxa"/>
                  <w:vMerge w:val="restart"/>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声源</w:t>
                  </w:r>
                </w:p>
                <w:p>
                  <w:pPr>
                    <w:adjustRightInd/>
                    <w:snapToGrid/>
                    <w:spacing w:line="240" w:lineRule="auto"/>
                    <w:ind w:firstLine="0" w:firstLineChars="0"/>
                    <w:jc w:val="center"/>
                    <w:rPr>
                      <w:color w:val="auto"/>
                      <w:szCs w:val="21"/>
                    </w:rPr>
                  </w:pPr>
                  <w:r>
                    <w:rPr>
                      <w:color w:val="auto"/>
                      <w:szCs w:val="21"/>
                    </w:rPr>
                    <w:t>名称</w:t>
                  </w:r>
                </w:p>
              </w:tc>
              <w:tc>
                <w:tcPr>
                  <w:tcW w:w="682" w:type="dxa"/>
                  <w:vMerge w:val="restart"/>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型号</w:t>
                  </w:r>
                </w:p>
              </w:tc>
              <w:tc>
                <w:tcPr>
                  <w:tcW w:w="1357" w:type="dxa"/>
                  <w:vMerge w:val="restart"/>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声压级/距声源距离（dB（A）/m）</w:t>
                  </w:r>
                </w:p>
              </w:tc>
              <w:tc>
                <w:tcPr>
                  <w:tcW w:w="845" w:type="dxa"/>
                  <w:vMerge w:val="restart"/>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声源控制措施</w:t>
                  </w:r>
                </w:p>
              </w:tc>
              <w:tc>
                <w:tcPr>
                  <w:tcW w:w="2214" w:type="dxa"/>
                  <w:gridSpan w:val="3"/>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空间相对位置</w:t>
                  </w:r>
                  <w:r>
                    <w:rPr>
                      <w:color w:val="auto"/>
                      <w:szCs w:val="18"/>
                    </w:rPr>
                    <w:t>/m</w:t>
                  </w:r>
                </w:p>
              </w:tc>
              <w:tc>
                <w:tcPr>
                  <w:tcW w:w="1188" w:type="dxa"/>
                  <w:gridSpan w:val="2"/>
                  <w:vMerge w:val="restart"/>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距室内边缘距离/m</w:t>
                  </w:r>
                </w:p>
              </w:tc>
              <w:tc>
                <w:tcPr>
                  <w:tcW w:w="891" w:type="dxa"/>
                  <w:vMerge w:val="restart"/>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室内边缘声级/dB（A）</w:t>
                  </w:r>
                </w:p>
              </w:tc>
              <w:tc>
                <w:tcPr>
                  <w:tcW w:w="728" w:type="dxa"/>
                  <w:vMerge w:val="restart"/>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运行时段</w:t>
                  </w:r>
                </w:p>
              </w:tc>
              <w:tc>
                <w:tcPr>
                  <w:tcW w:w="891" w:type="dxa"/>
                  <w:vMerge w:val="restart"/>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建筑物损失/dB（A）</w:t>
                  </w:r>
                </w:p>
              </w:tc>
              <w:tc>
                <w:tcPr>
                  <w:tcW w:w="2318" w:type="dxa"/>
                  <w:gridSpan w:val="2"/>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建筑物外噪声</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77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75"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82"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357"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845"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826"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X</w:t>
                  </w:r>
                </w:p>
              </w:tc>
              <w:tc>
                <w:tcPr>
                  <w:tcW w:w="689"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Y</w:t>
                  </w:r>
                </w:p>
              </w:tc>
              <w:tc>
                <w:tcPr>
                  <w:tcW w:w="699"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Z</w:t>
                  </w:r>
                </w:p>
              </w:tc>
              <w:tc>
                <w:tcPr>
                  <w:tcW w:w="1188" w:type="dxa"/>
                  <w:gridSpan w:val="2"/>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891"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728"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891"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130"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声压级/dB（A）</w:t>
                  </w:r>
                </w:p>
              </w:tc>
              <w:tc>
                <w:tcPr>
                  <w:tcW w:w="1188"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建筑外距离</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 w:type="dxa"/>
                  <w:vMerge w:val="restart"/>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1</w:t>
                  </w:r>
                </w:p>
              </w:tc>
              <w:tc>
                <w:tcPr>
                  <w:tcW w:w="779" w:type="dxa"/>
                  <w:vMerge w:val="restart"/>
                  <w:tcBorders>
                    <w:tl2br w:val="nil"/>
                    <w:tr2bl w:val="nil"/>
                  </w:tcBorders>
                  <w:vAlign w:val="center"/>
                </w:tcPr>
                <w:p>
                  <w:pPr>
                    <w:adjustRightInd/>
                    <w:snapToGrid/>
                    <w:spacing w:line="240" w:lineRule="auto"/>
                    <w:ind w:firstLine="0" w:firstLineChars="0"/>
                    <w:rPr>
                      <w:color w:val="auto"/>
                      <w:szCs w:val="21"/>
                    </w:rPr>
                  </w:pPr>
                  <w:r>
                    <w:rPr>
                      <w:color w:val="auto"/>
                      <w:szCs w:val="21"/>
                    </w:rPr>
                    <w:t>住院部</w:t>
                  </w:r>
                </w:p>
              </w:tc>
              <w:tc>
                <w:tcPr>
                  <w:tcW w:w="675" w:type="dxa"/>
                  <w:vMerge w:val="restart"/>
                  <w:tcBorders>
                    <w:tl2br w:val="nil"/>
                    <w:tr2bl w:val="nil"/>
                  </w:tcBorders>
                  <w:vAlign w:val="center"/>
                </w:tcPr>
                <w:p>
                  <w:pPr>
                    <w:pStyle w:val="2"/>
                    <w:tabs>
                      <w:tab w:val="center" w:pos="1071"/>
                      <w:tab w:val="right" w:pos="2023"/>
                    </w:tabs>
                    <w:adjustRightInd/>
                    <w:ind w:firstLine="0" w:firstLineChars="0"/>
                    <w:jc w:val="both"/>
                    <w:rPr>
                      <w:rFonts w:ascii="Times New Roman" w:cs="Times New Roman"/>
                      <w:color w:val="auto"/>
                      <w:sz w:val="21"/>
                      <w:szCs w:val="21"/>
                    </w:rPr>
                  </w:pPr>
                  <w:r>
                    <w:rPr>
                      <w:rFonts w:ascii="Times New Roman" w:cs="Times New Roman"/>
                      <w:bCs/>
                      <w:color w:val="auto"/>
                      <w:sz w:val="21"/>
                      <w:szCs w:val="21"/>
                    </w:rPr>
                    <w:t>动物叫声</w:t>
                  </w:r>
                </w:p>
              </w:tc>
              <w:tc>
                <w:tcPr>
                  <w:tcW w:w="682" w:type="dxa"/>
                  <w:vMerge w:val="restart"/>
                  <w:tcBorders>
                    <w:tl2br w:val="nil"/>
                    <w:tr2bl w:val="nil"/>
                  </w:tcBorders>
                  <w:vAlign w:val="center"/>
                </w:tcPr>
                <w:p>
                  <w:pPr>
                    <w:pStyle w:val="2"/>
                    <w:tabs>
                      <w:tab w:val="center" w:pos="1071"/>
                      <w:tab w:val="right" w:pos="2023"/>
                    </w:tabs>
                    <w:adjustRightInd/>
                    <w:spacing w:line="240" w:lineRule="auto"/>
                    <w:ind w:firstLine="0" w:firstLineChars="0"/>
                    <w:jc w:val="both"/>
                    <w:rPr>
                      <w:rFonts w:ascii="Times New Roman" w:cs="Times New Roman"/>
                      <w:color w:val="auto"/>
                      <w:sz w:val="21"/>
                      <w:szCs w:val="21"/>
                    </w:rPr>
                  </w:pPr>
                  <w:r>
                    <w:rPr>
                      <w:rFonts w:ascii="Times New Roman" w:cs="Times New Roman"/>
                      <w:color w:val="auto"/>
                      <w:sz w:val="21"/>
                      <w:szCs w:val="21"/>
                    </w:rPr>
                    <w:t>/</w:t>
                  </w:r>
                </w:p>
              </w:tc>
              <w:tc>
                <w:tcPr>
                  <w:tcW w:w="1357" w:type="dxa"/>
                  <w:vMerge w:val="restart"/>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70/1</w:t>
                  </w:r>
                </w:p>
              </w:tc>
              <w:tc>
                <w:tcPr>
                  <w:tcW w:w="845" w:type="dxa"/>
                  <w:vMerge w:val="restart"/>
                  <w:tcBorders>
                    <w:tl2br w:val="nil"/>
                    <w:tr2bl w:val="nil"/>
                  </w:tcBorders>
                  <w:vAlign w:val="center"/>
                </w:tcPr>
                <w:p>
                  <w:pPr>
                    <w:adjustRightInd/>
                    <w:snapToGrid/>
                    <w:spacing w:line="240" w:lineRule="auto"/>
                    <w:ind w:firstLine="0" w:firstLineChars="0"/>
                    <w:rPr>
                      <w:color w:val="auto"/>
                      <w:szCs w:val="21"/>
                    </w:rPr>
                  </w:pPr>
                  <w:r>
                    <w:rPr>
                      <w:color w:val="auto"/>
                      <w:szCs w:val="21"/>
                    </w:rPr>
                    <w:t>建筑隔声</w:t>
                  </w:r>
                </w:p>
              </w:tc>
              <w:tc>
                <w:tcPr>
                  <w:tcW w:w="826" w:type="dxa"/>
                  <w:vMerge w:val="restart"/>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8</w:t>
                  </w:r>
                </w:p>
              </w:tc>
              <w:tc>
                <w:tcPr>
                  <w:tcW w:w="689" w:type="dxa"/>
                  <w:vMerge w:val="restart"/>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0</w:t>
                  </w:r>
                </w:p>
              </w:tc>
              <w:tc>
                <w:tcPr>
                  <w:tcW w:w="699" w:type="dxa"/>
                  <w:vMerge w:val="restart"/>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0.5</w:t>
                  </w:r>
                </w:p>
              </w:tc>
              <w:tc>
                <w:tcPr>
                  <w:tcW w:w="624"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东</w:t>
                  </w:r>
                </w:p>
              </w:tc>
              <w:tc>
                <w:tcPr>
                  <w:tcW w:w="564" w:type="dxa"/>
                  <w:tcBorders>
                    <w:tl2br w:val="nil"/>
                    <w:tr2bl w:val="nil"/>
                  </w:tcBorders>
                  <w:vAlign w:val="center"/>
                </w:tcPr>
                <w:p>
                  <w:pPr>
                    <w:widowControl/>
                    <w:adjustRightInd/>
                    <w:snapToGrid/>
                    <w:spacing w:line="240" w:lineRule="auto"/>
                    <w:ind w:firstLine="0" w:firstLineChars="0"/>
                    <w:jc w:val="center"/>
                    <w:textAlignment w:val="center"/>
                    <w:rPr>
                      <w:color w:val="auto"/>
                      <w:szCs w:val="21"/>
                    </w:rPr>
                  </w:pPr>
                  <w:r>
                    <w:rPr>
                      <w:rFonts w:hint="eastAsia"/>
                      <w:color w:val="auto"/>
                      <w:szCs w:val="21"/>
                    </w:rPr>
                    <w:t>2</w:t>
                  </w:r>
                </w:p>
              </w:tc>
              <w:tc>
                <w:tcPr>
                  <w:tcW w:w="891" w:type="dxa"/>
                  <w:tcBorders>
                    <w:tl2br w:val="nil"/>
                    <w:tr2bl w:val="nil"/>
                  </w:tcBorders>
                  <w:vAlign w:val="center"/>
                </w:tcPr>
                <w:p>
                  <w:pPr>
                    <w:widowControl/>
                    <w:adjustRightInd/>
                    <w:snapToGrid/>
                    <w:spacing w:line="240" w:lineRule="auto"/>
                    <w:ind w:firstLine="0" w:firstLineChars="0"/>
                    <w:jc w:val="center"/>
                    <w:textAlignment w:val="bottom"/>
                    <w:rPr>
                      <w:color w:val="auto"/>
                      <w:szCs w:val="21"/>
                    </w:rPr>
                  </w:pPr>
                  <w:r>
                    <w:rPr>
                      <w:rFonts w:hint="eastAsia"/>
                      <w:color w:val="auto"/>
                      <w:szCs w:val="21"/>
                    </w:rPr>
                    <w:t>64</w:t>
                  </w:r>
                </w:p>
              </w:tc>
              <w:tc>
                <w:tcPr>
                  <w:tcW w:w="728" w:type="dxa"/>
                  <w:vMerge w:val="restart"/>
                  <w:tcBorders>
                    <w:tl2br w:val="nil"/>
                    <w:tr2bl w:val="nil"/>
                  </w:tcBorders>
                  <w:vAlign w:val="center"/>
                </w:tcPr>
                <w:p>
                  <w:pPr>
                    <w:adjustRightInd/>
                    <w:snapToGrid/>
                    <w:spacing w:line="240" w:lineRule="auto"/>
                    <w:ind w:firstLine="0" w:firstLineChars="0"/>
                    <w:jc w:val="center"/>
                    <w:rPr>
                      <w:color w:val="auto"/>
                      <w:szCs w:val="21"/>
                    </w:rPr>
                  </w:pPr>
                  <w:r>
                    <w:rPr>
                      <w:color w:val="auto"/>
                    </w:rPr>
                    <w:t>昼间、夜间</w:t>
                  </w:r>
                </w:p>
              </w:tc>
              <w:tc>
                <w:tcPr>
                  <w:tcW w:w="891" w:type="dxa"/>
                  <w:vMerge w:val="restart"/>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r>
                    <w:rPr>
                      <w:color w:val="auto"/>
                      <w:kern w:val="0"/>
                      <w:szCs w:val="21"/>
                      <w:lang w:bidi="ar"/>
                    </w:rPr>
                    <w:t>15</w:t>
                  </w:r>
                </w:p>
              </w:tc>
              <w:tc>
                <w:tcPr>
                  <w:tcW w:w="11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r>
                    <w:rPr>
                      <w:rFonts w:hint="eastAsia"/>
                      <w:color w:val="auto"/>
                      <w:kern w:val="0"/>
                      <w:szCs w:val="21"/>
                      <w:lang w:bidi="ar"/>
                    </w:rPr>
                    <w:t>43</w:t>
                  </w:r>
                </w:p>
              </w:tc>
              <w:tc>
                <w:tcPr>
                  <w:tcW w:w="1188"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r>
                    <w:rPr>
                      <w:rFonts w:hint="eastAsia"/>
                      <w:color w:val="auto"/>
                      <w:kern w:val="0"/>
                      <w:szCs w:val="21"/>
                      <w:lang w:bidi="ar"/>
                    </w:rPr>
                    <w:t>1m</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779" w:type="dxa"/>
                  <w:vMerge w:val="continue"/>
                  <w:tcBorders>
                    <w:tl2br w:val="nil"/>
                    <w:tr2bl w:val="nil"/>
                  </w:tcBorders>
                  <w:vAlign w:val="center"/>
                </w:tcPr>
                <w:p>
                  <w:pPr>
                    <w:adjustRightInd/>
                    <w:snapToGrid/>
                    <w:spacing w:line="240" w:lineRule="auto"/>
                    <w:ind w:firstLine="0" w:firstLineChars="0"/>
                    <w:rPr>
                      <w:color w:val="auto"/>
                      <w:szCs w:val="21"/>
                    </w:rPr>
                  </w:pPr>
                </w:p>
              </w:tc>
              <w:tc>
                <w:tcPr>
                  <w:tcW w:w="675" w:type="dxa"/>
                  <w:vMerge w:val="continue"/>
                  <w:tcBorders>
                    <w:tl2br w:val="nil"/>
                    <w:tr2bl w:val="nil"/>
                  </w:tcBorders>
                  <w:vAlign w:val="center"/>
                </w:tcPr>
                <w:p>
                  <w:pPr>
                    <w:adjustRightInd/>
                    <w:snapToGrid/>
                    <w:spacing w:line="240" w:lineRule="auto"/>
                    <w:ind w:firstLine="0" w:firstLineChars="0"/>
                    <w:rPr>
                      <w:color w:val="auto"/>
                      <w:szCs w:val="21"/>
                    </w:rPr>
                  </w:pPr>
                </w:p>
              </w:tc>
              <w:tc>
                <w:tcPr>
                  <w:tcW w:w="682"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357"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845" w:type="dxa"/>
                  <w:vMerge w:val="continue"/>
                  <w:tcBorders>
                    <w:tl2br w:val="nil"/>
                    <w:tr2bl w:val="nil"/>
                  </w:tcBorders>
                  <w:vAlign w:val="center"/>
                </w:tcPr>
                <w:p>
                  <w:pPr>
                    <w:adjustRightInd/>
                    <w:snapToGrid/>
                    <w:spacing w:line="240" w:lineRule="auto"/>
                    <w:ind w:firstLine="0" w:firstLineChars="0"/>
                    <w:rPr>
                      <w:color w:val="auto"/>
                      <w:szCs w:val="21"/>
                    </w:rPr>
                  </w:pPr>
                </w:p>
              </w:tc>
              <w:tc>
                <w:tcPr>
                  <w:tcW w:w="826"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8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9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24"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西</w:t>
                  </w:r>
                </w:p>
              </w:tc>
              <w:tc>
                <w:tcPr>
                  <w:tcW w:w="564" w:type="dxa"/>
                  <w:tcBorders>
                    <w:tl2br w:val="nil"/>
                    <w:tr2bl w:val="nil"/>
                  </w:tcBorders>
                  <w:vAlign w:val="center"/>
                </w:tcPr>
                <w:p>
                  <w:pPr>
                    <w:widowControl/>
                    <w:adjustRightInd/>
                    <w:snapToGrid/>
                    <w:spacing w:line="240" w:lineRule="auto"/>
                    <w:ind w:firstLine="0" w:firstLineChars="0"/>
                    <w:jc w:val="center"/>
                    <w:textAlignment w:val="center"/>
                    <w:rPr>
                      <w:color w:val="auto"/>
                      <w:szCs w:val="21"/>
                    </w:rPr>
                  </w:pPr>
                  <w:r>
                    <w:rPr>
                      <w:rFonts w:hint="eastAsia"/>
                      <w:color w:val="auto"/>
                      <w:szCs w:val="21"/>
                    </w:rPr>
                    <w:t>18</w:t>
                  </w:r>
                </w:p>
              </w:tc>
              <w:tc>
                <w:tcPr>
                  <w:tcW w:w="891" w:type="dxa"/>
                  <w:tcBorders>
                    <w:tl2br w:val="nil"/>
                    <w:tr2bl w:val="nil"/>
                  </w:tcBorders>
                  <w:vAlign w:val="center"/>
                </w:tcPr>
                <w:p>
                  <w:pPr>
                    <w:widowControl/>
                    <w:adjustRightInd/>
                    <w:snapToGrid/>
                    <w:spacing w:line="240" w:lineRule="auto"/>
                    <w:ind w:firstLine="0" w:firstLineChars="0"/>
                    <w:jc w:val="center"/>
                    <w:textAlignment w:val="bottom"/>
                    <w:rPr>
                      <w:color w:val="auto"/>
                      <w:szCs w:val="21"/>
                    </w:rPr>
                  </w:pPr>
                  <w:r>
                    <w:rPr>
                      <w:rFonts w:hint="eastAsia"/>
                      <w:color w:val="auto"/>
                      <w:szCs w:val="21"/>
                    </w:rPr>
                    <w:t>44.9</w:t>
                  </w:r>
                </w:p>
              </w:tc>
              <w:tc>
                <w:tcPr>
                  <w:tcW w:w="728"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891" w:type="dxa"/>
                  <w:vMerge w:val="continue"/>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p>
              </w:tc>
              <w:tc>
                <w:tcPr>
                  <w:tcW w:w="11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r>
                    <w:rPr>
                      <w:rFonts w:hint="eastAsia"/>
                      <w:color w:val="auto"/>
                      <w:kern w:val="0"/>
                      <w:szCs w:val="21"/>
                      <w:lang w:bidi="ar"/>
                    </w:rPr>
                    <w:t>23.9</w:t>
                  </w:r>
                </w:p>
              </w:tc>
              <w:tc>
                <w:tcPr>
                  <w:tcW w:w="1188"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r>
                    <w:rPr>
                      <w:rFonts w:hint="eastAsia"/>
                      <w:color w:val="auto"/>
                      <w:kern w:val="0"/>
                      <w:szCs w:val="21"/>
                      <w:lang w:bidi="ar"/>
                    </w:rPr>
                    <w:t>1m</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779" w:type="dxa"/>
                  <w:vMerge w:val="continue"/>
                  <w:tcBorders>
                    <w:tl2br w:val="nil"/>
                    <w:tr2bl w:val="nil"/>
                  </w:tcBorders>
                  <w:vAlign w:val="center"/>
                </w:tcPr>
                <w:p>
                  <w:pPr>
                    <w:adjustRightInd/>
                    <w:snapToGrid/>
                    <w:spacing w:line="240" w:lineRule="auto"/>
                    <w:ind w:firstLine="0" w:firstLineChars="0"/>
                    <w:rPr>
                      <w:color w:val="auto"/>
                      <w:szCs w:val="21"/>
                    </w:rPr>
                  </w:pPr>
                </w:p>
              </w:tc>
              <w:tc>
                <w:tcPr>
                  <w:tcW w:w="675" w:type="dxa"/>
                  <w:vMerge w:val="continue"/>
                  <w:tcBorders>
                    <w:tl2br w:val="nil"/>
                    <w:tr2bl w:val="nil"/>
                  </w:tcBorders>
                  <w:vAlign w:val="center"/>
                </w:tcPr>
                <w:p>
                  <w:pPr>
                    <w:adjustRightInd/>
                    <w:snapToGrid/>
                    <w:spacing w:line="240" w:lineRule="auto"/>
                    <w:ind w:firstLine="0" w:firstLineChars="0"/>
                    <w:rPr>
                      <w:color w:val="auto"/>
                      <w:szCs w:val="21"/>
                    </w:rPr>
                  </w:pPr>
                </w:p>
              </w:tc>
              <w:tc>
                <w:tcPr>
                  <w:tcW w:w="682"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357"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845" w:type="dxa"/>
                  <w:vMerge w:val="continue"/>
                  <w:tcBorders>
                    <w:tl2br w:val="nil"/>
                    <w:tr2bl w:val="nil"/>
                  </w:tcBorders>
                  <w:vAlign w:val="center"/>
                </w:tcPr>
                <w:p>
                  <w:pPr>
                    <w:adjustRightInd/>
                    <w:snapToGrid/>
                    <w:spacing w:line="240" w:lineRule="auto"/>
                    <w:ind w:firstLine="0" w:firstLineChars="0"/>
                    <w:rPr>
                      <w:color w:val="auto"/>
                      <w:szCs w:val="21"/>
                    </w:rPr>
                  </w:pPr>
                </w:p>
              </w:tc>
              <w:tc>
                <w:tcPr>
                  <w:tcW w:w="826"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8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9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24"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南</w:t>
                  </w:r>
                </w:p>
              </w:tc>
              <w:tc>
                <w:tcPr>
                  <w:tcW w:w="564" w:type="dxa"/>
                  <w:tcBorders>
                    <w:tl2br w:val="nil"/>
                    <w:tr2bl w:val="nil"/>
                  </w:tcBorders>
                  <w:vAlign w:val="center"/>
                </w:tcPr>
                <w:p>
                  <w:pPr>
                    <w:widowControl/>
                    <w:adjustRightInd/>
                    <w:snapToGrid/>
                    <w:spacing w:line="240" w:lineRule="auto"/>
                    <w:ind w:firstLine="0" w:firstLineChars="0"/>
                    <w:jc w:val="center"/>
                    <w:textAlignment w:val="center"/>
                    <w:rPr>
                      <w:color w:val="auto"/>
                      <w:szCs w:val="21"/>
                    </w:rPr>
                  </w:pPr>
                  <w:r>
                    <w:rPr>
                      <w:rFonts w:hint="eastAsia"/>
                      <w:color w:val="auto"/>
                      <w:szCs w:val="21"/>
                    </w:rPr>
                    <w:t>6.5</w:t>
                  </w:r>
                </w:p>
              </w:tc>
              <w:tc>
                <w:tcPr>
                  <w:tcW w:w="891" w:type="dxa"/>
                  <w:tcBorders>
                    <w:tl2br w:val="nil"/>
                    <w:tr2bl w:val="nil"/>
                  </w:tcBorders>
                  <w:vAlign w:val="center"/>
                </w:tcPr>
                <w:p>
                  <w:pPr>
                    <w:widowControl/>
                    <w:adjustRightInd/>
                    <w:snapToGrid/>
                    <w:spacing w:line="240" w:lineRule="auto"/>
                    <w:ind w:firstLine="0" w:firstLineChars="0"/>
                    <w:jc w:val="center"/>
                    <w:textAlignment w:val="bottom"/>
                    <w:rPr>
                      <w:color w:val="auto"/>
                      <w:szCs w:val="21"/>
                    </w:rPr>
                  </w:pPr>
                  <w:r>
                    <w:rPr>
                      <w:rFonts w:hint="eastAsia"/>
                      <w:color w:val="auto"/>
                      <w:szCs w:val="21"/>
                    </w:rPr>
                    <w:t>53.7</w:t>
                  </w:r>
                </w:p>
              </w:tc>
              <w:tc>
                <w:tcPr>
                  <w:tcW w:w="728"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891" w:type="dxa"/>
                  <w:vMerge w:val="continue"/>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p>
              </w:tc>
              <w:tc>
                <w:tcPr>
                  <w:tcW w:w="11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r>
                    <w:rPr>
                      <w:rFonts w:hint="eastAsia"/>
                      <w:color w:val="auto"/>
                      <w:kern w:val="0"/>
                      <w:szCs w:val="21"/>
                      <w:lang w:bidi="ar"/>
                    </w:rPr>
                    <w:t>32.7</w:t>
                  </w:r>
                </w:p>
              </w:tc>
              <w:tc>
                <w:tcPr>
                  <w:tcW w:w="1188"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r>
                    <w:rPr>
                      <w:rFonts w:hint="eastAsia"/>
                      <w:color w:val="auto"/>
                      <w:kern w:val="0"/>
                      <w:szCs w:val="21"/>
                      <w:lang w:bidi="ar"/>
                    </w:rPr>
                    <w:t>1m</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779" w:type="dxa"/>
                  <w:vMerge w:val="continue"/>
                  <w:tcBorders>
                    <w:tl2br w:val="nil"/>
                    <w:tr2bl w:val="nil"/>
                  </w:tcBorders>
                  <w:vAlign w:val="center"/>
                </w:tcPr>
                <w:p>
                  <w:pPr>
                    <w:adjustRightInd/>
                    <w:snapToGrid/>
                    <w:spacing w:line="240" w:lineRule="auto"/>
                    <w:ind w:firstLine="0" w:firstLineChars="0"/>
                    <w:rPr>
                      <w:color w:val="auto"/>
                      <w:szCs w:val="21"/>
                    </w:rPr>
                  </w:pPr>
                </w:p>
              </w:tc>
              <w:tc>
                <w:tcPr>
                  <w:tcW w:w="675" w:type="dxa"/>
                  <w:vMerge w:val="continue"/>
                  <w:tcBorders>
                    <w:tl2br w:val="nil"/>
                    <w:tr2bl w:val="nil"/>
                  </w:tcBorders>
                  <w:vAlign w:val="center"/>
                </w:tcPr>
                <w:p>
                  <w:pPr>
                    <w:adjustRightInd/>
                    <w:snapToGrid/>
                    <w:spacing w:line="240" w:lineRule="auto"/>
                    <w:ind w:firstLine="0" w:firstLineChars="0"/>
                    <w:rPr>
                      <w:color w:val="auto"/>
                      <w:szCs w:val="21"/>
                    </w:rPr>
                  </w:pPr>
                </w:p>
              </w:tc>
              <w:tc>
                <w:tcPr>
                  <w:tcW w:w="682"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357"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845" w:type="dxa"/>
                  <w:vMerge w:val="continue"/>
                  <w:tcBorders>
                    <w:tl2br w:val="nil"/>
                    <w:tr2bl w:val="nil"/>
                  </w:tcBorders>
                  <w:vAlign w:val="center"/>
                </w:tcPr>
                <w:p>
                  <w:pPr>
                    <w:adjustRightInd/>
                    <w:snapToGrid/>
                    <w:spacing w:line="240" w:lineRule="auto"/>
                    <w:ind w:firstLine="0" w:firstLineChars="0"/>
                    <w:rPr>
                      <w:color w:val="auto"/>
                      <w:szCs w:val="21"/>
                    </w:rPr>
                  </w:pPr>
                </w:p>
              </w:tc>
              <w:tc>
                <w:tcPr>
                  <w:tcW w:w="826"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8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9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24"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北</w:t>
                  </w:r>
                </w:p>
              </w:tc>
              <w:tc>
                <w:tcPr>
                  <w:tcW w:w="564" w:type="dxa"/>
                  <w:tcBorders>
                    <w:tl2br w:val="nil"/>
                    <w:tr2bl w:val="nil"/>
                  </w:tcBorders>
                  <w:vAlign w:val="center"/>
                </w:tcPr>
                <w:p>
                  <w:pPr>
                    <w:widowControl/>
                    <w:adjustRightInd/>
                    <w:snapToGrid/>
                    <w:spacing w:line="240" w:lineRule="auto"/>
                    <w:ind w:firstLine="0" w:firstLineChars="0"/>
                    <w:jc w:val="center"/>
                    <w:textAlignment w:val="center"/>
                    <w:rPr>
                      <w:color w:val="auto"/>
                      <w:szCs w:val="21"/>
                    </w:rPr>
                  </w:pPr>
                  <w:r>
                    <w:rPr>
                      <w:rFonts w:hint="eastAsia"/>
                      <w:color w:val="auto"/>
                      <w:szCs w:val="21"/>
                    </w:rPr>
                    <w:t>6.5</w:t>
                  </w:r>
                </w:p>
              </w:tc>
              <w:tc>
                <w:tcPr>
                  <w:tcW w:w="891" w:type="dxa"/>
                  <w:tcBorders>
                    <w:tl2br w:val="nil"/>
                    <w:tr2bl w:val="nil"/>
                  </w:tcBorders>
                  <w:vAlign w:val="center"/>
                </w:tcPr>
                <w:p>
                  <w:pPr>
                    <w:widowControl/>
                    <w:adjustRightInd/>
                    <w:snapToGrid/>
                    <w:spacing w:line="240" w:lineRule="auto"/>
                    <w:ind w:firstLine="0" w:firstLineChars="0"/>
                    <w:jc w:val="center"/>
                    <w:textAlignment w:val="bottom"/>
                    <w:rPr>
                      <w:color w:val="auto"/>
                      <w:szCs w:val="21"/>
                    </w:rPr>
                  </w:pPr>
                  <w:r>
                    <w:rPr>
                      <w:color w:val="auto"/>
                      <w:szCs w:val="21"/>
                    </w:rPr>
                    <w:t>5</w:t>
                  </w:r>
                  <w:r>
                    <w:rPr>
                      <w:rFonts w:hint="eastAsia"/>
                      <w:color w:val="auto"/>
                      <w:szCs w:val="21"/>
                    </w:rPr>
                    <w:t>3.7</w:t>
                  </w:r>
                </w:p>
              </w:tc>
              <w:tc>
                <w:tcPr>
                  <w:tcW w:w="728"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891" w:type="dxa"/>
                  <w:vMerge w:val="continue"/>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p>
              </w:tc>
              <w:tc>
                <w:tcPr>
                  <w:tcW w:w="11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r>
                    <w:rPr>
                      <w:rFonts w:hint="eastAsia"/>
                      <w:color w:val="auto"/>
                      <w:kern w:val="0"/>
                      <w:szCs w:val="21"/>
                      <w:lang w:bidi="ar"/>
                    </w:rPr>
                    <w:t>32.7</w:t>
                  </w:r>
                </w:p>
              </w:tc>
              <w:tc>
                <w:tcPr>
                  <w:tcW w:w="1188"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r>
                    <w:rPr>
                      <w:rFonts w:hint="eastAsia"/>
                      <w:color w:val="auto"/>
                      <w:kern w:val="0"/>
                      <w:szCs w:val="21"/>
                      <w:lang w:bidi="ar"/>
                    </w:rPr>
                    <w:t>1m</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 w:type="dxa"/>
                  <w:vMerge w:val="restart"/>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2</w:t>
                  </w:r>
                </w:p>
              </w:tc>
              <w:tc>
                <w:tcPr>
                  <w:tcW w:w="779" w:type="dxa"/>
                  <w:vMerge w:val="restart"/>
                  <w:tcBorders>
                    <w:tl2br w:val="nil"/>
                    <w:tr2bl w:val="nil"/>
                  </w:tcBorders>
                  <w:vAlign w:val="center"/>
                </w:tcPr>
                <w:p>
                  <w:pPr>
                    <w:adjustRightInd/>
                    <w:snapToGrid/>
                    <w:spacing w:line="240" w:lineRule="auto"/>
                    <w:ind w:firstLine="0" w:firstLineChars="0"/>
                    <w:rPr>
                      <w:rFonts w:hint="eastAsia" w:eastAsia="宋体"/>
                      <w:color w:val="auto"/>
                      <w:szCs w:val="21"/>
                      <w:lang w:val="en-US" w:eastAsia="zh-CN"/>
                    </w:rPr>
                  </w:pPr>
                  <w:r>
                    <w:rPr>
                      <w:rFonts w:hint="eastAsia"/>
                      <w:color w:val="auto"/>
                      <w:szCs w:val="21"/>
                      <w:lang w:val="en-US" w:eastAsia="zh-CN"/>
                    </w:rPr>
                    <w:t>院内</w:t>
                  </w:r>
                </w:p>
              </w:tc>
              <w:tc>
                <w:tcPr>
                  <w:tcW w:w="675" w:type="dxa"/>
                  <w:vMerge w:val="restart"/>
                  <w:tcBorders>
                    <w:tl2br w:val="nil"/>
                    <w:tr2bl w:val="nil"/>
                  </w:tcBorders>
                  <w:vAlign w:val="center"/>
                </w:tcPr>
                <w:p>
                  <w:pPr>
                    <w:adjustRightInd/>
                    <w:snapToGrid/>
                    <w:spacing w:line="240" w:lineRule="auto"/>
                    <w:ind w:firstLine="0" w:firstLineChars="0"/>
                    <w:rPr>
                      <w:color w:val="auto"/>
                      <w:szCs w:val="21"/>
                    </w:rPr>
                  </w:pPr>
                  <w:r>
                    <w:rPr>
                      <w:rFonts w:hint="eastAsia"/>
                      <w:color w:val="auto"/>
                      <w:szCs w:val="21"/>
                    </w:rPr>
                    <w:t>新风系统</w:t>
                  </w:r>
                </w:p>
              </w:tc>
              <w:tc>
                <w:tcPr>
                  <w:tcW w:w="682" w:type="dxa"/>
                  <w:vMerge w:val="restart"/>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w:t>
                  </w:r>
                </w:p>
              </w:tc>
              <w:tc>
                <w:tcPr>
                  <w:tcW w:w="1357" w:type="dxa"/>
                  <w:vMerge w:val="restart"/>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rFonts w:hint="eastAsia"/>
                      <w:color w:val="auto"/>
                      <w:szCs w:val="21"/>
                    </w:rPr>
                    <w:t>65</w:t>
                  </w:r>
                  <w:r>
                    <w:rPr>
                      <w:color w:val="auto"/>
                      <w:szCs w:val="21"/>
                    </w:rPr>
                    <w:t>/1</w:t>
                  </w:r>
                </w:p>
              </w:tc>
              <w:tc>
                <w:tcPr>
                  <w:tcW w:w="845" w:type="dxa"/>
                  <w:vMerge w:val="restart"/>
                  <w:tcBorders>
                    <w:tl2br w:val="nil"/>
                    <w:tr2bl w:val="nil"/>
                  </w:tcBorders>
                  <w:shd w:val="clear" w:color="auto" w:fill="auto"/>
                  <w:vAlign w:val="center"/>
                </w:tcPr>
                <w:p>
                  <w:pPr>
                    <w:adjustRightInd/>
                    <w:snapToGrid/>
                    <w:spacing w:line="240" w:lineRule="auto"/>
                    <w:ind w:firstLine="0" w:firstLineChars="0"/>
                    <w:rPr>
                      <w:color w:val="auto"/>
                      <w:szCs w:val="21"/>
                    </w:rPr>
                  </w:pPr>
                  <w:r>
                    <w:rPr>
                      <w:color w:val="auto"/>
                      <w:szCs w:val="21"/>
                    </w:rPr>
                    <w:t>建筑隔声</w:t>
                  </w:r>
                </w:p>
              </w:tc>
              <w:tc>
                <w:tcPr>
                  <w:tcW w:w="826" w:type="dxa"/>
                  <w:vMerge w:val="restart"/>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-7</w:t>
                  </w:r>
                </w:p>
              </w:tc>
              <w:tc>
                <w:tcPr>
                  <w:tcW w:w="689" w:type="dxa"/>
                  <w:vMerge w:val="restart"/>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-3</w:t>
                  </w:r>
                </w:p>
              </w:tc>
              <w:tc>
                <w:tcPr>
                  <w:tcW w:w="699" w:type="dxa"/>
                  <w:vMerge w:val="restart"/>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szCs w:val="21"/>
                    </w:rPr>
                    <w:t>4.5</w:t>
                  </w:r>
                </w:p>
              </w:tc>
              <w:tc>
                <w:tcPr>
                  <w:tcW w:w="624"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东</w:t>
                  </w:r>
                </w:p>
              </w:tc>
              <w:tc>
                <w:tcPr>
                  <w:tcW w:w="564" w:type="dxa"/>
                  <w:tcBorders>
                    <w:tl2br w:val="nil"/>
                    <w:tr2bl w:val="nil"/>
                  </w:tcBorders>
                  <w:vAlign w:val="center"/>
                </w:tcPr>
                <w:p>
                  <w:pPr>
                    <w:widowControl/>
                    <w:adjustRightInd/>
                    <w:snapToGrid/>
                    <w:spacing w:line="240" w:lineRule="auto"/>
                    <w:ind w:firstLine="0" w:firstLineChars="0"/>
                    <w:jc w:val="center"/>
                    <w:textAlignment w:val="center"/>
                    <w:rPr>
                      <w:color w:val="auto"/>
                      <w:szCs w:val="21"/>
                    </w:rPr>
                  </w:pPr>
                  <w:r>
                    <w:rPr>
                      <w:rFonts w:hint="eastAsia"/>
                      <w:color w:val="auto"/>
                      <w:szCs w:val="21"/>
                    </w:rPr>
                    <w:t>17</w:t>
                  </w:r>
                </w:p>
              </w:tc>
              <w:tc>
                <w:tcPr>
                  <w:tcW w:w="891" w:type="dxa"/>
                  <w:tcBorders>
                    <w:tl2br w:val="nil"/>
                    <w:tr2bl w:val="nil"/>
                  </w:tcBorders>
                  <w:vAlign w:val="center"/>
                </w:tcPr>
                <w:p>
                  <w:pPr>
                    <w:widowControl/>
                    <w:adjustRightInd/>
                    <w:snapToGrid/>
                    <w:spacing w:line="240" w:lineRule="auto"/>
                    <w:ind w:firstLine="0" w:firstLineChars="0"/>
                    <w:jc w:val="center"/>
                    <w:textAlignment w:val="bottom"/>
                    <w:rPr>
                      <w:color w:val="auto"/>
                      <w:szCs w:val="21"/>
                    </w:rPr>
                  </w:pPr>
                  <w:r>
                    <w:rPr>
                      <w:rFonts w:hint="eastAsia"/>
                      <w:color w:val="auto"/>
                      <w:szCs w:val="21"/>
                    </w:rPr>
                    <w:t>40.4</w:t>
                  </w:r>
                </w:p>
              </w:tc>
              <w:tc>
                <w:tcPr>
                  <w:tcW w:w="728"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891" w:type="dxa"/>
                  <w:vMerge w:val="restart"/>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r>
                    <w:rPr>
                      <w:rFonts w:hint="eastAsia"/>
                      <w:color w:val="auto"/>
                      <w:kern w:val="0"/>
                      <w:szCs w:val="21"/>
                      <w:lang w:bidi="ar"/>
                    </w:rPr>
                    <w:t>15</w:t>
                  </w:r>
                </w:p>
              </w:tc>
              <w:tc>
                <w:tcPr>
                  <w:tcW w:w="11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r>
                    <w:rPr>
                      <w:rFonts w:hint="eastAsia"/>
                      <w:color w:val="auto"/>
                      <w:kern w:val="0"/>
                      <w:szCs w:val="21"/>
                      <w:lang w:bidi="ar"/>
                    </w:rPr>
                    <w:t>24.4</w:t>
                  </w:r>
                </w:p>
              </w:tc>
              <w:tc>
                <w:tcPr>
                  <w:tcW w:w="1188"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r>
                    <w:rPr>
                      <w:rFonts w:hint="eastAsia"/>
                      <w:color w:val="auto"/>
                      <w:kern w:val="0"/>
                      <w:szCs w:val="21"/>
                      <w:lang w:bidi="ar"/>
                    </w:rPr>
                    <w:t>1m</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77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75"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82"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357"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845"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826"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8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9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24"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西</w:t>
                  </w:r>
                </w:p>
              </w:tc>
              <w:tc>
                <w:tcPr>
                  <w:tcW w:w="564" w:type="dxa"/>
                  <w:tcBorders>
                    <w:tl2br w:val="nil"/>
                    <w:tr2bl w:val="nil"/>
                  </w:tcBorders>
                  <w:vAlign w:val="center"/>
                </w:tcPr>
                <w:p>
                  <w:pPr>
                    <w:widowControl/>
                    <w:adjustRightInd/>
                    <w:snapToGrid/>
                    <w:spacing w:line="240" w:lineRule="auto"/>
                    <w:ind w:firstLine="0" w:firstLineChars="0"/>
                    <w:jc w:val="center"/>
                    <w:textAlignment w:val="center"/>
                    <w:rPr>
                      <w:color w:val="auto"/>
                      <w:szCs w:val="21"/>
                    </w:rPr>
                  </w:pPr>
                  <w:r>
                    <w:rPr>
                      <w:rFonts w:hint="eastAsia"/>
                      <w:color w:val="auto"/>
                      <w:szCs w:val="21"/>
                    </w:rPr>
                    <w:t>3</w:t>
                  </w:r>
                </w:p>
              </w:tc>
              <w:tc>
                <w:tcPr>
                  <w:tcW w:w="891" w:type="dxa"/>
                  <w:tcBorders>
                    <w:tl2br w:val="nil"/>
                    <w:tr2bl w:val="nil"/>
                  </w:tcBorders>
                  <w:vAlign w:val="center"/>
                </w:tcPr>
                <w:p>
                  <w:pPr>
                    <w:widowControl/>
                    <w:adjustRightInd/>
                    <w:snapToGrid/>
                    <w:spacing w:line="240" w:lineRule="auto"/>
                    <w:ind w:firstLine="0" w:firstLineChars="0"/>
                    <w:jc w:val="center"/>
                    <w:textAlignment w:val="bottom"/>
                    <w:rPr>
                      <w:color w:val="auto"/>
                      <w:szCs w:val="21"/>
                    </w:rPr>
                  </w:pPr>
                  <w:r>
                    <w:rPr>
                      <w:rFonts w:hint="eastAsia"/>
                      <w:color w:val="auto"/>
                      <w:szCs w:val="21"/>
                    </w:rPr>
                    <w:t>55.5</w:t>
                  </w:r>
                </w:p>
              </w:tc>
              <w:tc>
                <w:tcPr>
                  <w:tcW w:w="728"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891" w:type="dxa"/>
                  <w:vMerge w:val="continue"/>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p>
              </w:tc>
              <w:tc>
                <w:tcPr>
                  <w:tcW w:w="11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r>
                    <w:rPr>
                      <w:rFonts w:hint="eastAsia"/>
                      <w:color w:val="auto"/>
                      <w:kern w:val="0"/>
                      <w:szCs w:val="21"/>
                      <w:lang w:bidi="ar"/>
                    </w:rPr>
                    <w:t>39.5</w:t>
                  </w:r>
                </w:p>
              </w:tc>
              <w:tc>
                <w:tcPr>
                  <w:tcW w:w="1188"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r>
                    <w:rPr>
                      <w:rFonts w:hint="eastAsia"/>
                      <w:color w:val="auto"/>
                      <w:kern w:val="0"/>
                      <w:szCs w:val="21"/>
                      <w:lang w:bidi="ar"/>
                    </w:rPr>
                    <w:t>1m</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77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75"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82"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357"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845"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826"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8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9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24"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南</w:t>
                  </w:r>
                </w:p>
              </w:tc>
              <w:tc>
                <w:tcPr>
                  <w:tcW w:w="564" w:type="dxa"/>
                  <w:tcBorders>
                    <w:tl2br w:val="nil"/>
                    <w:tr2bl w:val="nil"/>
                  </w:tcBorders>
                  <w:vAlign w:val="center"/>
                </w:tcPr>
                <w:p>
                  <w:pPr>
                    <w:widowControl/>
                    <w:adjustRightInd/>
                    <w:snapToGrid/>
                    <w:spacing w:line="240" w:lineRule="auto"/>
                    <w:ind w:firstLine="0" w:firstLineChars="0"/>
                    <w:jc w:val="center"/>
                    <w:textAlignment w:val="center"/>
                    <w:rPr>
                      <w:color w:val="auto"/>
                      <w:szCs w:val="21"/>
                    </w:rPr>
                  </w:pPr>
                  <w:r>
                    <w:rPr>
                      <w:rFonts w:hint="eastAsia"/>
                      <w:color w:val="auto"/>
                      <w:szCs w:val="21"/>
                    </w:rPr>
                    <w:t>3.5</w:t>
                  </w:r>
                </w:p>
              </w:tc>
              <w:tc>
                <w:tcPr>
                  <w:tcW w:w="891" w:type="dxa"/>
                  <w:tcBorders>
                    <w:tl2br w:val="nil"/>
                    <w:tr2bl w:val="nil"/>
                  </w:tcBorders>
                  <w:vAlign w:val="center"/>
                </w:tcPr>
                <w:p>
                  <w:pPr>
                    <w:widowControl/>
                    <w:adjustRightInd/>
                    <w:snapToGrid/>
                    <w:spacing w:line="240" w:lineRule="auto"/>
                    <w:ind w:firstLine="0" w:firstLineChars="0"/>
                    <w:jc w:val="center"/>
                    <w:textAlignment w:val="bottom"/>
                    <w:rPr>
                      <w:color w:val="auto"/>
                      <w:szCs w:val="21"/>
                    </w:rPr>
                  </w:pPr>
                  <w:r>
                    <w:rPr>
                      <w:rFonts w:hint="eastAsia"/>
                      <w:color w:val="auto"/>
                      <w:szCs w:val="21"/>
                    </w:rPr>
                    <w:t>54.1</w:t>
                  </w:r>
                </w:p>
              </w:tc>
              <w:tc>
                <w:tcPr>
                  <w:tcW w:w="728"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891" w:type="dxa"/>
                  <w:vMerge w:val="continue"/>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p>
              </w:tc>
              <w:tc>
                <w:tcPr>
                  <w:tcW w:w="11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r>
                    <w:rPr>
                      <w:rFonts w:hint="eastAsia"/>
                      <w:color w:val="auto"/>
                      <w:kern w:val="0"/>
                      <w:szCs w:val="21"/>
                      <w:lang w:bidi="ar"/>
                    </w:rPr>
                    <w:t>38.1</w:t>
                  </w:r>
                </w:p>
              </w:tc>
              <w:tc>
                <w:tcPr>
                  <w:tcW w:w="1188"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r>
                    <w:rPr>
                      <w:rFonts w:hint="eastAsia"/>
                      <w:color w:val="auto"/>
                      <w:kern w:val="0"/>
                      <w:szCs w:val="21"/>
                      <w:lang w:bidi="ar"/>
                    </w:rPr>
                    <w:t>1m</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77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75"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82"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357"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845"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826"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8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9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24" w:type="dxa"/>
                  <w:tcBorders>
                    <w:tl2br w:val="nil"/>
                    <w:tr2bl w:val="nil"/>
                  </w:tcBorders>
                  <w:shd w:val="clear" w:color="auto" w:fill="auto"/>
                  <w:vAlign w:val="center"/>
                </w:tcPr>
                <w:p>
                  <w:pPr>
                    <w:adjustRightInd/>
                    <w:snapToGrid/>
                    <w:spacing w:line="240" w:lineRule="auto"/>
                    <w:ind w:firstLine="0" w:firstLineChars="0"/>
                    <w:jc w:val="center"/>
                    <w:rPr>
                      <w:color w:val="auto"/>
                      <w:szCs w:val="21"/>
                    </w:rPr>
                  </w:pPr>
                  <w:r>
                    <w:rPr>
                      <w:color w:val="auto"/>
                      <w:szCs w:val="21"/>
                    </w:rPr>
                    <w:t>北</w:t>
                  </w:r>
                </w:p>
              </w:tc>
              <w:tc>
                <w:tcPr>
                  <w:tcW w:w="564" w:type="dxa"/>
                  <w:tcBorders>
                    <w:tl2br w:val="nil"/>
                    <w:tr2bl w:val="nil"/>
                  </w:tcBorders>
                  <w:vAlign w:val="center"/>
                </w:tcPr>
                <w:p>
                  <w:pPr>
                    <w:widowControl/>
                    <w:adjustRightInd/>
                    <w:snapToGrid/>
                    <w:spacing w:line="240" w:lineRule="auto"/>
                    <w:ind w:firstLine="0" w:firstLineChars="0"/>
                    <w:jc w:val="center"/>
                    <w:textAlignment w:val="center"/>
                    <w:rPr>
                      <w:color w:val="auto"/>
                      <w:szCs w:val="21"/>
                    </w:rPr>
                  </w:pPr>
                  <w:r>
                    <w:rPr>
                      <w:rFonts w:hint="eastAsia"/>
                      <w:color w:val="auto"/>
                      <w:szCs w:val="21"/>
                    </w:rPr>
                    <w:t>9.5</w:t>
                  </w:r>
                </w:p>
              </w:tc>
              <w:tc>
                <w:tcPr>
                  <w:tcW w:w="891" w:type="dxa"/>
                  <w:tcBorders>
                    <w:tl2br w:val="nil"/>
                    <w:tr2bl w:val="nil"/>
                  </w:tcBorders>
                  <w:vAlign w:val="center"/>
                </w:tcPr>
                <w:p>
                  <w:pPr>
                    <w:widowControl/>
                    <w:adjustRightInd/>
                    <w:snapToGrid/>
                    <w:spacing w:line="240" w:lineRule="auto"/>
                    <w:ind w:firstLine="0" w:firstLineChars="0"/>
                    <w:jc w:val="center"/>
                    <w:textAlignment w:val="bottom"/>
                    <w:rPr>
                      <w:color w:val="auto"/>
                      <w:szCs w:val="21"/>
                    </w:rPr>
                  </w:pPr>
                  <w:r>
                    <w:rPr>
                      <w:rFonts w:hint="eastAsia"/>
                      <w:color w:val="auto"/>
                      <w:szCs w:val="21"/>
                    </w:rPr>
                    <w:t>45.4</w:t>
                  </w:r>
                </w:p>
              </w:tc>
              <w:tc>
                <w:tcPr>
                  <w:tcW w:w="728"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891" w:type="dxa"/>
                  <w:vMerge w:val="continue"/>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p>
              </w:tc>
              <w:tc>
                <w:tcPr>
                  <w:tcW w:w="11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r>
                    <w:rPr>
                      <w:rFonts w:hint="eastAsia"/>
                      <w:color w:val="auto"/>
                      <w:kern w:val="0"/>
                      <w:szCs w:val="21"/>
                      <w:lang w:bidi="ar"/>
                    </w:rPr>
                    <w:t>29.4</w:t>
                  </w:r>
                </w:p>
              </w:tc>
              <w:tc>
                <w:tcPr>
                  <w:tcW w:w="1188"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Cs w:val="21"/>
                      <w:lang w:bidi="ar"/>
                    </w:rPr>
                  </w:pPr>
                  <w:r>
                    <w:rPr>
                      <w:rFonts w:hint="eastAsia"/>
                      <w:color w:val="auto"/>
                      <w:kern w:val="0"/>
                      <w:szCs w:val="21"/>
                      <w:lang w:bidi="ar"/>
                    </w:rPr>
                    <w:t>1m</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94" w:type="dxa"/>
                  <w:gridSpan w:val="16"/>
                  <w:tcBorders>
                    <w:tl2br w:val="nil"/>
                    <w:tr2bl w:val="nil"/>
                  </w:tcBorders>
                  <w:vAlign w:val="center"/>
                </w:tcPr>
                <w:p>
                  <w:pPr>
                    <w:widowControl/>
                    <w:adjustRightInd/>
                    <w:snapToGrid/>
                    <w:spacing w:line="240" w:lineRule="auto"/>
                    <w:ind w:firstLine="0" w:firstLineChars="0"/>
                    <w:jc w:val="left"/>
                    <w:textAlignment w:val="center"/>
                    <w:rPr>
                      <w:color w:val="auto"/>
                      <w:kern w:val="0"/>
                      <w:szCs w:val="21"/>
                      <w:lang w:bidi="ar"/>
                    </w:rPr>
                  </w:pPr>
                  <w:r>
                    <w:rPr>
                      <w:color w:val="auto"/>
                      <w:szCs w:val="21"/>
                    </w:rPr>
                    <w:t>备注：</w:t>
                  </w:r>
                  <w:r>
                    <w:rPr>
                      <w:rFonts w:hint="eastAsia" w:ascii="宋体" w:hAnsi="宋体" w:cs="宋体"/>
                      <w:color w:val="auto"/>
                      <w:szCs w:val="21"/>
                    </w:rPr>
                    <w:t>①</w:t>
                  </w:r>
                  <w:r>
                    <w:rPr>
                      <w:color w:val="auto"/>
                      <w:szCs w:val="21"/>
                    </w:rPr>
                    <w:t>本项目以医院西南角为坐标原点，南北走向为Y轴，东西走向为X轴。</w:t>
                  </w:r>
                </w:p>
              </w:tc>
            </w:tr>
          </w:tbl>
          <w:p>
            <w:pPr>
              <w:adjustRightInd/>
              <w:snapToGrid/>
              <w:spacing w:before="120" w:beforeLines="50" w:line="240" w:lineRule="auto"/>
              <w:ind w:firstLine="0" w:firstLineChars="0"/>
              <w:jc w:val="center"/>
              <w:rPr>
                <w:b/>
                <w:bCs/>
                <w:color w:val="auto"/>
                <w:szCs w:val="21"/>
              </w:rPr>
            </w:pPr>
            <w:r>
              <w:rPr>
                <w:b/>
                <w:bCs/>
                <w:color w:val="auto"/>
                <w:szCs w:val="21"/>
              </w:rPr>
              <w:t>表4-9  噪声源强调查清单（室外声源）</w:t>
            </w:r>
          </w:p>
          <w:tbl>
            <w:tblPr>
              <w:tblStyle w:val="40"/>
              <w:tblW w:w="13017" w:type="dxa"/>
              <w:tblInd w:w="1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89"/>
              <w:gridCol w:w="1687"/>
              <w:gridCol w:w="1239"/>
              <w:gridCol w:w="994"/>
              <w:gridCol w:w="994"/>
              <w:gridCol w:w="1005"/>
              <w:gridCol w:w="2020"/>
              <w:gridCol w:w="1862"/>
              <w:gridCol w:w="24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789" w:type="dxa"/>
                  <w:vMerge w:val="restart"/>
                  <w:tcBorders>
                    <w:tl2br w:val="nil"/>
                    <w:tr2bl w:val="nil"/>
                  </w:tcBorders>
                  <w:vAlign w:val="center"/>
                </w:tcPr>
                <w:p>
                  <w:pPr>
                    <w:spacing w:line="240" w:lineRule="auto"/>
                    <w:ind w:firstLine="0" w:firstLineChars="0"/>
                    <w:jc w:val="center"/>
                    <w:rPr>
                      <w:color w:val="auto"/>
                      <w:szCs w:val="21"/>
                    </w:rPr>
                  </w:pPr>
                  <w:r>
                    <w:rPr>
                      <w:color w:val="auto"/>
                      <w:szCs w:val="21"/>
                    </w:rPr>
                    <w:t>序号</w:t>
                  </w:r>
                </w:p>
              </w:tc>
              <w:tc>
                <w:tcPr>
                  <w:tcW w:w="1687" w:type="dxa"/>
                  <w:vMerge w:val="restart"/>
                  <w:tcBorders>
                    <w:tl2br w:val="nil"/>
                    <w:tr2bl w:val="nil"/>
                  </w:tcBorders>
                  <w:vAlign w:val="center"/>
                </w:tcPr>
                <w:p>
                  <w:pPr>
                    <w:spacing w:line="240" w:lineRule="auto"/>
                    <w:ind w:firstLine="0" w:firstLineChars="0"/>
                    <w:jc w:val="center"/>
                    <w:rPr>
                      <w:color w:val="auto"/>
                      <w:szCs w:val="21"/>
                    </w:rPr>
                  </w:pPr>
                  <w:r>
                    <w:rPr>
                      <w:color w:val="auto"/>
                      <w:szCs w:val="21"/>
                    </w:rPr>
                    <w:t>声源名称</w:t>
                  </w:r>
                </w:p>
              </w:tc>
              <w:tc>
                <w:tcPr>
                  <w:tcW w:w="1239" w:type="dxa"/>
                  <w:vMerge w:val="restart"/>
                  <w:tcBorders>
                    <w:tl2br w:val="nil"/>
                    <w:tr2bl w:val="nil"/>
                  </w:tcBorders>
                  <w:vAlign w:val="center"/>
                </w:tcPr>
                <w:p>
                  <w:pPr>
                    <w:spacing w:line="240" w:lineRule="auto"/>
                    <w:ind w:firstLine="0" w:firstLineChars="0"/>
                    <w:jc w:val="center"/>
                    <w:rPr>
                      <w:color w:val="auto"/>
                      <w:szCs w:val="21"/>
                    </w:rPr>
                  </w:pPr>
                  <w:r>
                    <w:rPr>
                      <w:color w:val="auto"/>
                      <w:szCs w:val="21"/>
                    </w:rPr>
                    <w:t>型号</w:t>
                  </w:r>
                </w:p>
              </w:tc>
              <w:tc>
                <w:tcPr>
                  <w:tcW w:w="2993" w:type="dxa"/>
                  <w:gridSpan w:val="3"/>
                  <w:tcBorders>
                    <w:tl2br w:val="nil"/>
                    <w:tr2bl w:val="nil"/>
                  </w:tcBorders>
                  <w:vAlign w:val="center"/>
                </w:tcPr>
                <w:p>
                  <w:pPr>
                    <w:spacing w:line="240" w:lineRule="auto"/>
                    <w:ind w:firstLine="0" w:firstLineChars="0"/>
                    <w:jc w:val="center"/>
                    <w:rPr>
                      <w:color w:val="auto"/>
                      <w:szCs w:val="21"/>
                    </w:rPr>
                  </w:pPr>
                  <w:r>
                    <w:rPr>
                      <w:color w:val="auto"/>
                      <w:szCs w:val="21"/>
                    </w:rPr>
                    <w:t>空间相对位置</w:t>
                  </w:r>
                </w:p>
              </w:tc>
              <w:tc>
                <w:tcPr>
                  <w:tcW w:w="2020" w:type="dxa"/>
                  <w:vMerge w:val="restart"/>
                  <w:tcBorders>
                    <w:tl2br w:val="nil"/>
                    <w:tr2bl w:val="nil"/>
                  </w:tcBorders>
                  <w:vAlign w:val="center"/>
                </w:tcPr>
                <w:p>
                  <w:pPr>
                    <w:spacing w:line="240" w:lineRule="auto"/>
                    <w:ind w:firstLine="0" w:firstLineChars="0"/>
                    <w:jc w:val="center"/>
                    <w:rPr>
                      <w:color w:val="auto"/>
                      <w:szCs w:val="21"/>
                    </w:rPr>
                  </w:pPr>
                  <w:r>
                    <w:rPr>
                      <w:color w:val="auto"/>
                      <w:szCs w:val="21"/>
                    </w:rPr>
                    <w:t>声压级/距声源距离（dB（A）/m）</w:t>
                  </w:r>
                </w:p>
              </w:tc>
              <w:tc>
                <w:tcPr>
                  <w:tcW w:w="1862" w:type="dxa"/>
                  <w:vMerge w:val="restart"/>
                  <w:tcBorders>
                    <w:tl2br w:val="nil"/>
                    <w:tr2bl w:val="nil"/>
                  </w:tcBorders>
                  <w:vAlign w:val="center"/>
                </w:tcPr>
                <w:p>
                  <w:pPr>
                    <w:spacing w:line="240" w:lineRule="auto"/>
                    <w:ind w:firstLine="0" w:firstLineChars="0"/>
                    <w:jc w:val="center"/>
                    <w:rPr>
                      <w:color w:val="auto"/>
                      <w:szCs w:val="21"/>
                    </w:rPr>
                  </w:pPr>
                  <w:r>
                    <w:rPr>
                      <w:color w:val="auto"/>
                      <w:szCs w:val="21"/>
                    </w:rPr>
                    <w:t>声源控制措施</w:t>
                  </w:r>
                </w:p>
              </w:tc>
              <w:tc>
                <w:tcPr>
                  <w:tcW w:w="2427" w:type="dxa"/>
                  <w:vMerge w:val="restart"/>
                  <w:tcBorders>
                    <w:tl2br w:val="nil"/>
                    <w:tr2bl w:val="nil"/>
                  </w:tcBorders>
                  <w:vAlign w:val="center"/>
                </w:tcPr>
                <w:p>
                  <w:pPr>
                    <w:spacing w:line="240" w:lineRule="auto"/>
                    <w:ind w:firstLine="0" w:firstLineChars="0"/>
                    <w:jc w:val="center"/>
                    <w:rPr>
                      <w:color w:val="auto"/>
                      <w:szCs w:val="21"/>
                    </w:rPr>
                  </w:pPr>
                  <w:r>
                    <w:rPr>
                      <w:color w:val="auto"/>
                      <w:szCs w:val="21"/>
                    </w:rPr>
                    <w:t>运行时段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trPr>
              <w:tc>
                <w:tcPr>
                  <w:tcW w:w="789" w:type="dxa"/>
                  <w:vMerge w:val="continue"/>
                  <w:tcBorders>
                    <w:tl2br w:val="nil"/>
                    <w:tr2bl w:val="nil"/>
                  </w:tcBorders>
                  <w:vAlign w:val="center"/>
                </w:tcPr>
                <w:p>
                  <w:pPr>
                    <w:spacing w:line="240" w:lineRule="auto"/>
                    <w:ind w:firstLine="0" w:firstLineChars="0"/>
                    <w:jc w:val="center"/>
                    <w:rPr>
                      <w:color w:val="auto"/>
                      <w:szCs w:val="21"/>
                    </w:rPr>
                  </w:pPr>
                </w:p>
              </w:tc>
              <w:tc>
                <w:tcPr>
                  <w:tcW w:w="1687" w:type="dxa"/>
                  <w:vMerge w:val="continue"/>
                  <w:tcBorders>
                    <w:tl2br w:val="nil"/>
                    <w:tr2bl w:val="nil"/>
                  </w:tcBorders>
                  <w:vAlign w:val="center"/>
                </w:tcPr>
                <w:p>
                  <w:pPr>
                    <w:spacing w:line="240" w:lineRule="auto"/>
                    <w:ind w:firstLine="0" w:firstLineChars="0"/>
                    <w:jc w:val="center"/>
                    <w:rPr>
                      <w:color w:val="auto"/>
                      <w:szCs w:val="21"/>
                    </w:rPr>
                  </w:pPr>
                </w:p>
              </w:tc>
              <w:tc>
                <w:tcPr>
                  <w:tcW w:w="1239" w:type="dxa"/>
                  <w:vMerge w:val="continue"/>
                  <w:tcBorders>
                    <w:tl2br w:val="nil"/>
                    <w:tr2bl w:val="nil"/>
                  </w:tcBorders>
                  <w:vAlign w:val="center"/>
                </w:tcPr>
                <w:p>
                  <w:pPr>
                    <w:spacing w:line="240" w:lineRule="auto"/>
                    <w:ind w:firstLine="0" w:firstLineChars="0"/>
                    <w:jc w:val="center"/>
                    <w:rPr>
                      <w:color w:val="auto"/>
                      <w:szCs w:val="21"/>
                    </w:rPr>
                  </w:pPr>
                </w:p>
              </w:tc>
              <w:tc>
                <w:tcPr>
                  <w:tcW w:w="994" w:type="dxa"/>
                  <w:tcBorders>
                    <w:tl2br w:val="nil"/>
                    <w:tr2bl w:val="nil"/>
                  </w:tcBorders>
                  <w:vAlign w:val="center"/>
                </w:tcPr>
                <w:p>
                  <w:pPr>
                    <w:spacing w:line="240" w:lineRule="auto"/>
                    <w:ind w:firstLine="0" w:firstLineChars="0"/>
                    <w:jc w:val="center"/>
                    <w:rPr>
                      <w:color w:val="auto"/>
                      <w:szCs w:val="21"/>
                    </w:rPr>
                  </w:pPr>
                  <w:r>
                    <w:rPr>
                      <w:color w:val="auto"/>
                      <w:szCs w:val="21"/>
                    </w:rPr>
                    <w:t>X</w:t>
                  </w:r>
                </w:p>
              </w:tc>
              <w:tc>
                <w:tcPr>
                  <w:tcW w:w="994" w:type="dxa"/>
                  <w:tcBorders>
                    <w:tl2br w:val="nil"/>
                    <w:tr2bl w:val="nil"/>
                  </w:tcBorders>
                  <w:vAlign w:val="center"/>
                </w:tcPr>
                <w:p>
                  <w:pPr>
                    <w:spacing w:line="240" w:lineRule="auto"/>
                    <w:ind w:firstLine="0" w:firstLineChars="0"/>
                    <w:jc w:val="center"/>
                    <w:rPr>
                      <w:color w:val="auto"/>
                      <w:szCs w:val="21"/>
                    </w:rPr>
                  </w:pPr>
                  <w:r>
                    <w:rPr>
                      <w:color w:val="auto"/>
                      <w:szCs w:val="21"/>
                    </w:rPr>
                    <w:t>Y</w:t>
                  </w:r>
                </w:p>
              </w:tc>
              <w:tc>
                <w:tcPr>
                  <w:tcW w:w="1005" w:type="dxa"/>
                  <w:tcBorders>
                    <w:tl2br w:val="nil"/>
                    <w:tr2bl w:val="nil"/>
                  </w:tcBorders>
                  <w:vAlign w:val="center"/>
                </w:tcPr>
                <w:p>
                  <w:pPr>
                    <w:spacing w:line="240" w:lineRule="auto"/>
                    <w:ind w:firstLine="0" w:firstLineChars="0"/>
                    <w:jc w:val="center"/>
                    <w:rPr>
                      <w:color w:val="auto"/>
                      <w:szCs w:val="21"/>
                    </w:rPr>
                  </w:pPr>
                  <w:r>
                    <w:rPr>
                      <w:color w:val="auto"/>
                      <w:szCs w:val="21"/>
                    </w:rPr>
                    <w:t>Z</w:t>
                  </w:r>
                </w:p>
              </w:tc>
              <w:tc>
                <w:tcPr>
                  <w:tcW w:w="2020" w:type="dxa"/>
                  <w:vMerge w:val="continue"/>
                  <w:tcBorders>
                    <w:tl2br w:val="nil"/>
                    <w:tr2bl w:val="nil"/>
                  </w:tcBorders>
                  <w:vAlign w:val="center"/>
                </w:tcPr>
                <w:p>
                  <w:pPr>
                    <w:spacing w:line="240" w:lineRule="auto"/>
                    <w:ind w:firstLine="0" w:firstLineChars="0"/>
                    <w:jc w:val="center"/>
                    <w:rPr>
                      <w:color w:val="auto"/>
                      <w:szCs w:val="21"/>
                    </w:rPr>
                  </w:pPr>
                </w:p>
              </w:tc>
              <w:tc>
                <w:tcPr>
                  <w:tcW w:w="1862" w:type="dxa"/>
                  <w:vMerge w:val="continue"/>
                  <w:tcBorders>
                    <w:tl2br w:val="nil"/>
                    <w:tr2bl w:val="nil"/>
                  </w:tcBorders>
                  <w:vAlign w:val="center"/>
                </w:tcPr>
                <w:p>
                  <w:pPr>
                    <w:spacing w:line="240" w:lineRule="auto"/>
                    <w:ind w:firstLine="0" w:firstLineChars="0"/>
                    <w:jc w:val="center"/>
                    <w:rPr>
                      <w:color w:val="auto"/>
                      <w:szCs w:val="21"/>
                    </w:rPr>
                  </w:pPr>
                </w:p>
              </w:tc>
              <w:tc>
                <w:tcPr>
                  <w:tcW w:w="2427" w:type="dxa"/>
                  <w:vMerge w:val="continue"/>
                  <w:tcBorders>
                    <w:tl2br w:val="nil"/>
                    <w:tr2bl w:val="nil"/>
                  </w:tcBorders>
                  <w:vAlign w:val="center"/>
                </w:tcPr>
                <w:p>
                  <w:pPr>
                    <w:spacing w:line="240" w:lineRule="auto"/>
                    <w:ind w:firstLine="0" w:firstLineChars="0"/>
                    <w:jc w:val="center"/>
                    <w:rPr>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789" w:type="dxa"/>
                  <w:tcBorders>
                    <w:tl2br w:val="nil"/>
                    <w:tr2bl w:val="nil"/>
                  </w:tcBorders>
                  <w:vAlign w:val="center"/>
                </w:tcPr>
                <w:p>
                  <w:pPr>
                    <w:spacing w:line="240" w:lineRule="auto"/>
                    <w:ind w:firstLine="0" w:firstLineChars="0"/>
                    <w:jc w:val="center"/>
                    <w:rPr>
                      <w:color w:val="auto"/>
                      <w:szCs w:val="21"/>
                    </w:rPr>
                  </w:pPr>
                  <w:r>
                    <w:rPr>
                      <w:color w:val="auto"/>
                      <w:szCs w:val="21"/>
                    </w:rPr>
                    <w:t>1</w:t>
                  </w:r>
                </w:p>
              </w:tc>
              <w:tc>
                <w:tcPr>
                  <w:tcW w:w="1687" w:type="dxa"/>
                  <w:tcBorders>
                    <w:tl2br w:val="nil"/>
                    <w:tr2bl w:val="nil"/>
                  </w:tcBorders>
                  <w:vAlign w:val="center"/>
                </w:tcPr>
                <w:p>
                  <w:pPr>
                    <w:spacing w:line="240" w:lineRule="auto"/>
                    <w:ind w:firstLine="0" w:firstLineChars="0"/>
                    <w:jc w:val="center"/>
                    <w:rPr>
                      <w:color w:val="auto"/>
                      <w:szCs w:val="21"/>
                      <w:highlight w:val="none"/>
                    </w:rPr>
                  </w:pPr>
                  <w:r>
                    <w:rPr>
                      <w:rFonts w:hint="eastAsia"/>
                      <w:color w:val="auto"/>
                      <w:szCs w:val="21"/>
                      <w:highlight w:val="none"/>
                    </w:rPr>
                    <w:t>空调外机机组</w:t>
                  </w:r>
                </w:p>
              </w:tc>
              <w:tc>
                <w:tcPr>
                  <w:tcW w:w="1239" w:type="dxa"/>
                  <w:tcBorders>
                    <w:tl2br w:val="nil"/>
                    <w:tr2bl w:val="nil"/>
                  </w:tcBorders>
                  <w:vAlign w:val="center"/>
                </w:tcPr>
                <w:p>
                  <w:pPr>
                    <w:spacing w:line="240" w:lineRule="auto"/>
                    <w:ind w:firstLine="0" w:firstLineChars="0"/>
                    <w:jc w:val="center"/>
                    <w:rPr>
                      <w:color w:val="auto"/>
                      <w:szCs w:val="21"/>
                      <w:highlight w:val="none"/>
                    </w:rPr>
                  </w:pPr>
                  <w:r>
                    <w:rPr>
                      <w:color w:val="auto"/>
                      <w:szCs w:val="21"/>
                      <w:highlight w:val="none"/>
                    </w:rPr>
                    <w:t>/</w:t>
                  </w:r>
                </w:p>
              </w:tc>
              <w:tc>
                <w:tcPr>
                  <w:tcW w:w="994" w:type="dxa"/>
                  <w:tcBorders>
                    <w:tl2br w:val="nil"/>
                    <w:tr2bl w:val="nil"/>
                  </w:tcBorders>
                  <w:vAlign w:val="center"/>
                </w:tcPr>
                <w:p>
                  <w:pPr>
                    <w:spacing w:line="240" w:lineRule="auto"/>
                    <w:ind w:firstLine="0" w:firstLineChars="0"/>
                    <w:jc w:val="center"/>
                    <w:rPr>
                      <w:color w:val="auto"/>
                      <w:szCs w:val="21"/>
                    </w:rPr>
                  </w:pPr>
                  <w:r>
                    <w:rPr>
                      <w:rFonts w:hint="eastAsia"/>
                      <w:color w:val="auto"/>
                      <w:szCs w:val="21"/>
                    </w:rPr>
                    <w:t>9</w:t>
                  </w:r>
                </w:p>
              </w:tc>
              <w:tc>
                <w:tcPr>
                  <w:tcW w:w="994" w:type="dxa"/>
                  <w:tcBorders>
                    <w:tl2br w:val="nil"/>
                    <w:tr2bl w:val="nil"/>
                  </w:tcBorders>
                  <w:vAlign w:val="center"/>
                </w:tcPr>
                <w:p>
                  <w:pPr>
                    <w:spacing w:line="240" w:lineRule="auto"/>
                    <w:ind w:firstLine="0" w:firstLineChars="0"/>
                    <w:jc w:val="center"/>
                    <w:rPr>
                      <w:color w:val="auto"/>
                      <w:szCs w:val="21"/>
                    </w:rPr>
                  </w:pPr>
                  <w:r>
                    <w:rPr>
                      <w:rFonts w:hint="eastAsia"/>
                      <w:color w:val="auto"/>
                      <w:szCs w:val="21"/>
                    </w:rPr>
                    <w:t>0</w:t>
                  </w:r>
                </w:p>
              </w:tc>
              <w:tc>
                <w:tcPr>
                  <w:tcW w:w="1005" w:type="dxa"/>
                  <w:tcBorders>
                    <w:tl2br w:val="nil"/>
                    <w:tr2bl w:val="nil"/>
                  </w:tcBorders>
                  <w:vAlign w:val="center"/>
                </w:tcPr>
                <w:p>
                  <w:pPr>
                    <w:spacing w:line="240" w:lineRule="auto"/>
                    <w:ind w:firstLine="0" w:firstLineChars="0"/>
                    <w:jc w:val="center"/>
                    <w:rPr>
                      <w:color w:val="auto"/>
                      <w:szCs w:val="21"/>
                    </w:rPr>
                  </w:pPr>
                  <w:r>
                    <w:rPr>
                      <w:color w:val="auto"/>
                      <w:szCs w:val="21"/>
                    </w:rPr>
                    <w:t>4.0</w:t>
                  </w:r>
                </w:p>
              </w:tc>
              <w:tc>
                <w:tcPr>
                  <w:tcW w:w="2020" w:type="dxa"/>
                  <w:tcBorders>
                    <w:tl2br w:val="nil"/>
                    <w:tr2bl w:val="nil"/>
                  </w:tcBorders>
                  <w:vAlign w:val="center"/>
                </w:tcPr>
                <w:p>
                  <w:pPr>
                    <w:spacing w:line="240" w:lineRule="auto"/>
                    <w:ind w:firstLine="0" w:firstLineChars="0"/>
                    <w:jc w:val="center"/>
                    <w:rPr>
                      <w:color w:val="auto"/>
                      <w:szCs w:val="21"/>
                    </w:rPr>
                  </w:pPr>
                  <w:r>
                    <w:rPr>
                      <w:color w:val="auto"/>
                      <w:szCs w:val="21"/>
                    </w:rPr>
                    <w:t>56/1</w:t>
                  </w:r>
                </w:p>
              </w:tc>
              <w:tc>
                <w:tcPr>
                  <w:tcW w:w="1862" w:type="dxa"/>
                  <w:tcBorders>
                    <w:tl2br w:val="nil"/>
                    <w:tr2bl w:val="nil"/>
                  </w:tcBorders>
                  <w:vAlign w:val="center"/>
                </w:tcPr>
                <w:p>
                  <w:pPr>
                    <w:spacing w:line="240" w:lineRule="auto"/>
                    <w:ind w:firstLine="0" w:firstLineChars="0"/>
                    <w:jc w:val="center"/>
                    <w:rPr>
                      <w:color w:val="auto"/>
                      <w:szCs w:val="21"/>
                    </w:rPr>
                  </w:pPr>
                  <w:r>
                    <w:rPr>
                      <w:rFonts w:hint="eastAsia"/>
                      <w:color w:val="auto"/>
                      <w:szCs w:val="21"/>
                    </w:rPr>
                    <w:t>隔声</w:t>
                  </w:r>
                  <w:r>
                    <w:rPr>
                      <w:color w:val="auto"/>
                      <w:szCs w:val="21"/>
                    </w:rPr>
                    <w:t>、减振</w:t>
                  </w:r>
                </w:p>
              </w:tc>
              <w:tc>
                <w:tcPr>
                  <w:tcW w:w="2427" w:type="dxa"/>
                  <w:tcBorders>
                    <w:tl2br w:val="nil"/>
                    <w:tr2bl w:val="nil"/>
                  </w:tcBorders>
                  <w:vAlign w:val="center"/>
                </w:tcPr>
                <w:p>
                  <w:pPr>
                    <w:spacing w:line="240" w:lineRule="auto"/>
                    <w:ind w:firstLine="0" w:firstLineChars="0"/>
                    <w:jc w:val="center"/>
                    <w:rPr>
                      <w:color w:val="auto"/>
                      <w:szCs w:val="21"/>
                    </w:rPr>
                  </w:pPr>
                  <w:r>
                    <w:rPr>
                      <w:color w:val="auto"/>
                    </w:rPr>
                    <w:t>昼间、夜间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13017" w:type="dxa"/>
                  <w:gridSpan w:val="9"/>
                  <w:tcBorders>
                    <w:tl2br w:val="nil"/>
                    <w:tr2bl w:val="nil"/>
                  </w:tcBorders>
                  <w:shd w:val="clear" w:color="auto" w:fill="auto"/>
                  <w:vAlign w:val="center"/>
                </w:tcPr>
                <w:p>
                  <w:pPr>
                    <w:spacing w:line="240" w:lineRule="auto"/>
                    <w:ind w:firstLine="0" w:firstLineChars="0"/>
                    <w:jc w:val="left"/>
                    <w:rPr>
                      <w:color w:val="auto"/>
                      <w:szCs w:val="21"/>
                      <w:highlight w:val="none"/>
                    </w:rPr>
                  </w:pPr>
                  <w:r>
                    <w:rPr>
                      <w:color w:val="auto"/>
                      <w:szCs w:val="21"/>
                      <w:highlight w:val="none"/>
                    </w:rPr>
                    <w:t>备注：</w:t>
                  </w:r>
                  <w:r>
                    <w:rPr>
                      <w:rFonts w:hint="eastAsia"/>
                      <w:color w:val="auto"/>
                      <w:szCs w:val="21"/>
                      <w:highlight w:val="none"/>
                    </w:rPr>
                    <w:t>①</w:t>
                  </w:r>
                  <w:r>
                    <w:rPr>
                      <w:color w:val="auto"/>
                      <w:szCs w:val="21"/>
                      <w:highlight w:val="none"/>
                    </w:rPr>
                    <w:t>本项目以</w:t>
                  </w:r>
                  <w:r>
                    <w:rPr>
                      <w:rFonts w:hint="eastAsia"/>
                      <w:color w:val="auto"/>
                      <w:szCs w:val="21"/>
                      <w:highlight w:val="none"/>
                    </w:rPr>
                    <w:t>院内</w:t>
                  </w:r>
                  <w:r>
                    <w:rPr>
                      <w:color w:val="auto"/>
                      <w:szCs w:val="21"/>
                      <w:highlight w:val="none"/>
                    </w:rPr>
                    <w:t>中心为空间相对位置坐标原点，南北走向为</w:t>
                  </w:r>
                  <w:r>
                    <w:rPr>
                      <w:rFonts w:hint="eastAsia"/>
                      <w:color w:val="auto"/>
                      <w:szCs w:val="21"/>
                      <w:highlight w:val="none"/>
                    </w:rPr>
                    <w:t>Y</w:t>
                  </w:r>
                  <w:r>
                    <w:rPr>
                      <w:color w:val="auto"/>
                      <w:szCs w:val="21"/>
                      <w:highlight w:val="none"/>
                    </w:rPr>
                    <w:t>轴，东西走向为</w:t>
                  </w:r>
                  <w:r>
                    <w:rPr>
                      <w:rFonts w:hint="eastAsia"/>
                      <w:color w:val="auto"/>
                      <w:szCs w:val="21"/>
                      <w:highlight w:val="none"/>
                    </w:rPr>
                    <w:t>X</w:t>
                  </w:r>
                  <w:r>
                    <w:rPr>
                      <w:color w:val="auto"/>
                      <w:szCs w:val="21"/>
                      <w:highlight w:val="none"/>
                    </w:rPr>
                    <w:t>轴。</w:t>
                  </w:r>
                </w:p>
                <w:p>
                  <w:pPr>
                    <w:spacing w:line="240" w:lineRule="auto"/>
                    <w:ind w:firstLine="0" w:firstLineChars="0"/>
                    <w:jc w:val="left"/>
                    <w:rPr>
                      <w:color w:val="auto"/>
                      <w:szCs w:val="21"/>
                      <w:highlight w:val="none"/>
                    </w:rPr>
                  </w:pPr>
                  <w:r>
                    <w:rPr>
                      <w:rFonts w:hint="eastAsia"/>
                      <w:color w:val="auto"/>
                      <w:szCs w:val="21"/>
                      <w:highlight w:val="none"/>
                    </w:rPr>
                    <w:t>②本项目使用的空调均为家用型挂机、柜机，空调外机噪声较小，噪声源约为56dB(A)，</w:t>
                  </w:r>
                  <w:r>
                    <w:rPr>
                      <w:color w:val="auto"/>
                      <w:szCs w:val="21"/>
                      <w:highlight w:val="none"/>
                    </w:rPr>
                    <w:t>外机置于固定空间内，</w:t>
                  </w:r>
                  <w:r>
                    <w:rPr>
                      <w:rFonts w:hint="eastAsia"/>
                      <w:color w:val="auto"/>
                      <w:szCs w:val="21"/>
                      <w:highlight w:val="none"/>
                    </w:rPr>
                    <w:t>削减</w:t>
                  </w:r>
                  <w:r>
                    <w:rPr>
                      <w:color w:val="auto"/>
                      <w:szCs w:val="21"/>
                      <w:highlight w:val="none"/>
                    </w:rPr>
                    <w:t>量考虑为10dB。</w:t>
                  </w:r>
                </w:p>
              </w:tc>
            </w:tr>
          </w:tbl>
          <w:p>
            <w:pPr>
              <w:ind w:firstLine="562"/>
              <w:rPr>
                <w:b/>
                <w:color w:val="auto"/>
                <w:kern w:val="0"/>
                <w:sz w:val="28"/>
                <w:szCs w:val="28"/>
              </w:rPr>
            </w:pPr>
          </w:p>
        </w:tc>
      </w:tr>
    </w:tbl>
    <w:p>
      <w:pPr>
        <w:ind w:firstLine="420"/>
        <w:rPr>
          <w:color w:val="auto"/>
        </w:rPr>
        <w:sectPr>
          <w:pgSz w:w="16840" w:h="11907" w:orient="landscape"/>
          <w:pgMar w:top="1080" w:right="1440" w:bottom="1080" w:left="1440" w:header="851" w:footer="851" w:gutter="0"/>
          <w:cols w:space="720" w:num="1"/>
          <w:docGrid w:linePitch="312" w:charSpace="0"/>
        </w:sectPr>
      </w:pPr>
    </w:p>
    <w:tbl>
      <w:tblPr>
        <w:tblStyle w:val="40"/>
        <w:tblW w:w="100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9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9" w:hRule="atLeast"/>
          <w:jc w:val="center"/>
        </w:trPr>
        <w:tc>
          <w:tcPr>
            <w:tcW w:w="714" w:type="dxa"/>
            <w:tcMar>
              <w:left w:w="28" w:type="dxa"/>
              <w:right w:w="28" w:type="dxa"/>
            </w:tcMar>
            <w:vAlign w:val="center"/>
          </w:tcPr>
          <w:p>
            <w:pPr>
              <w:ind w:firstLine="0" w:firstLineChars="0"/>
              <w:jc w:val="center"/>
              <w:rPr>
                <w:bCs/>
                <w:color w:val="auto"/>
                <w:szCs w:val="21"/>
              </w:rPr>
            </w:pPr>
            <w:r>
              <w:rPr>
                <w:bCs/>
                <w:color w:val="auto"/>
                <w:szCs w:val="21"/>
              </w:rPr>
              <w:t>运营期环境影响和保护措施</w:t>
            </w:r>
          </w:p>
        </w:tc>
        <w:tc>
          <w:tcPr>
            <w:tcW w:w="9301" w:type="dxa"/>
            <w:vAlign w:val="center"/>
          </w:tcPr>
          <w:p>
            <w:pPr>
              <w:pStyle w:val="23"/>
              <w:adjustRightInd/>
              <w:snapToGrid/>
              <w:spacing w:before="120" w:beforeLines="50"/>
              <w:ind w:firstLine="422"/>
              <w:rPr>
                <w:rFonts w:ascii="Times New Roman" w:hAnsi="Times New Roman" w:cs="Times New Roman"/>
                <w:b/>
                <w:bCs/>
                <w:color w:val="auto"/>
              </w:rPr>
            </w:pPr>
            <w:r>
              <w:rPr>
                <w:rFonts w:ascii="Times New Roman" w:hAnsi="Times New Roman" w:cs="Times New Roman"/>
                <w:b/>
                <w:bCs/>
                <w:color w:val="auto"/>
              </w:rPr>
              <w:t>（2）预测模式</w:t>
            </w:r>
          </w:p>
          <w:p>
            <w:pPr>
              <w:ind w:firstLine="420"/>
              <w:rPr>
                <w:color w:val="auto"/>
              </w:rPr>
            </w:pPr>
            <w:r>
              <w:rPr>
                <w:color w:val="auto"/>
              </w:rPr>
              <w:t>预测采用《环境影响评价技术导则 声环境》（HJ2.4-2021）中推荐的噪声源衰减公式。</w:t>
            </w:r>
          </w:p>
          <w:p>
            <w:pPr>
              <w:ind w:firstLine="420"/>
              <w:rPr>
                <w:color w:val="auto"/>
              </w:rPr>
            </w:pPr>
            <w:r>
              <w:rPr>
                <w:color w:val="auto"/>
              </w:rPr>
              <w:fldChar w:fldCharType="begin"/>
            </w:r>
            <w:r>
              <w:rPr>
                <w:color w:val="auto"/>
              </w:rPr>
              <w:instrText xml:space="preserve"> = 1 \* GB3 </w:instrText>
            </w:r>
            <w:r>
              <w:rPr>
                <w:color w:val="auto"/>
              </w:rPr>
              <w:fldChar w:fldCharType="separate"/>
            </w:r>
            <w:r>
              <w:rPr>
                <w:rFonts w:hint="eastAsia" w:ascii="宋体" w:hAnsi="宋体" w:cs="宋体"/>
                <w:color w:val="auto"/>
              </w:rPr>
              <w:t>①</w:t>
            </w:r>
            <w:r>
              <w:rPr>
                <w:color w:val="auto"/>
              </w:rPr>
              <w:fldChar w:fldCharType="end"/>
            </w:r>
            <w:r>
              <w:rPr>
                <w:color w:val="auto"/>
              </w:rPr>
              <w:t>点声源的几何衰减公式计算：</w:t>
            </w:r>
          </w:p>
          <w:p>
            <w:pPr>
              <w:autoSpaceDE w:val="0"/>
              <w:autoSpaceDN w:val="0"/>
              <w:ind w:firstLine="420"/>
              <w:textAlignment w:val="baseline"/>
              <w:rPr>
                <w:bCs/>
                <w:i/>
                <w:color w:val="auto"/>
              </w:rPr>
            </w:pPr>
            <m:oMathPara>
              <m:oMath>
                <m:sSub>
                  <m:sSubPr>
                    <m:ctrlPr>
                      <w:rPr>
                        <w:rFonts w:ascii="Cambria Math" w:hAnsi="Cambria Math"/>
                        <w:bCs/>
                        <w:i/>
                        <w:color w:val="auto"/>
                      </w:rPr>
                    </m:ctrlPr>
                  </m:sSubPr>
                  <m:e>
                    <m:r>
                      <m:rPr>
                        <m:nor/>
                      </m:rPr>
                      <w:rPr>
                        <w:bCs/>
                        <w:i/>
                        <w:color w:val="auto"/>
                      </w:rPr>
                      <m:t>L</m:t>
                    </m:r>
                    <m:ctrlPr>
                      <w:rPr>
                        <w:rFonts w:ascii="Cambria Math" w:hAnsi="Cambria Math"/>
                        <w:bCs/>
                        <w:i/>
                        <w:color w:val="auto"/>
                      </w:rPr>
                    </m:ctrlPr>
                  </m:e>
                  <m:sub>
                    <m:r>
                      <m:rPr>
                        <m:nor/>
                      </m:rPr>
                      <w:rPr>
                        <w:bCs/>
                        <w:i/>
                        <w:color w:val="auto"/>
                      </w:rPr>
                      <m:t>p</m:t>
                    </m:r>
                    <m:ctrlPr>
                      <w:rPr>
                        <w:rFonts w:ascii="Cambria Math" w:hAnsi="Cambria Math"/>
                        <w:bCs/>
                        <w:i/>
                        <w:color w:val="auto"/>
                      </w:rPr>
                    </m:ctrlPr>
                  </m:sub>
                </m:sSub>
                <m:d>
                  <m:dPr>
                    <m:ctrlPr>
                      <w:rPr>
                        <w:rFonts w:ascii="Cambria Math" w:hAnsi="Cambria Math"/>
                        <w:bCs/>
                        <w:i/>
                        <w:color w:val="auto"/>
                      </w:rPr>
                    </m:ctrlPr>
                  </m:dPr>
                  <m:e>
                    <m:r>
                      <m:rPr>
                        <m:nor/>
                      </m:rPr>
                      <w:rPr>
                        <w:bCs/>
                        <w:i/>
                        <w:color w:val="auto"/>
                      </w:rPr>
                      <m:t>r</m:t>
                    </m:r>
                    <m:ctrlPr>
                      <w:rPr>
                        <w:rFonts w:ascii="Cambria Math" w:hAnsi="Cambria Math"/>
                        <w:bCs/>
                        <w:i/>
                        <w:color w:val="auto"/>
                      </w:rPr>
                    </m:ctrlPr>
                  </m:e>
                </m:d>
                <m:r>
                  <m:rPr>
                    <m:nor/>
                  </m:rPr>
                  <w:rPr>
                    <w:bCs/>
                    <w:i/>
                    <w:color w:val="auto"/>
                  </w:rPr>
                  <m:t xml:space="preserve"> = </m:t>
                </m:r>
                <m:sSub>
                  <m:sSubPr>
                    <m:ctrlPr>
                      <w:rPr>
                        <w:rFonts w:ascii="Cambria Math" w:hAnsi="Cambria Math"/>
                        <w:bCs/>
                        <w:i/>
                        <w:color w:val="auto"/>
                      </w:rPr>
                    </m:ctrlPr>
                  </m:sSubPr>
                  <m:e>
                    <m:r>
                      <m:rPr>
                        <m:nor/>
                      </m:rPr>
                      <w:rPr>
                        <w:bCs/>
                        <w:i/>
                        <w:color w:val="auto"/>
                      </w:rPr>
                      <m:t>L</m:t>
                    </m:r>
                    <m:ctrlPr>
                      <w:rPr>
                        <w:rFonts w:ascii="Cambria Math" w:hAnsi="Cambria Math"/>
                        <w:bCs/>
                        <w:i/>
                        <w:color w:val="auto"/>
                      </w:rPr>
                    </m:ctrlPr>
                  </m:e>
                  <m:sub>
                    <m:r>
                      <m:rPr>
                        <m:nor/>
                      </m:rPr>
                      <w:rPr>
                        <w:bCs/>
                        <w:i/>
                        <w:color w:val="auto"/>
                      </w:rPr>
                      <m:t>p</m:t>
                    </m:r>
                    <m:ctrlPr>
                      <w:rPr>
                        <w:rFonts w:ascii="Cambria Math" w:hAnsi="Cambria Math"/>
                        <w:bCs/>
                        <w:i/>
                        <w:color w:val="auto"/>
                      </w:rPr>
                    </m:ctrlPr>
                  </m:sub>
                </m:sSub>
                <m:d>
                  <m:dPr>
                    <m:ctrlPr>
                      <w:rPr>
                        <w:rFonts w:ascii="Cambria Math" w:hAnsi="Cambria Math"/>
                        <w:bCs/>
                        <w:i/>
                        <w:color w:val="auto"/>
                      </w:rPr>
                    </m:ctrlPr>
                  </m:dPr>
                  <m:e>
                    <m:sSub>
                      <m:sSubPr>
                        <m:ctrlPr>
                          <w:rPr>
                            <w:rFonts w:ascii="Cambria Math" w:hAnsi="Cambria Math"/>
                            <w:bCs/>
                            <w:i/>
                            <w:color w:val="auto"/>
                          </w:rPr>
                        </m:ctrlPr>
                      </m:sSubPr>
                      <m:e>
                        <m:r>
                          <m:rPr>
                            <m:nor/>
                          </m:rPr>
                          <w:rPr>
                            <w:bCs/>
                            <w:i/>
                            <w:color w:val="auto"/>
                          </w:rPr>
                          <m:t>r</m:t>
                        </m:r>
                        <m:ctrlPr>
                          <w:rPr>
                            <w:rFonts w:ascii="Cambria Math" w:hAnsi="Cambria Math"/>
                            <w:bCs/>
                            <w:i/>
                            <w:color w:val="auto"/>
                          </w:rPr>
                        </m:ctrlPr>
                      </m:e>
                      <m:sub>
                        <m:r>
                          <m:rPr>
                            <m:nor/>
                          </m:rPr>
                          <w:rPr>
                            <w:bCs/>
                            <w:i/>
                            <w:color w:val="auto"/>
                          </w:rPr>
                          <m:t>0</m:t>
                        </m:r>
                        <m:ctrlPr>
                          <w:rPr>
                            <w:rFonts w:ascii="Cambria Math" w:hAnsi="Cambria Math"/>
                            <w:bCs/>
                            <w:i/>
                            <w:color w:val="auto"/>
                          </w:rPr>
                        </m:ctrlPr>
                      </m:sub>
                    </m:sSub>
                    <m:ctrlPr>
                      <w:rPr>
                        <w:rFonts w:ascii="Cambria Math" w:hAnsi="Cambria Math"/>
                        <w:bCs/>
                        <w:i/>
                        <w:color w:val="auto"/>
                      </w:rPr>
                    </m:ctrlPr>
                  </m:e>
                </m:d>
                <m:r>
                  <w:rPr>
                    <w:rFonts w:ascii="Cambria Math" w:hAnsi="Cambria Math"/>
                    <w:color w:val="auto"/>
                  </w:rPr>
                  <m:t xml:space="preserve"> −</m:t>
                </m:r>
                <m:r>
                  <m:rPr>
                    <m:nor/>
                  </m:rPr>
                  <w:rPr>
                    <w:bCs/>
                    <w:i/>
                    <w:color w:val="auto"/>
                  </w:rPr>
                  <m:t xml:space="preserve"> 20lg(r/</m:t>
                </m:r>
                <m:sSub>
                  <m:sSubPr>
                    <m:ctrlPr>
                      <w:rPr>
                        <w:rFonts w:ascii="Cambria Math" w:hAnsi="Cambria Math"/>
                        <w:bCs/>
                        <w:i/>
                        <w:color w:val="auto"/>
                      </w:rPr>
                    </m:ctrlPr>
                  </m:sSubPr>
                  <m:e>
                    <m:r>
                      <m:rPr>
                        <m:nor/>
                      </m:rPr>
                      <w:rPr>
                        <w:bCs/>
                        <w:i/>
                        <w:color w:val="auto"/>
                      </w:rPr>
                      <m:t>r</m:t>
                    </m:r>
                    <m:ctrlPr>
                      <w:rPr>
                        <w:rFonts w:ascii="Cambria Math" w:hAnsi="Cambria Math"/>
                        <w:bCs/>
                        <w:i/>
                        <w:color w:val="auto"/>
                      </w:rPr>
                    </m:ctrlPr>
                  </m:e>
                  <m:sub>
                    <m:r>
                      <m:rPr>
                        <m:nor/>
                      </m:rPr>
                      <w:rPr>
                        <w:bCs/>
                        <w:i/>
                        <w:color w:val="auto"/>
                      </w:rPr>
                      <m:t>0</m:t>
                    </m:r>
                    <m:ctrlPr>
                      <w:rPr>
                        <w:rFonts w:ascii="Cambria Math" w:hAnsi="Cambria Math"/>
                        <w:bCs/>
                        <w:i/>
                        <w:color w:val="auto"/>
                      </w:rPr>
                    </m:ctrlPr>
                  </m:sub>
                </m:sSub>
                <m:r>
                  <m:rPr>
                    <m:nor/>
                  </m:rPr>
                  <w:rPr>
                    <w:bCs/>
                    <w:i/>
                    <w:color w:val="auto"/>
                  </w:rPr>
                  <m:t>)</m:t>
                </m:r>
              </m:oMath>
            </m:oMathPara>
          </w:p>
          <w:p>
            <w:pPr>
              <w:ind w:firstLine="420"/>
              <w:rPr>
                <w:color w:val="auto"/>
              </w:rPr>
            </w:pPr>
            <w:r>
              <w:rPr>
                <w:color w:val="auto"/>
              </w:rPr>
              <w:t>式中：</w:t>
            </w:r>
            <w:r>
              <w:rPr>
                <w:i/>
                <w:color w:val="auto"/>
              </w:rPr>
              <w:t>L</w:t>
            </w:r>
            <w:r>
              <w:rPr>
                <w:i/>
                <w:color w:val="auto"/>
                <w:vertAlign w:val="subscript"/>
              </w:rPr>
              <w:t>P</w:t>
            </w:r>
            <w:r>
              <w:rPr>
                <w:i/>
                <w:color w:val="auto"/>
              </w:rPr>
              <w:t>(r)</w:t>
            </w:r>
            <w:r>
              <w:rPr>
                <w:color w:val="auto"/>
              </w:rPr>
              <w:t>——预测点处声压级，dB（A）；</w:t>
            </w:r>
          </w:p>
          <w:p>
            <w:pPr>
              <w:ind w:firstLine="420"/>
              <w:rPr>
                <w:color w:val="auto"/>
              </w:rPr>
            </w:pPr>
            <w:r>
              <w:rPr>
                <w:color w:val="auto"/>
              </w:rPr>
              <w:t xml:space="preserve">       </w:t>
            </w:r>
            <w:r>
              <w:rPr>
                <w:i/>
                <w:color w:val="auto"/>
              </w:rPr>
              <w:t>L</w:t>
            </w:r>
            <w:r>
              <w:rPr>
                <w:i/>
                <w:color w:val="auto"/>
                <w:vertAlign w:val="subscript"/>
              </w:rPr>
              <w:t>P</w:t>
            </w:r>
            <w:r>
              <w:rPr>
                <w:i/>
                <w:color w:val="auto"/>
              </w:rPr>
              <w:t>(r</w:t>
            </w:r>
            <w:r>
              <w:rPr>
                <w:i/>
                <w:color w:val="auto"/>
                <w:vertAlign w:val="subscript"/>
              </w:rPr>
              <w:t>0</w:t>
            </w:r>
            <w:r>
              <w:rPr>
                <w:i/>
                <w:color w:val="auto"/>
              </w:rPr>
              <w:t>)</w:t>
            </w:r>
            <w:r>
              <w:rPr>
                <w:color w:val="auto"/>
              </w:rPr>
              <w:t>——参考位置</w:t>
            </w:r>
            <w:r>
              <w:rPr>
                <w:i/>
                <w:color w:val="auto"/>
              </w:rPr>
              <w:t>r</w:t>
            </w:r>
            <w:r>
              <w:rPr>
                <w:i/>
                <w:color w:val="auto"/>
                <w:vertAlign w:val="subscript"/>
              </w:rPr>
              <w:t>0</w:t>
            </w:r>
            <w:r>
              <w:rPr>
                <w:color w:val="auto"/>
              </w:rPr>
              <w:t>处的声压级，dB（A）；</w:t>
            </w:r>
          </w:p>
          <w:p>
            <w:pPr>
              <w:ind w:firstLine="420"/>
              <w:rPr>
                <w:color w:val="auto"/>
              </w:rPr>
            </w:pPr>
            <w:r>
              <w:rPr>
                <w:i/>
                <w:color w:val="auto"/>
              </w:rPr>
              <w:t>r</w:t>
            </w:r>
            <w:r>
              <w:rPr>
                <w:color w:val="auto"/>
              </w:rPr>
              <w:t>——预测点距声源的距离，m；</w:t>
            </w:r>
          </w:p>
          <w:p>
            <w:pPr>
              <w:ind w:firstLine="420"/>
              <w:rPr>
                <w:color w:val="auto"/>
              </w:rPr>
            </w:pPr>
            <w:r>
              <w:rPr>
                <w:i/>
                <w:color w:val="auto"/>
              </w:rPr>
              <w:t>r</w:t>
            </w:r>
            <w:r>
              <w:rPr>
                <w:i/>
                <w:color w:val="auto"/>
                <w:vertAlign w:val="subscript"/>
              </w:rPr>
              <w:t>0</w:t>
            </w:r>
            <w:r>
              <w:rPr>
                <w:color w:val="auto"/>
              </w:rPr>
              <w:t>——参考点距声源的距离，m；</w:t>
            </w:r>
          </w:p>
          <w:p>
            <w:pPr>
              <w:ind w:firstLine="420"/>
              <w:rPr>
                <w:bCs/>
                <w:color w:val="auto"/>
              </w:rPr>
            </w:pPr>
            <w:r>
              <w:rPr>
                <w:color w:val="auto"/>
              </w:rPr>
              <w:fldChar w:fldCharType="begin"/>
            </w:r>
            <w:r>
              <w:rPr>
                <w:color w:val="auto"/>
              </w:rPr>
              <w:instrText xml:space="preserve"> = 2 \* GB3 </w:instrText>
            </w:r>
            <w:r>
              <w:rPr>
                <w:color w:val="auto"/>
              </w:rPr>
              <w:fldChar w:fldCharType="separate"/>
            </w:r>
            <w:r>
              <w:rPr>
                <w:rFonts w:hint="eastAsia" w:ascii="宋体" w:hAnsi="宋体" w:cs="宋体"/>
                <w:color w:val="auto"/>
              </w:rPr>
              <w:t>②</w:t>
            </w:r>
            <w:r>
              <w:rPr>
                <w:color w:val="auto"/>
              </w:rPr>
              <w:fldChar w:fldCharType="end"/>
            </w:r>
            <w:r>
              <w:rPr>
                <w:bCs/>
                <w:color w:val="auto"/>
              </w:rPr>
              <w:t>多个声源共同作用的预测点的总声级：</w:t>
            </w:r>
          </w:p>
          <w:p>
            <w:pPr>
              <w:autoSpaceDE w:val="0"/>
              <w:autoSpaceDN w:val="0"/>
              <w:ind w:firstLine="420"/>
              <w:jc w:val="center"/>
              <w:textAlignment w:val="baseline"/>
              <w:rPr>
                <w:bCs/>
                <w:color w:val="auto"/>
              </w:rPr>
            </w:pPr>
            <w:r>
              <w:rPr>
                <w:color w:val="auto"/>
              </w:rPr>
              <w:drawing>
                <wp:inline distT="0" distB="0" distL="0" distR="0">
                  <wp:extent cx="1514475" cy="4286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514475" cy="428625"/>
                          </a:xfrm>
                          <a:prstGeom prst="rect">
                            <a:avLst/>
                          </a:prstGeom>
                          <a:noFill/>
                          <a:ln>
                            <a:noFill/>
                          </a:ln>
                        </pic:spPr>
                      </pic:pic>
                    </a:graphicData>
                  </a:graphic>
                </wp:inline>
              </w:drawing>
            </w:r>
          </w:p>
          <w:p>
            <w:pPr>
              <w:ind w:firstLine="420"/>
              <w:rPr>
                <w:color w:val="auto"/>
              </w:rPr>
            </w:pPr>
            <w:r>
              <w:rPr>
                <w:color w:val="auto"/>
              </w:rPr>
              <w:t>式中：</w:t>
            </w:r>
            <w:r>
              <w:rPr>
                <w:i/>
                <w:color w:val="auto"/>
              </w:rPr>
              <w:t>Leq</w:t>
            </w:r>
            <w:r>
              <w:rPr>
                <w:color w:val="auto"/>
              </w:rPr>
              <w:t>——共同作用在预测点的总声级；</w:t>
            </w:r>
          </w:p>
          <w:p>
            <w:pPr>
              <w:ind w:firstLine="420"/>
              <w:rPr>
                <w:color w:val="auto"/>
              </w:rPr>
            </w:pPr>
            <w:r>
              <w:rPr>
                <w:i/>
                <w:color w:val="auto"/>
              </w:rPr>
              <w:t>Li</w:t>
            </w:r>
            <w:r>
              <w:rPr>
                <w:color w:val="auto"/>
              </w:rPr>
              <w:t>——第i点声源对预测点的声级；</w:t>
            </w:r>
          </w:p>
          <w:p>
            <w:pPr>
              <w:ind w:firstLine="420"/>
              <w:rPr>
                <w:color w:val="auto"/>
              </w:rPr>
            </w:pPr>
            <w:r>
              <w:rPr>
                <w:i/>
                <w:color w:val="auto"/>
              </w:rPr>
              <w:t>n</w:t>
            </w:r>
            <w:r>
              <w:rPr>
                <w:color w:val="auto"/>
              </w:rPr>
              <w:t>——点声源数。</w:t>
            </w:r>
          </w:p>
          <w:p>
            <w:pPr>
              <w:ind w:firstLine="420"/>
              <w:rPr>
                <w:color w:val="auto"/>
              </w:rPr>
            </w:pPr>
            <w:r>
              <w:rPr>
                <w:color w:val="auto"/>
              </w:rPr>
              <w:fldChar w:fldCharType="begin"/>
            </w:r>
            <w:r>
              <w:rPr>
                <w:color w:val="auto"/>
              </w:rPr>
              <w:instrText xml:space="preserve"> = 3 \* GB3 </w:instrText>
            </w:r>
            <w:r>
              <w:rPr>
                <w:color w:val="auto"/>
              </w:rPr>
              <w:fldChar w:fldCharType="separate"/>
            </w:r>
            <w:r>
              <w:rPr>
                <w:rFonts w:hint="eastAsia" w:ascii="宋体" w:hAnsi="宋体" w:cs="宋体"/>
                <w:color w:val="auto"/>
              </w:rPr>
              <w:t>③</w:t>
            </w:r>
            <w:r>
              <w:rPr>
                <w:color w:val="auto"/>
              </w:rPr>
              <w:fldChar w:fldCharType="end"/>
            </w:r>
            <w:r>
              <w:rPr>
                <w:color w:val="auto"/>
              </w:rPr>
              <w:t>室内点声源等效室外点声源声功率级计算：</w:t>
            </w:r>
          </w:p>
          <w:p>
            <w:pPr>
              <w:ind w:firstLine="420"/>
              <w:rPr>
                <w:i/>
                <w:color w:val="auto"/>
              </w:rPr>
            </w:pPr>
            <m:oMathPara>
              <m:oMath>
                <m:sSub>
                  <m:sSubPr>
                    <m:ctrlPr>
                      <w:rPr>
                        <w:rFonts w:ascii="Cambria Math" w:hAnsi="Cambria Math"/>
                        <w:i/>
                        <w:color w:val="auto"/>
                      </w:rPr>
                    </m:ctrlPr>
                  </m:sSubPr>
                  <m:e>
                    <m:r>
                      <m:rPr>
                        <m:nor/>
                      </m:rPr>
                      <w:rPr>
                        <w:i/>
                        <w:color w:val="auto"/>
                      </w:rPr>
                      <m:t>L</m:t>
                    </m:r>
                    <m:ctrlPr>
                      <w:rPr>
                        <w:rFonts w:ascii="Cambria Math" w:hAnsi="Cambria Math"/>
                        <w:i/>
                        <w:color w:val="auto"/>
                      </w:rPr>
                    </m:ctrlPr>
                  </m:e>
                  <m:sub>
                    <m:r>
                      <m:rPr>
                        <m:nor/>
                      </m:rPr>
                      <w:rPr>
                        <w:i/>
                        <w:color w:val="auto"/>
                      </w:rPr>
                      <m:t>P2</m:t>
                    </m:r>
                    <m:ctrlPr>
                      <w:rPr>
                        <w:rFonts w:ascii="Cambria Math" w:hAnsi="Cambria Math"/>
                        <w:i/>
                        <w:color w:val="auto"/>
                      </w:rPr>
                    </m:ctrlPr>
                  </m:sub>
                </m:sSub>
                <m:r>
                  <m:rPr>
                    <m:nor/>
                  </m:rPr>
                  <w:rPr>
                    <w:i/>
                    <w:color w:val="auto"/>
                  </w:rPr>
                  <m:t xml:space="preserve"> = </m:t>
                </m:r>
                <m:sSub>
                  <m:sSubPr>
                    <m:ctrlPr>
                      <w:rPr>
                        <w:rFonts w:ascii="Cambria Math" w:hAnsi="Cambria Math"/>
                        <w:i/>
                        <w:color w:val="auto"/>
                      </w:rPr>
                    </m:ctrlPr>
                  </m:sSubPr>
                  <m:e>
                    <m:r>
                      <m:rPr>
                        <m:nor/>
                      </m:rPr>
                      <w:rPr>
                        <w:i/>
                        <w:color w:val="auto"/>
                      </w:rPr>
                      <m:t>L</m:t>
                    </m:r>
                    <m:ctrlPr>
                      <w:rPr>
                        <w:rFonts w:ascii="Cambria Math" w:hAnsi="Cambria Math"/>
                        <w:i/>
                        <w:color w:val="auto"/>
                      </w:rPr>
                    </m:ctrlPr>
                  </m:e>
                  <m:sub>
                    <m:r>
                      <m:rPr>
                        <m:nor/>
                      </m:rPr>
                      <w:rPr>
                        <w:i/>
                        <w:color w:val="auto"/>
                      </w:rPr>
                      <m:t>P1</m:t>
                    </m:r>
                    <m:ctrlPr>
                      <w:rPr>
                        <w:rFonts w:ascii="Cambria Math" w:hAnsi="Cambria Math"/>
                        <w:i/>
                        <w:color w:val="auto"/>
                      </w:rPr>
                    </m:ctrlPr>
                  </m:sub>
                </m:sSub>
                <m:r>
                  <w:rPr>
                    <w:rFonts w:ascii="Cambria Math" w:hAnsi="Cambria Math"/>
                    <w:color w:val="auto"/>
                  </w:rPr>
                  <m:t xml:space="preserve"> −</m:t>
                </m:r>
                <m:r>
                  <m:rPr>
                    <m:nor/>
                  </m:rPr>
                  <w:rPr>
                    <w:i/>
                    <w:color w:val="auto"/>
                  </w:rPr>
                  <m:t xml:space="preserve"> (TL + 6)</m:t>
                </m:r>
              </m:oMath>
            </m:oMathPara>
          </w:p>
          <w:p>
            <w:pPr>
              <w:ind w:firstLine="420"/>
              <w:rPr>
                <w:color w:val="auto"/>
              </w:rPr>
            </w:pPr>
            <w:r>
              <w:rPr>
                <w:color w:val="auto"/>
              </w:rPr>
              <w:t>式中：</w:t>
            </w:r>
            <w:r>
              <w:rPr>
                <w:i/>
                <w:color w:val="auto"/>
              </w:rPr>
              <w:t>L</w:t>
            </w:r>
            <w:r>
              <w:rPr>
                <w:i/>
                <w:color w:val="auto"/>
                <w:vertAlign w:val="subscript"/>
              </w:rPr>
              <w:t>P1</w:t>
            </w:r>
            <w:r>
              <w:rPr>
                <w:color w:val="auto"/>
              </w:rPr>
              <w:t>——靠近开口处（或窗户）室内某倍频带的声压级或A声级，dB；</w:t>
            </w:r>
          </w:p>
          <w:p>
            <w:pPr>
              <w:ind w:firstLine="420"/>
              <w:rPr>
                <w:color w:val="auto"/>
              </w:rPr>
            </w:pPr>
            <w:r>
              <w:rPr>
                <w:i/>
                <w:color w:val="auto"/>
              </w:rPr>
              <w:t>L</w:t>
            </w:r>
            <w:r>
              <w:rPr>
                <w:i/>
                <w:color w:val="auto"/>
                <w:vertAlign w:val="subscript"/>
              </w:rPr>
              <w:t>P2</w:t>
            </w:r>
            <w:r>
              <w:rPr>
                <w:color w:val="auto"/>
              </w:rPr>
              <w:t>——靠近开口处（或窗户）室外某倍频带的声压级或A声级，dB；</w:t>
            </w:r>
          </w:p>
          <w:p>
            <w:pPr>
              <w:ind w:firstLine="420"/>
              <w:rPr>
                <w:color w:val="auto"/>
              </w:rPr>
            </w:pPr>
            <w:r>
              <w:rPr>
                <w:i/>
                <w:color w:val="auto"/>
              </w:rPr>
              <w:t>TL</w:t>
            </w:r>
            <w:r>
              <w:rPr>
                <w:color w:val="auto"/>
              </w:rPr>
              <w:t>——隔墙（或窗户）倍频带或A声级的隔声量，dB。</w:t>
            </w:r>
          </w:p>
          <w:p>
            <w:pPr>
              <w:ind w:firstLine="420"/>
              <w:rPr>
                <w:color w:val="auto"/>
              </w:rPr>
            </w:pPr>
            <w:r>
              <w:rPr>
                <w:color w:val="auto"/>
              </w:rPr>
              <w:fldChar w:fldCharType="begin"/>
            </w:r>
            <w:r>
              <w:rPr>
                <w:color w:val="auto"/>
              </w:rPr>
              <w:instrText xml:space="preserve"> = 4 \* GB3 </w:instrText>
            </w:r>
            <w:r>
              <w:rPr>
                <w:color w:val="auto"/>
              </w:rPr>
              <w:fldChar w:fldCharType="separate"/>
            </w:r>
            <w:r>
              <w:rPr>
                <w:rFonts w:hint="eastAsia" w:ascii="宋体" w:hAnsi="宋体" w:cs="宋体"/>
                <w:color w:val="auto"/>
              </w:rPr>
              <w:t>④</w:t>
            </w:r>
            <w:r>
              <w:rPr>
                <w:color w:val="auto"/>
              </w:rPr>
              <w:fldChar w:fldCharType="end"/>
            </w:r>
            <w:r>
              <w:rPr>
                <w:color w:val="auto"/>
              </w:rPr>
              <w:t>室外点声源在预测点产生的声级计算基本公式</w:t>
            </w:r>
          </w:p>
          <w:p>
            <w:pPr>
              <w:ind w:firstLine="420"/>
              <w:rPr>
                <w:i/>
                <w:color w:val="auto"/>
              </w:rPr>
            </w:pPr>
            <m:oMathPara>
              <m:oMathParaPr>
                <m:jc m:val="center"/>
              </m:oMathParaPr>
              <m:oMath>
                <m:sSub>
                  <m:sSubPr>
                    <m:ctrlPr>
                      <w:rPr>
                        <w:rFonts w:ascii="Cambria Math" w:hAnsi="Cambria Math"/>
                        <w:i/>
                        <w:color w:val="auto"/>
                      </w:rPr>
                    </m:ctrlPr>
                  </m:sSubPr>
                  <m:e>
                    <m:r>
                      <m:rPr>
                        <m:nor/>
                      </m:rPr>
                      <w:rPr>
                        <w:i/>
                        <w:color w:val="auto"/>
                      </w:rPr>
                      <m:t>L</m:t>
                    </m:r>
                    <m:ctrlPr>
                      <w:rPr>
                        <w:rFonts w:ascii="Cambria Math" w:hAnsi="Cambria Math"/>
                        <w:i/>
                        <w:color w:val="auto"/>
                      </w:rPr>
                    </m:ctrlPr>
                  </m:e>
                  <m:sub>
                    <m:r>
                      <m:rPr>
                        <m:nor/>
                      </m:rPr>
                      <w:rPr>
                        <w:i/>
                        <w:color w:val="auto"/>
                      </w:rPr>
                      <m:t>P</m:t>
                    </m:r>
                    <m:ctrlPr>
                      <w:rPr>
                        <w:rFonts w:ascii="Cambria Math" w:hAnsi="Cambria Math"/>
                        <w:i/>
                        <w:color w:val="auto"/>
                      </w:rPr>
                    </m:ctrlPr>
                  </m:sub>
                </m:sSub>
                <m:r>
                  <m:rPr>
                    <m:nor/>
                  </m:rPr>
                  <w:rPr>
                    <w:i/>
                    <w:color w:val="auto"/>
                  </w:rPr>
                  <m:t xml:space="preserve">（r） = </m:t>
                </m:r>
                <m:sSub>
                  <m:sSubPr>
                    <m:ctrlPr>
                      <w:rPr>
                        <w:rFonts w:ascii="Cambria Math" w:hAnsi="Cambria Math"/>
                        <w:i/>
                        <w:color w:val="auto"/>
                      </w:rPr>
                    </m:ctrlPr>
                  </m:sSubPr>
                  <m:e>
                    <m:r>
                      <m:rPr>
                        <m:nor/>
                      </m:rPr>
                      <w:rPr>
                        <w:i/>
                        <w:color w:val="auto"/>
                      </w:rPr>
                      <m:t>L</m:t>
                    </m:r>
                    <m:ctrlPr>
                      <w:rPr>
                        <w:rFonts w:ascii="Cambria Math" w:hAnsi="Cambria Math"/>
                        <w:i/>
                        <w:color w:val="auto"/>
                      </w:rPr>
                    </m:ctrlPr>
                  </m:e>
                  <m:sub>
                    <m:r>
                      <m:rPr>
                        <m:nor/>
                      </m:rPr>
                      <w:rPr>
                        <w:i/>
                        <w:color w:val="auto"/>
                      </w:rPr>
                      <m:t>w</m:t>
                    </m:r>
                    <m:ctrlPr>
                      <w:rPr>
                        <w:rFonts w:ascii="Cambria Math" w:hAnsi="Cambria Math"/>
                        <w:i/>
                        <w:color w:val="auto"/>
                      </w:rPr>
                    </m:ctrlPr>
                  </m:sub>
                </m:sSub>
                <m:r>
                  <m:rPr>
                    <m:nor/>
                  </m:rPr>
                  <w:rPr>
                    <w:i/>
                    <w:color w:val="auto"/>
                  </w:rPr>
                  <m:t>+</m:t>
                </m:r>
                <m:sSub>
                  <m:sSubPr>
                    <m:ctrlPr>
                      <w:rPr>
                        <w:rFonts w:ascii="Cambria Math" w:hAnsi="Cambria Math"/>
                        <w:i/>
                        <w:color w:val="auto"/>
                      </w:rPr>
                    </m:ctrlPr>
                  </m:sSubPr>
                  <m:e>
                    <m:r>
                      <w:rPr>
                        <w:rFonts w:ascii="Cambria Math" w:hAnsi="Cambria Math"/>
                        <w:color w:val="auto"/>
                      </w:rPr>
                      <m:t>D</m:t>
                    </m:r>
                    <m:ctrlPr>
                      <w:rPr>
                        <w:rFonts w:ascii="Cambria Math" w:hAnsi="Cambria Math"/>
                        <w:i/>
                        <w:color w:val="auto"/>
                      </w:rPr>
                    </m:ctrlPr>
                  </m:e>
                  <m:sub>
                    <m:r>
                      <w:rPr>
                        <w:rFonts w:ascii="Cambria Math" w:hAnsi="Cambria Math"/>
                        <w:color w:val="auto"/>
                      </w:rPr>
                      <m:t>C</m:t>
                    </m:r>
                    <m:ctrlPr>
                      <w:rPr>
                        <w:rFonts w:ascii="Cambria Math" w:hAnsi="Cambria Math"/>
                        <w:i/>
                        <w:color w:val="auto"/>
                      </w:rPr>
                    </m:ctrlPr>
                  </m:sub>
                </m:sSub>
                <m:r>
                  <w:rPr>
                    <w:rFonts w:ascii="Cambria Math" w:hAnsi="Cambria Math"/>
                    <w:color w:val="auto"/>
                  </w:rPr>
                  <m:t xml:space="preserve"> </m:t>
                </m:r>
                <m:r>
                  <m:rPr>
                    <m:nor/>
                  </m:rPr>
                  <w:rPr>
                    <w:i/>
                    <w:color w:val="auto"/>
                  </w:rPr>
                  <m:t>- (</m:t>
                </m:r>
                <m:sSub>
                  <m:sSubPr>
                    <m:ctrlPr>
                      <w:rPr>
                        <w:rFonts w:ascii="Cambria Math" w:hAnsi="Cambria Math"/>
                        <w:i/>
                        <w:color w:val="auto"/>
                      </w:rPr>
                    </m:ctrlPr>
                  </m:sSubPr>
                  <m:e>
                    <m:r>
                      <m:rPr>
                        <m:nor/>
                      </m:rPr>
                      <w:rPr>
                        <w:i/>
                        <w:color w:val="auto"/>
                      </w:rPr>
                      <m:t>A</m:t>
                    </m:r>
                    <m:ctrlPr>
                      <w:rPr>
                        <w:rFonts w:ascii="Cambria Math" w:hAnsi="Cambria Math"/>
                        <w:i/>
                        <w:color w:val="auto"/>
                      </w:rPr>
                    </m:ctrlPr>
                  </m:e>
                  <m:sub>
                    <m:r>
                      <m:rPr>
                        <m:nor/>
                      </m:rPr>
                      <w:rPr>
                        <w:i/>
                        <w:color w:val="auto"/>
                      </w:rPr>
                      <m:t>div</m:t>
                    </m:r>
                    <m:ctrlPr>
                      <w:rPr>
                        <w:rFonts w:ascii="Cambria Math" w:hAnsi="Cambria Math"/>
                        <w:i/>
                        <w:color w:val="auto"/>
                      </w:rPr>
                    </m:ctrlPr>
                  </m:sub>
                </m:sSub>
                <m:r>
                  <m:rPr>
                    <m:nor/>
                  </m:rPr>
                  <w:rPr>
                    <w:i/>
                    <w:color w:val="auto"/>
                  </w:rPr>
                  <m:t>+</m:t>
                </m:r>
                <m:sSub>
                  <m:sSubPr>
                    <m:ctrlPr>
                      <w:rPr>
                        <w:rFonts w:ascii="Cambria Math" w:hAnsi="Cambria Math"/>
                        <w:i/>
                        <w:color w:val="auto"/>
                      </w:rPr>
                    </m:ctrlPr>
                  </m:sSubPr>
                  <m:e>
                    <m:r>
                      <m:rPr>
                        <m:nor/>
                      </m:rPr>
                      <w:rPr>
                        <w:i/>
                        <w:color w:val="auto"/>
                      </w:rPr>
                      <m:t>A</m:t>
                    </m:r>
                    <m:ctrlPr>
                      <w:rPr>
                        <w:rFonts w:ascii="Cambria Math" w:hAnsi="Cambria Math"/>
                        <w:i/>
                        <w:color w:val="auto"/>
                      </w:rPr>
                    </m:ctrlPr>
                  </m:e>
                  <m:sub>
                    <m:r>
                      <m:rPr>
                        <m:nor/>
                      </m:rPr>
                      <w:rPr>
                        <w:i/>
                        <w:color w:val="auto"/>
                      </w:rPr>
                      <m:t>atm</m:t>
                    </m:r>
                    <m:ctrlPr>
                      <w:rPr>
                        <w:rFonts w:ascii="Cambria Math" w:hAnsi="Cambria Math"/>
                        <w:i/>
                        <w:color w:val="auto"/>
                      </w:rPr>
                    </m:ctrlPr>
                  </m:sub>
                </m:sSub>
                <m:r>
                  <m:rPr>
                    <m:nor/>
                  </m:rPr>
                  <w:rPr>
                    <w:i/>
                    <w:color w:val="auto"/>
                  </w:rPr>
                  <m:t>+</m:t>
                </m:r>
                <m:sSub>
                  <m:sSubPr>
                    <m:ctrlPr>
                      <w:rPr>
                        <w:rFonts w:ascii="Cambria Math" w:hAnsi="Cambria Math"/>
                        <w:i/>
                        <w:color w:val="auto"/>
                      </w:rPr>
                    </m:ctrlPr>
                  </m:sSubPr>
                  <m:e>
                    <m:r>
                      <m:rPr>
                        <m:nor/>
                      </m:rPr>
                      <w:rPr>
                        <w:i/>
                        <w:color w:val="auto"/>
                      </w:rPr>
                      <m:t>A</m:t>
                    </m:r>
                    <m:ctrlPr>
                      <w:rPr>
                        <w:rFonts w:ascii="Cambria Math" w:hAnsi="Cambria Math"/>
                        <w:i/>
                        <w:color w:val="auto"/>
                      </w:rPr>
                    </m:ctrlPr>
                  </m:e>
                  <m:sub>
                    <m:r>
                      <m:rPr>
                        <m:nor/>
                      </m:rPr>
                      <w:rPr>
                        <w:i/>
                        <w:color w:val="auto"/>
                      </w:rPr>
                      <m:t>gr</m:t>
                    </m:r>
                    <m:ctrlPr>
                      <w:rPr>
                        <w:rFonts w:ascii="Cambria Math" w:hAnsi="Cambria Math"/>
                        <w:i/>
                        <w:color w:val="auto"/>
                      </w:rPr>
                    </m:ctrlPr>
                  </m:sub>
                </m:sSub>
                <m:r>
                  <m:rPr>
                    <m:nor/>
                  </m:rPr>
                  <w:rPr>
                    <w:i/>
                    <w:color w:val="auto"/>
                  </w:rPr>
                  <m:t>+</m:t>
                </m:r>
                <m:sSub>
                  <m:sSubPr>
                    <m:ctrlPr>
                      <w:rPr>
                        <w:rFonts w:ascii="Cambria Math" w:hAnsi="Cambria Math"/>
                        <w:i/>
                        <w:color w:val="auto"/>
                      </w:rPr>
                    </m:ctrlPr>
                  </m:sSubPr>
                  <m:e>
                    <m:r>
                      <m:rPr>
                        <m:nor/>
                      </m:rPr>
                      <w:rPr>
                        <w:i/>
                        <w:color w:val="auto"/>
                      </w:rPr>
                      <m:t>A</m:t>
                    </m:r>
                    <m:ctrlPr>
                      <w:rPr>
                        <w:rFonts w:ascii="Cambria Math" w:hAnsi="Cambria Math"/>
                        <w:i/>
                        <w:color w:val="auto"/>
                      </w:rPr>
                    </m:ctrlPr>
                  </m:e>
                  <m:sub>
                    <m:r>
                      <m:rPr>
                        <m:nor/>
                      </m:rPr>
                      <w:rPr>
                        <w:i/>
                        <w:color w:val="auto"/>
                      </w:rPr>
                      <m:t>bar</m:t>
                    </m:r>
                    <m:ctrlPr>
                      <w:rPr>
                        <w:rFonts w:ascii="Cambria Math" w:hAnsi="Cambria Math"/>
                        <w:i/>
                        <w:color w:val="auto"/>
                      </w:rPr>
                    </m:ctrlPr>
                  </m:sub>
                </m:sSub>
                <m:r>
                  <m:rPr>
                    <m:nor/>
                  </m:rPr>
                  <w:rPr>
                    <w:i/>
                    <w:color w:val="auto"/>
                  </w:rPr>
                  <m:t>+</m:t>
                </m:r>
                <m:sSub>
                  <m:sSubPr>
                    <m:ctrlPr>
                      <w:rPr>
                        <w:rFonts w:ascii="Cambria Math" w:hAnsi="Cambria Math"/>
                        <w:i/>
                        <w:color w:val="auto"/>
                      </w:rPr>
                    </m:ctrlPr>
                  </m:sSubPr>
                  <m:e>
                    <m:r>
                      <m:rPr>
                        <m:nor/>
                      </m:rPr>
                      <w:rPr>
                        <w:i/>
                        <w:color w:val="auto"/>
                      </w:rPr>
                      <m:t>A</m:t>
                    </m:r>
                    <m:ctrlPr>
                      <w:rPr>
                        <w:rFonts w:ascii="Cambria Math" w:hAnsi="Cambria Math"/>
                        <w:i/>
                        <w:color w:val="auto"/>
                      </w:rPr>
                    </m:ctrlPr>
                  </m:e>
                  <m:sub>
                    <m:r>
                      <m:rPr>
                        <m:nor/>
                      </m:rPr>
                      <w:rPr>
                        <w:i/>
                        <w:color w:val="auto"/>
                      </w:rPr>
                      <m:t>misc</m:t>
                    </m:r>
                    <m:ctrlPr>
                      <w:rPr>
                        <w:rFonts w:ascii="Cambria Math" w:hAnsi="Cambria Math"/>
                        <w:i/>
                        <w:color w:val="auto"/>
                      </w:rPr>
                    </m:ctrlPr>
                  </m:sub>
                </m:sSub>
                <m:r>
                  <m:rPr>
                    <m:nor/>
                  </m:rPr>
                  <w:rPr>
                    <w:i/>
                    <w:color w:val="auto"/>
                  </w:rPr>
                  <m:t>）</m:t>
                </m:r>
              </m:oMath>
            </m:oMathPara>
          </w:p>
          <w:p>
            <w:pPr>
              <w:ind w:firstLine="420"/>
              <w:rPr>
                <w:i/>
                <w:color w:val="auto"/>
              </w:rPr>
            </w:pPr>
            <w:r>
              <w:rPr>
                <w:color w:val="auto"/>
              </w:rPr>
              <w:t>式中：</w:t>
            </w:r>
            <w:r>
              <w:rPr>
                <w:i/>
                <w:iCs/>
                <w:color w:val="auto"/>
              </w:rPr>
              <w:t>Lp</w:t>
            </w:r>
            <w:r>
              <w:rPr>
                <w:color w:val="auto"/>
              </w:rPr>
              <w:t>(</w:t>
            </w:r>
            <w:r>
              <w:rPr>
                <w:i/>
                <w:iCs/>
                <w:color w:val="auto"/>
              </w:rPr>
              <w:t>r</w:t>
            </w:r>
            <w:r>
              <w:rPr>
                <w:color w:val="auto"/>
              </w:rPr>
              <w:t>)——预测点处声压级，dB；</w:t>
            </w:r>
          </w:p>
          <w:p>
            <w:pPr>
              <w:ind w:firstLine="420"/>
              <w:rPr>
                <w:color w:val="auto"/>
              </w:rPr>
            </w:pPr>
            <w:r>
              <w:rPr>
                <w:i/>
                <w:iCs/>
                <w:color w:val="auto"/>
              </w:rPr>
              <w:t xml:space="preserve">Lw </w:t>
            </w:r>
            <w:r>
              <w:rPr>
                <w:color w:val="auto"/>
              </w:rPr>
              <w:t>——由点声源产生的声功率级（A计权或倍频带），dB；</w:t>
            </w:r>
          </w:p>
          <w:p>
            <w:pPr>
              <w:ind w:firstLine="420"/>
              <w:rPr>
                <w:color w:val="auto"/>
              </w:rPr>
            </w:pPr>
            <w:r>
              <w:rPr>
                <w:i/>
                <w:iCs/>
                <w:color w:val="auto"/>
              </w:rPr>
              <w:t>D</w:t>
            </w:r>
            <w:r>
              <w:rPr>
                <w:color w:val="auto"/>
              </w:rPr>
              <w:t>C——指向性校正，它描述点声源的等效连续声压级与产生声功率级</w:t>
            </w:r>
            <w:r>
              <w:rPr>
                <w:i/>
                <w:iCs/>
                <w:color w:val="auto"/>
              </w:rPr>
              <w:t>Lw</w:t>
            </w:r>
            <w:r>
              <w:rPr>
                <w:color w:val="auto"/>
              </w:rPr>
              <w:t>的全向点声源在规定方向的声级的偏差程度，dB；</w:t>
            </w:r>
          </w:p>
          <w:p>
            <w:pPr>
              <w:ind w:firstLine="420"/>
              <w:rPr>
                <w:color w:val="auto"/>
              </w:rPr>
            </w:pPr>
            <w:r>
              <w:rPr>
                <w:i/>
                <w:iCs/>
                <w:color w:val="auto"/>
              </w:rPr>
              <w:t>A</w:t>
            </w:r>
            <w:r>
              <w:rPr>
                <w:color w:val="auto"/>
              </w:rPr>
              <w:t>div ——几何发散引起的衰减，dB；</w:t>
            </w:r>
          </w:p>
          <w:p>
            <w:pPr>
              <w:ind w:firstLine="420"/>
              <w:rPr>
                <w:color w:val="auto"/>
              </w:rPr>
            </w:pPr>
            <w:r>
              <w:rPr>
                <w:i/>
                <w:iCs/>
                <w:color w:val="auto"/>
              </w:rPr>
              <w:t>A</w:t>
            </w:r>
            <w:r>
              <w:rPr>
                <w:color w:val="auto"/>
              </w:rPr>
              <w:t>atm——大气吸收引起的衰减，dB；</w:t>
            </w:r>
          </w:p>
          <w:p>
            <w:pPr>
              <w:ind w:firstLine="420"/>
              <w:rPr>
                <w:color w:val="auto"/>
              </w:rPr>
            </w:pPr>
            <w:r>
              <w:rPr>
                <w:i/>
                <w:iCs/>
                <w:color w:val="auto"/>
              </w:rPr>
              <w:t>A</w:t>
            </w:r>
            <w:r>
              <w:rPr>
                <w:color w:val="auto"/>
              </w:rPr>
              <w:t>gr——地面效应引起的衰减，dB；</w:t>
            </w:r>
          </w:p>
          <w:p>
            <w:pPr>
              <w:ind w:firstLine="420"/>
              <w:rPr>
                <w:color w:val="auto"/>
              </w:rPr>
            </w:pPr>
            <w:r>
              <w:rPr>
                <w:i/>
                <w:iCs/>
                <w:color w:val="auto"/>
              </w:rPr>
              <w:t>A</w:t>
            </w:r>
            <w:r>
              <w:rPr>
                <w:color w:val="auto"/>
              </w:rPr>
              <w:t>bar ——障碍物屏蔽引起的衰减，dB；</w:t>
            </w:r>
          </w:p>
          <w:p>
            <w:pPr>
              <w:adjustRightInd/>
              <w:snapToGrid/>
              <w:ind w:firstLine="420"/>
              <w:rPr>
                <w:color w:val="auto"/>
              </w:rPr>
            </w:pPr>
            <w:r>
              <w:rPr>
                <w:i/>
                <w:iCs/>
                <w:color w:val="auto"/>
              </w:rPr>
              <w:t>A</w:t>
            </w:r>
            <w:r>
              <w:rPr>
                <w:color w:val="auto"/>
              </w:rPr>
              <w:t>misc——其他多方面效应引起的衰减，dB。</w:t>
            </w:r>
          </w:p>
          <w:p>
            <w:pPr>
              <w:ind w:firstLine="422"/>
              <w:rPr>
                <w:b/>
                <w:color w:val="auto"/>
                <w:szCs w:val="21"/>
              </w:rPr>
            </w:pPr>
          </w:p>
          <w:p>
            <w:pPr>
              <w:ind w:firstLine="422"/>
              <w:rPr>
                <w:b/>
                <w:color w:val="auto"/>
                <w:szCs w:val="21"/>
              </w:rPr>
            </w:pPr>
          </w:p>
          <w:p>
            <w:pPr>
              <w:ind w:firstLine="422"/>
              <w:rPr>
                <w:b/>
                <w:color w:val="auto"/>
                <w:szCs w:val="21"/>
              </w:rPr>
            </w:pPr>
          </w:p>
          <w:p>
            <w:pPr>
              <w:ind w:firstLine="422"/>
              <w:rPr>
                <w:b/>
                <w:color w:val="auto"/>
                <w:szCs w:val="21"/>
              </w:rPr>
            </w:pPr>
          </w:p>
          <w:p>
            <w:pPr>
              <w:ind w:firstLine="422"/>
              <w:rPr>
                <w:b/>
                <w:color w:val="auto"/>
                <w:szCs w:val="21"/>
              </w:rPr>
            </w:pPr>
            <w:r>
              <w:rPr>
                <w:rFonts w:hint="eastAsia"/>
                <w:b/>
                <w:color w:val="auto"/>
                <w:szCs w:val="21"/>
              </w:rPr>
              <w:t>场界噪声预测结果</w:t>
            </w:r>
          </w:p>
          <w:p>
            <w:pPr>
              <w:pStyle w:val="251"/>
              <w:spacing w:line="240" w:lineRule="auto"/>
              <w:ind w:firstLine="0" w:firstLineChars="0"/>
              <w:rPr>
                <w:b/>
                <w:color w:val="auto"/>
              </w:rPr>
            </w:pPr>
            <w:r>
              <w:rPr>
                <w:b/>
                <w:color w:val="auto"/>
              </w:rPr>
              <w:t>表4-1</w:t>
            </w:r>
            <w:r>
              <w:rPr>
                <w:rFonts w:hint="eastAsia"/>
                <w:b/>
                <w:color w:val="auto"/>
              </w:rPr>
              <w:t>0</w:t>
            </w:r>
            <w:r>
              <w:rPr>
                <w:b/>
                <w:color w:val="auto"/>
              </w:rPr>
              <w:t xml:space="preserve">  场界噪声预测   单位：dB（A）</w:t>
            </w:r>
          </w:p>
          <w:tbl>
            <w:tblPr>
              <w:tblStyle w:val="40"/>
              <w:tblW w:w="9075"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68"/>
              <w:gridCol w:w="2371"/>
              <w:gridCol w:w="1183"/>
              <w:gridCol w:w="1185"/>
              <w:gridCol w:w="1183"/>
              <w:gridCol w:w="118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968" w:type="dxa"/>
                  <w:vMerge w:val="restart"/>
                  <w:tcBorders>
                    <w:tl2br w:val="nil"/>
                    <w:tr2bl w:val="nil"/>
                  </w:tcBorders>
                  <w:vAlign w:val="center"/>
                </w:tcPr>
                <w:p>
                  <w:pPr>
                    <w:pStyle w:val="246"/>
                    <w:adjustRightInd/>
                    <w:snapToGrid/>
                    <w:spacing w:line="240" w:lineRule="auto"/>
                    <w:ind w:firstLine="0" w:firstLineChars="0"/>
                    <w:rPr>
                      <w:bCs/>
                      <w:color w:val="auto"/>
                    </w:rPr>
                  </w:pPr>
                  <w:r>
                    <w:rPr>
                      <w:bCs/>
                      <w:color w:val="auto"/>
                    </w:rPr>
                    <w:t>预测点位</w:t>
                  </w:r>
                </w:p>
              </w:tc>
              <w:tc>
                <w:tcPr>
                  <w:tcW w:w="2371" w:type="dxa"/>
                  <w:vMerge w:val="restart"/>
                  <w:tcBorders>
                    <w:tl2br w:val="nil"/>
                    <w:tr2bl w:val="nil"/>
                  </w:tcBorders>
                  <w:vAlign w:val="center"/>
                </w:tcPr>
                <w:p>
                  <w:pPr>
                    <w:pStyle w:val="246"/>
                    <w:adjustRightInd/>
                    <w:snapToGrid/>
                    <w:spacing w:line="240" w:lineRule="auto"/>
                    <w:ind w:firstLine="0" w:firstLineChars="0"/>
                    <w:rPr>
                      <w:bCs/>
                      <w:color w:val="auto"/>
                    </w:rPr>
                  </w:pPr>
                  <w:r>
                    <w:rPr>
                      <w:bCs/>
                      <w:color w:val="auto"/>
                    </w:rPr>
                    <w:t>贡献值</w:t>
                  </w:r>
                </w:p>
              </w:tc>
              <w:tc>
                <w:tcPr>
                  <w:tcW w:w="2368" w:type="dxa"/>
                  <w:gridSpan w:val="2"/>
                  <w:tcBorders>
                    <w:tl2br w:val="nil"/>
                    <w:tr2bl w:val="nil"/>
                  </w:tcBorders>
                  <w:vAlign w:val="center"/>
                </w:tcPr>
                <w:p>
                  <w:pPr>
                    <w:pStyle w:val="246"/>
                    <w:adjustRightInd/>
                    <w:snapToGrid/>
                    <w:spacing w:line="240" w:lineRule="auto"/>
                    <w:ind w:firstLine="0" w:firstLineChars="0"/>
                    <w:rPr>
                      <w:bCs/>
                      <w:color w:val="auto"/>
                    </w:rPr>
                  </w:pPr>
                  <w:r>
                    <w:rPr>
                      <w:bCs/>
                      <w:color w:val="auto"/>
                    </w:rPr>
                    <w:t>标准值</w:t>
                  </w:r>
                </w:p>
              </w:tc>
              <w:tc>
                <w:tcPr>
                  <w:tcW w:w="2368" w:type="dxa"/>
                  <w:gridSpan w:val="2"/>
                  <w:tcBorders>
                    <w:tl2br w:val="nil"/>
                    <w:tr2bl w:val="nil"/>
                  </w:tcBorders>
                  <w:vAlign w:val="center"/>
                </w:tcPr>
                <w:p>
                  <w:pPr>
                    <w:pStyle w:val="246"/>
                    <w:adjustRightInd/>
                    <w:snapToGrid/>
                    <w:spacing w:line="240" w:lineRule="auto"/>
                    <w:ind w:firstLine="0" w:firstLineChars="0"/>
                    <w:rPr>
                      <w:bCs/>
                      <w:color w:val="auto"/>
                    </w:rPr>
                  </w:pPr>
                  <w:r>
                    <w:rPr>
                      <w:bCs/>
                      <w:color w:val="auto"/>
                    </w:rPr>
                    <w:t>达标情况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968" w:type="dxa"/>
                  <w:vMerge w:val="continue"/>
                  <w:tcBorders>
                    <w:tl2br w:val="nil"/>
                    <w:tr2bl w:val="nil"/>
                  </w:tcBorders>
                  <w:vAlign w:val="center"/>
                </w:tcPr>
                <w:p>
                  <w:pPr>
                    <w:pStyle w:val="246"/>
                    <w:adjustRightInd/>
                    <w:snapToGrid/>
                    <w:spacing w:line="240" w:lineRule="auto"/>
                    <w:ind w:firstLine="0" w:firstLineChars="0"/>
                    <w:rPr>
                      <w:color w:val="auto"/>
                    </w:rPr>
                  </w:pPr>
                </w:p>
              </w:tc>
              <w:tc>
                <w:tcPr>
                  <w:tcW w:w="2371" w:type="dxa"/>
                  <w:vMerge w:val="continue"/>
                  <w:tcBorders>
                    <w:tl2br w:val="nil"/>
                    <w:tr2bl w:val="nil"/>
                  </w:tcBorders>
                  <w:vAlign w:val="center"/>
                </w:tcPr>
                <w:p>
                  <w:pPr>
                    <w:pStyle w:val="246"/>
                    <w:adjustRightInd/>
                    <w:snapToGrid/>
                    <w:spacing w:line="240" w:lineRule="auto"/>
                    <w:ind w:firstLine="0" w:firstLineChars="0"/>
                    <w:rPr>
                      <w:bCs/>
                      <w:color w:val="auto"/>
                    </w:rPr>
                  </w:pPr>
                </w:p>
              </w:tc>
              <w:tc>
                <w:tcPr>
                  <w:tcW w:w="1183" w:type="dxa"/>
                  <w:tcBorders>
                    <w:tl2br w:val="nil"/>
                    <w:tr2bl w:val="nil"/>
                  </w:tcBorders>
                  <w:vAlign w:val="center"/>
                </w:tcPr>
                <w:p>
                  <w:pPr>
                    <w:pStyle w:val="246"/>
                    <w:adjustRightInd/>
                    <w:snapToGrid/>
                    <w:spacing w:line="240" w:lineRule="auto"/>
                    <w:ind w:firstLine="0" w:firstLineChars="0"/>
                    <w:rPr>
                      <w:bCs/>
                      <w:color w:val="auto"/>
                    </w:rPr>
                  </w:pPr>
                  <w:r>
                    <w:rPr>
                      <w:bCs/>
                      <w:color w:val="auto"/>
                    </w:rPr>
                    <w:t>昼间</w:t>
                  </w:r>
                </w:p>
              </w:tc>
              <w:tc>
                <w:tcPr>
                  <w:tcW w:w="1185" w:type="dxa"/>
                  <w:tcBorders>
                    <w:tl2br w:val="nil"/>
                    <w:tr2bl w:val="nil"/>
                  </w:tcBorders>
                  <w:vAlign w:val="center"/>
                </w:tcPr>
                <w:p>
                  <w:pPr>
                    <w:pStyle w:val="246"/>
                    <w:adjustRightInd/>
                    <w:snapToGrid/>
                    <w:spacing w:line="240" w:lineRule="auto"/>
                    <w:ind w:firstLine="0" w:firstLineChars="0"/>
                    <w:rPr>
                      <w:bCs/>
                      <w:color w:val="auto"/>
                    </w:rPr>
                  </w:pPr>
                  <w:r>
                    <w:rPr>
                      <w:bCs/>
                      <w:color w:val="auto"/>
                    </w:rPr>
                    <w:t>夜间</w:t>
                  </w:r>
                </w:p>
              </w:tc>
              <w:tc>
                <w:tcPr>
                  <w:tcW w:w="1183" w:type="dxa"/>
                  <w:tcBorders>
                    <w:tl2br w:val="nil"/>
                    <w:tr2bl w:val="nil"/>
                  </w:tcBorders>
                  <w:vAlign w:val="center"/>
                </w:tcPr>
                <w:p>
                  <w:pPr>
                    <w:pStyle w:val="246"/>
                    <w:adjustRightInd/>
                    <w:snapToGrid/>
                    <w:spacing w:line="240" w:lineRule="auto"/>
                    <w:ind w:firstLine="0" w:firstLineChars="0"/>
                    <w:rPr>
                      <w:bCs/>
                      <w:color w:val="auto"/>
                    </w:rPr>
                  </w:pPr>
                  <w:r>
                    <w:rPr>
                      <w:bCs/>
                      <w:color w:val="auto"/>
                    </w:rPr>
                    <w:t>昼间</w:t>
                  </w:r>
                </w:p>
              </w:tc>
              <w:tc>
                <w:tcPr>
                  <w:tcW w:w="1185" w:type="dxa"/>
                  <w:tcBorders>
                    <w:tl2br w:val="nil"/>
                    <w:tr2bl w:val="nil"/>
                  </w:tcBorders>
                  <w:vAlign w:val="center"/>
                </w:tcPr>
                <w:p>
                  <w:pPr>
                    <w:pStyle w:val="246"/>
                    <w:adjustRightInd/>
                    <w:snapToGrid/>
                    <w:spacing w:line="240" w:lineRule="auto"/>
                    <w:ind w:firstLine="0" w:firstLineChars="0"/>
                    <w:rPr>
                      <w:bCs/>
                      <w:color w:val="auto"/>
                    </w:rPr>
                  </w:pPr>
                  <w:r>
                    <w:rPr>
                      <w:bCs/>
                      <w:color w:val="auto"/>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968" w:type="dxa"/>
                  <w:tcBorders>
                    <w:tl2br w:val="nil"/>
                    <w:tr2bl w:val="nil"/>
                  </w:tcBorders>
                  <w:vAlign w:val="center"/>
                </w:tcPr>
                <w:p>
                  <w:pPr>
                    <w:pStyle w:val="246"/>
                    <w:adjustRightInd/>
                    <w:snapToGrid/>
                    <w:spacing w:line="240" w:lineRule="auto"/>
                    <w:ind w:firstLine="0" w:firstLineChars="0"/>
                    <w:rPr>
                      <w:bCs/>
                      <w:color w:val="auto"/>
                    </w:rPr>
                  </w:pPr>
                  <w:r>
                    <w:rPr>
                      <w:bCs/>
                      <w:color w:val="auto"/>
                    </w:rPr>
                    <w:t>东场界</w:t>
                  </w:r>
                </w:p>
              </w:tc>
              <w:tc>
                <w:tcPr>
                  <w:tcW w:w="2371" w:type="dxa"/>
                  <w:tcBorders>
                    <w:tl2br w:val="nil"/>
                    <w:tr2bl w:val="nil"/>
                  </w:tcBorders>
                  <w:vAlign w:val="center"/>
                </w:tcPr>
                <w:p>
                  <w:pPr>
                    <w:pStyle w:val="246"/>
                    <w:adjustRightInd/>
                    <w:snapToGrid/>
                    <w:spacing w:line="240" w:lineRule="auto"/>
                    <w:ind w:firstLine="0" w:firstLineChars="0"/>
                    <w:rPr>
                      <w:bCs/>
                      <w:color w:val="auto"/>
                    </w:rPr>
                  </w:pPr>
                  <w:r>
                    <w:rPr>
                      <w:rFonts w:hint="eastAsia"/>
                      <w:bCs/>
                      <w:color w:val="auto"/>
                    </w:rPr>
                    <w:t>43.1</w:t>
                  </w:r>
                </w:p>
              </w:tc>
              <w:tc>
                <w:tcPr>
                  <w:tcW w:w="1183" w:type="dxa"/>
                  <w:tcBorders>
                    <w:tl2br w:val="nil"/>
                    <w:tr2bl w:val="nil"/>
                  </w:tcBorders>
                  <w:vAlign w:val="center"/>
                </w:tcPr>
                <w:p>
                  <w:pPr>
                    <w:pStyle w:val="246"/>
                    <w:adjustRightInd/>
                    <w:snapToGrid/>
                    <w:spacing w:line="240" w:lineRule="auto"/>
                    <w:ind w:firstLine="0" w:firstLineChars="0"/>
                    <w:rPr>
                      <w:bCs/>
                      <w:color w:val="auto"/>
                    </w:rPr>
                  </w:pPr>
                  <w:r>
                    <w:rPr>
                      <w:bCs/>
                      <w:color w:val="auto"/>
                    </w:rPr>
                    <w:t>60</w:t>
                  </w:r>
                </w:p>
              </w:tc>
              <w:tc>
                <w:tcPr>
                  <w:tcW w:w="1185" w:type="dxa"/>
                  <w:tcBorders>
                    <w:tl2br w:val="nil"/>
                    <w:tr2bl w:val="nil"/>
                  </w:tcBorders>
                  <w:vAlign w:val="center"/>
                </w:tcPr>
                <w:p>
                  <w:pPr>
                    <w:pStyle w:val="246"/>
                    <w:adjustRightInd/>
                    <w:snapToGrid/>
                    <w:spacing w:line="240" w:lineRule="auto"/>
                    <w:ind w:firstLine="0" w:firstLineChars="0"/>
                    <w:rPr>
                      <w:bCs/>
                      <w:color w:val="auto"/>
                    </w:rPr>
                  </w:pPr>
                  <w:r>
                    <w:rPr>
                      <w:bCs/>
                      <w:color w:val="auto"/>
                    </w:rPr>
                    <w:t>50</w:t>
                  </w:r>
                </w:p>
              </w:tc>
              <w:tc>
                <w:tcPr>
                  <w:tcW w:w="1183" w:type="dxa"/>
                  <w:tcBorders>
                    <w:tl2br w:val="nil"/>
                    <w:tr2bl w:val="nil"/>
                  </w:tcBorders>
                  <w:vAlign w:val="center"/>
                </w:tcPr>
                <w:p>
                  <w:pPr>
                    <w:pStyle w:val="246"/>
                    <w:adjustRightInd/>
                    <w:snapToGrid/>
                    <w:spacing w:line="240" w:lineRule="auto"/>
                    <w:ind w:firstLine="0" w:firstLineChars="0"/>
                    <w:rPr>
                      <w:bCs/>
                      <w:color w:val="auto"/>
                    </w:rPr>
                  </w:pPr>
                  <w:r>
                    <w:rPr>
                      <w:bCs/>
                      <w:color w:val="auto"/>
                    </w:rPr>
                    <w:t>达标</w:t>
                  </w:r>
                </w:p>
              </w:tc>
              <w:tc>
                <w:tcPr>
                  <w:tcW w:w="1185" w:type="dxa"/>
                  <w:tcBorders>
                    <w:tl2br w:val="nil"/>
                    <w:tr2bl w:val="nil"/>
                  </w:tcBorders>
                  <w:shd w:val="clear" w:color="auto" w:fill="auto"/>
                  <w:vAlign w:val="center"/>
                </w:tcPr>
                <w:p>
                  <w:pPr>
                    <w:pStyle w:val="246"/>
                    <w:adjustRightInd/>
                    <w:snapToGrid/>
                    <w:spacing w:line="240" w:lineRule="auto"/>
                    <w:ind w:firstLine="0" w:firstLineChars="0"/>
                    <w:rPr>
                      <w:bCs/>
                      <w:color w:val="auto"/>
                    </w:rPr>
                  </w:pPr>
                  <w:r>
                    <w:rPr>
                      <w:bCs/>
                      <w:color w:val="auto"/>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968" w:type="dxa"/>
                  <w:tcBorders>
                    <w:tl2br w:val="nil"/>
                    <w:tr2bl w:val="nil"/>
                  </w:tcBorders>
                  <w:vAlign w:val="center"/>
                </w:tcPr>
                <w:p>
                  <w:pPr>
                    <w:pStyle w:val="246"/>
                    <w:adjustRightInd/>
                    <w:snapToGrid/>
                    <w:spacing w:line="240" w:lineRule="auto"/>
                    <w:ind w:firstLine="0" w:firstLineChars="0"/>
                    <w:rPr>
                      <w:bCs/>
                      <w:color w:val="auto"/>
                    </w:rPr>
                  </w:pPr>
                  <w:r>
                    <w:rPr>
                      <w:bCs/>
                      <w:color w:val="auto"/>
                    </w:rPr>
                    <w:t>西场界</w:t>
                  </w:r>
                </w:p>
              </w:tc>
              <w:tc>
                <w:tcPr>
                  <w:tcW w:w="2371" w:type="dxa"/>
                  <w:tcBorders>
                    <w:tl2br w:val="nil"/>
                    <w:tr2bl w:val="nil"/>
                  </w:tcBorders>
                  <w:vAlign w:val="center"/>
                </w:tcPr>
                <w:p>
                  <w:pPr>
                    <w:pStyle w:val="246"/>
                    <w:adjustRightInd/>
                    <w:snapToGrid/>
                    <w:spacing w:line="240" w:lineRule="auto"/>
                    <w:ind w:firstLine="0" w:firstLineChars="0"/>
                    <w:rPr>
                      <w:bCs/>
                      <w:color w:val="auto"/>
                    </w:rPr>
                  </w:pPr>
                  <w:r>
                    <w:rPr>
                      <w:rFonts w:hint="eastAsia"/>
                      <w:bCs/>
                      <w:color w:val="auto"/>
                    </w:rPr>
                    <w:t>46.9</w:t>
                  </w:r>
                </w:p>
              </w:tc>
              <w:tc>
                <w:tcPr>
                  <w:tcW w:w="1183" w:type="dxa"/>
                  <w:tcBorders>
                    <w:tl2br w:val="nil"/>
                    <w:tr2bl w:val="nil"/>
                  </w:tcBorders>
                  <w:vAlign w:val="center"/>
                </w:tcPr>
                <w:p>
                  <w:pPr>
                    <w:pStyle w:val="246"/>
                    <w:adjustRightInd/>
                    <w:snapToGrid/>
                    <w:spacing w:line="240" w:lineRule="auto"/>
                    <w:ind w:firstLine="0" w:firstLineChars="0"/>
                    <w:rPr>
                      <w:bCs/>
                      <w:color w:val="auto"/>
                    </w:rPr>
                  </w:pPr>
                  <w:r>
                    <w:rPr>
                      <w:bCs/>
                      <w:color w:val="auto"/>
                    </w:rPr>
                    <w:t>60</w:t>
                  </w:r>
                </w:p>
              </w:tc>
              <w:tc>
                <w:tcPr>
                  <w:tcW w:w="1185" w:type="dxa"/>
                  <w:tcBorders>
                    <w:tl2br w:val="nil"/>
                    <w:tr2bl w:val="nil"/>
                  </w:tcBorders>
                  <w:vAlign w:val="center"/>
                </w:tcPr>
                <w:p>
                  <w:pPr>
                    <w:pStyle w:val="246"/>
                    <w:adjustRightInd/>
                    <w:snapToGrid/>
                    <w:spacing w:line="240" w:lineRule="auto"/>
                    <w:ind w:firstLine="0" w:firstLineChars="0"/>
                    <w:rPr>
                      <w:bCs/>
                      <w:color w:val="auto"/>
                    </w:rPr>
                  </w:pPr>
                  <w:r>
                    <w:rPr>
                      <w:bCs/>
                      <w:color w:val="auto"/>
                    </w:rPr>
                    <w:t>50</w:t>
                  </w:r>
                </w:p>
              </w:tc>
              <w:tc>
                <w:tcPr>
                  <w:tcW w:w="1183" w:type="dxa"/>
                  <w:tcBorders>
                    <w:tl2br w:val="nil"/>
                    <w:tr2bl w:val="nil"/>
                  </w:tcBorders>
                  <w:vAlign w:val="center"/>
                </w:tcPr>
                <w:p>
                  <w:pPr>
                    <w:pStyle w:val="246"/>
                    <w:adjustRightInd/>
                    <w:snapToGrid/>
                    <w:spacing w:line="240" w:lineRule="auto"/>
                    <w:ind w:firstLine="0" w:firstLineChars="0"/>
                    <w:rPr>
                      <w:bCs/>
                      <w:color w:val="auto"/>
                    </w:rPr>
                  </w:pPr>
                  <w:r>
                    <w:rPr>
                      <w:bCs/>
                      <w:color w:val="auto"/>
                    </w:rPr>
                    <w:t>达标</w:t>
                  </w:r>
                </w:p>
              </w:tc>
              <w:tc>
                <w:tcPr>
                  <w:tcW w:w="1185" w:type="dxa"/>
                  <w:tcBorders>
                    <w:tl2br w:val="nil"/>
                    <w:tr2bl w:val="nil"/>
                  </w:tcBorders>
                  <w:shd w:val="clear" w:color="auto" w:fill="auto"/>
                  <w:vAlign w:val="center"/>
                </w:tcPr>
                <w:p>
                  <w:pPr>
                    <w:pStyle w:val="246"/>
                    <w:adjustRightInd/>
                    <w:snapToGrid/>
                    <w:spacing w:line="240" w:lineRule="auto"/>
                    <w:ind w:firstLine="0" w:firstLineChars="0"/>
                    <w:rPr>
                      <w:bCs/>
                      <w:color w:val="auto"/>
                    </w:rPr>
                  </w:pPr>
                  <w:r>
                    <w:rPr>
                      <w:bCs/>
                      <w:color w:val="auto"/>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968" w:type="dxa"/>
                  <w:tcBorders>
                    <w:tl2br w:val="nil"/>
                    <w:tr2bl w:val="nil"/>
                  </w:tcBorders>
                  <w:vAlign w:val="center"/>
                </w:tcPr>
                <w:p>
                  <w:pPr>
                    <w:pStyle w:val="246"/>
                    <w:adjustRightInd/>
                    <w:snapToGrid/>
                    <w:spacing w:line="240" w:lineRule="auto"/>
                    <w:ind w:firstLine="0" w:firstLineChars="0"/>
                    <w:rPr>
                      <w:bCs/>
                      <w:color w:val="auto"/>
                    </w:rPr>
                  </w:pPr>
                  <w:r>
                    <w:rPr>
                      <w:bCs/>
                      <w:color w:val="auto"/>
                    </w:rPr>
                    <w:t>南场界</w:t>
                  </w:r>
                </w:p>
              </w:tc>
              <w:tc>
                <w:tcPr>
                  <w:tcW w:w="2371" w:type="dxa"/>
                  <w:tcBorders>
                    <w:tl2br w:val="nil"/>
                    <w:tr2bl w:val="nil"/>
                  </w:tcBorders>
                  <w:vAlign w:val="center"/>
                </w:tcPr>
                <w:p>
                  <w:pPr>
                    <w:pStyle w:val="246"/>
                    <w:adjustRightInd/>
                    <w:snapToGrid/>
                    <w:spacing w:line="240" w:lineRule="auto"/>
                    <w:ind w:firstLine="0" w:firstLineChars="0"/>
                    <w:rPr>
                      <w:bCs/>
                      <w:color w:val="auto"/>
                    </w:rPr>
                  </w:pPr>
                  <w:r>
                    <w:rPr>
                      <w:rFonts w:hint="eastAsia"/>
                      <w:bCs/>
                      <w:color w:val="auto"/>
                    </w:rPr>
                    <w:t>39.7</w:t>
                  </w:r>
                </w:p>
              </w:tc>
              <w:tc>
                <w:tcPr>
                  <w:tcW w:w="1183" w:type="dxa"/>
                  <w:tcBorders>
                    <w:tl2br w:val="nil"/>
                    <w:tr2bl w:val="nil"/>
                  </w:tcBorders>
                  <w:vAlign w:val="center"/>
                </w:tcPr>
                <w:p>
                  <w:pPr>
                    <w:pStyle w:val="246"/>
                    <w:adjustRightInd/>
                    <w:snapToGrid/>
                    <w:spacing w:line="240" w:lineRule="auto"/>
                    <w:ind w:firstLine="0" w:firstLineChars="0"/>
                    <w:rPr>
                      <w:bCs/>
                      <w:color w:val="auto"/>
                    </w:rPr>
                  </w:pPr>
                  <w:r>
                    <w:rPr>
                      <w:bCs/>
                      <w:color w:val="auto"/>
                    </w:rPr>
                    <w:t>60</w:t>
                  </w:r>
                </w:p>
              </w:tc>
              <w:tc>
                <w:tcPr>
                  <w:tcW w:w="1185" w:type="dxa"/>
                  <w:tcBorders>
                    <w:tl2br w:val="nil"/>
                    <w:tr2bl w:val="nil"/>
                  </w:tcBorders>
                  <w:vAlign w:val="center"/>
                </w:tcPr>
                <w:p>
                  <w:pPr>
                    <w:pStyle w:val="246"/>
                    <w:adjustRightInd/>
                    <w:snapToGrid/>
                    <w:spacing w:line="240" w:lineRule="auto"/>
                    <w:ind w:firstLine="0" w:firstLineChars="0"/>
                    <w:rPr>
                      <w:bCs/>
                      <w:color w:val="auto"/>
                    </w:rPr>
                  </w:pPr>
                  <w:r>
                    <w:rPr>
                      <w:bCs/>
                      <w:color w:val="auto"/>
                    </w:rPr>
                    <w:t>50</w:t>
                  </w:r>
                </w:p>
              </w:tc>
              <w:tc>
                <w:tcPr>
                  <w:tcW w:w="1183" w:type="dxa"/>
                  <w:tcBorders>
                    <w:tl2br w:val="nil"/>
                    <w:tr2bl w:val="nil"/>
                  </w:tcBorders>
                  <w:vAlign w:val="center"/>
                </w:tcPr>
                <w:p>
                  <w:pPr>
                    <w:pStyle w:val="246"/>
                    <w:adjustRightInd/>
                    <w:snapToGrid/>
                    <w:spacing w:line="240" w:lineRule="auto"/>
                    <w:ind w:firstLine="0" w:firstLineChars="0"/>
                    <w:rPr>
                      <w:bCs/>
                      <w:color w:val="auto"/>
                    </w:rPr>
                  </w:pPr>
                  <w:r>
                    <w:rPr>
                      <w:bCs/>
                      <w:color w:val="auto"/>
                    </w:rPr>
                    <w:t>达标</w:t>
                  </w:r>
                </w:p>
              </w:tc>
              <w:tc>
                <w:tcPr>
                  <w:tcW w:w="1185" w:type="dxa"/>
                  <w:tcBorders>
                    <w:tl2br w:val="nil"/>
                    <w:tr2bl w:val="nil"/>
                  </w:tcBorders>
                  <w:shd w:val="clear" w:color="auto" w:fill="auto"/>
                  <w:vAlign w:val="center"/>
                </w:tcPr>
                <w:p>
                  <w:pPr>
                    <w:pStyle w:val="246"/>
                    <w:adjustRightInd/>
                    <w:snapToGrid/>
                    <w:spacing w:line="240" w:lineRule="auto"/>
                    <w:ind w:firstLine="0" w:firstLineChars="0"/>
                    <w:rPr>
                      <w:bCs/>
                      <w:color w:val="auto"/>
                    </w:rPr>
                  </w:pPr>
                  <w:r>
                    <w:rPr>
                      <w:bCs/>
                      <w:color w:val="auto"/>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968" w:type="dxa"/>
                  <w:tcBorders>
                    <w:tl2br w:val="nil"/>
                    <w:tr2bl w:val="nil"/>
                  </w:tcBorders>
                  <w:vAlign w:val="center"/>
                </w:tcPr>
                <w:p>
                  <w:pPr>
                    <w:pStyle w:val="246"/>
                    <w:adjustRightInd/>
                    <w:snapToGrid/>
                    <w:spacing w:line="240" w:lineRule="auto"/>
                    <w:ind w:firstLine="0" w:firstLineChars="0"/>
                    <w:rPr>
                      <w:bCs/>
                      <w:color w:val="auto"/>
                    </w:rPr>
                  </w:pPr>
                  <w:r>
                    <w:rPr>
                      <w:bCs/>
                      <w:color w:val="auto"/>
                    </w:rPr>
                    <w:t>北场界</w:t>
                  </w:r>
                </w:p>
              </w:tc>
              <w:tc>
                <w:tcPr>
                  <w:tcW w:w="2371" w:type="dxa"/>
                  <w:tcBorders>
                    <w:tl2br w:val="nil"/>
                    <w:tr2bl w:val="nil"/>
                  </w:tcBorders>
                  <w:vAlign w:val="center"/>
                </w:tcPr>
                <w:p>
                  <w:pPr>
                    <w:pStyle w:val="246"/>
                    <w:adjustRightInd/>
                    <w:snapToGrid/>
                    <w:spacing w:line="240" w:lineRule="auto"/>
                    <w:ind w:firstLine="0" w:firstLineChars="0"/>
                    <w:rPr>
                      <w:bCs/>
                      <w:color w:val="auto"/>
                    </w:rPr>
                  </w:pPr>
                  <w:r>
                    <w:rPr>
                      <w:rFonts w:hint="eastAsia"/>
                      <w:bCs/>
                      <w:color w:val="auto"/>
                    </w:rPr>
                    <w:t>35.7</w:t>
                  </w:r>
                </w:p>
              </w:tc>
              <w:tc>
                <w:tcPr>
                  <w:tcW w:w="1183" w:type="dxa"/>
                  <w:tcBorders>
                    <w:tl2br w:val="nil"/>
                    <w:tr2bl w:val="nil"/>
                  </w:tcBorders>
                  <w:vAlign w:val="center"/>
                </w:tcPr>
                <w:p>
                  <w:pPr>
                    <w:pStyle w:val="246"/>
                    <w:adjustRightInd/>
                    <w:snapToGrid/>
                    <w:spacing w:line="240" w:lineRule="auto"/>
                    <w:ind w:firstLine="0" w:firstLineChars="0"/>
                    <w:rPr>
                      <w:bCs/>
                      <w:color w:val="auto"/>
                    </w:rPr>
                  </w:pPr>
                  <w:r>
                    <w:rPr>
                      <w:bCs/>
                      <w:color w:val="auto"/>
                    </w:rPr>
                    <w:t>60</w:t>
                  </w:r>
                </w:p>
              </w:tc>
              <w:tc>
                <w:tcPr>
                  <w:tcW w:w="1185" w:type="dxa"/>
                  <w:tcBorders>
                    <w:tl2br w:val="nil"/>
                    <w:tr2bl w:val="nil"/>
                  </w:tcBorders>
                  <w:vAlign w:val="center"/>
                </w:tcPr>
                <w:p>
                  <w:pPr>
                    <w:pStyle w:val="246"/>
                    <w:adjustRightInd/>
                    <w:snapToGrid/>
                    <w:spacing w:line="240" w:lineRule="auto"/>
                    <w:ind w:firstLine="0" w:firstLineChars="0"/>
                    <w:rPr>
                      <w:bCs/>
                      <w:color w:val="auto"/>
                    </w:rPr>
                  </w:pPr>
                  <w:r>
                    <w:rPr>
                      <w:bCs/>
                      <w:color w:val="auto"/>
                    </w:rPr>
                    <w:t>50</w:t>
                  </w:r>
                </w:p>
              </w:tc>
              <w:tc>
                <w:tcPr>
                  <w:tcW w:w="1183" w:type="dxa"/>
                  <w:tcBorders>
                    <w:tl2br w:val="nil"/>
                    <w:tr2bl w:val="nil"/>
                  </w:tcBorders>
                  <w:vAlign w:val="center"/>
                </w:tcPr>
                <w:p>
                  <w:pPr>
                    <w:pStyle w:val="246"/>
                    <w:adjustRightInd/>
                    <w:snapToGrid/>
                    <w:spacing w:line="240" w:lineRule="auto"/>
                    <w:ind w:firstLine="0" w:firstLineChars="0"/>
                    <w:rPr>
                      <w:bCs/>
                      <w:color w:val="auto"/>
                    </w:rPr>
                  </w:pPr>
                  <w:r>
                    <w:rPr>
                      <w:bCs/>
                      <w:color w:val="auto"/>
                    </w:rPr>
                    <w:t>达标</w:t>
                  </w:r>
                </w:p>
              </w:tc>
              <w:tc>
                <w:tcPr>
                  <w:tcW w:w="1185" w:type="dxa"/>
                  <w:tcBorders>
                    <w:tl2br w:val="nil"/>
                    <w:tr2bl w:val="nil"/>
                  </w:tcBorders>
                  <w:shd w:val="clear" w:color="auto" w:fill="auto"/>
                  <w:vAlign w:val="center"/>
                </w:tcPr>
                <w:p>
                  <w:pPr>
                    <w:pStyle w:val="246"/>
                    <w:adjustRightInd/>
                    <w:snapToGrid/>
                    <w:spacing w:line="240" w:lineRule="auto"/>
                    <w:ind w:firstLine="0" w:firstLineChars="0"/>
                    <w:rPr>
                      <w:bCs/>
                      <w:color w:val="auto"/>
                    </w:rPr>
                  </w:pPr>
                  <w:r>
                    <w:rPr>
                      <w:bCs/>
                      <w:color w:val="auto"/>
                    </w:rPr>
                    <w:t>达标</w:t>
                  </w:r>
                </w:p>
              </w:tc>
            </w:tr>
          </w:tbl>
          <w:p>
            <w:pPr>
              <w:ind w:firstLine="420"/>
              <w:rPr>
                <w:color w:val="auto"/>
                <w:szCs w:val="21"/>
              </w:rPr>
            </w:pPr>
            <w:r>
              <w:rPr>
                <w:color w:val="auto"/>
                <w:szCs w:val="21"/>
              </w:rPr>
              <w:t>根据预测结果可知，项目</w:t>
            </w:r>
            <w:r>
              <w:rPr>
                <w:rFonts w:hint="eastAsia"/>
                <w:color w:val="auto"/>
                <w:szCs w:val="21"/>
              </w:rPr>
              <w:t>场界</w:t>
            </w:r>
            <w:r>
              <w:rPr>
                <w:color w:val="auto"/>
                <w:szCs w:val="21"/>
              </w:rPr>
              <w:t>噪声值能满足《工业企业厂界环境噪声排放标准》（GB12348-2008）</w:t>
            </w:r>
            <w:r>
              <w:rPr>
                <w:rFonts w:hint="eastAsia"/>
                <w:color w:val="auto"/>
                <w:szCs w:val="21"/>
              </w:rPr>
              <w:t>2类标准限值，</w:t>
            </w:r>
            <w:r>
              <w:rPr>
                <w:color w:val="auto"/>
                <w:szCs w:val="21"/>
              </w:rPr>
              <w:t>项目</w:t>
            </w:r>
            <w:r>
              <w:rPr>
                <w:rFonts w:hint="eastAsia"/>
                <w:color w:val="auto"/>
                <w:szCs w:val="21"/>
              </w:rPr>
              <w:t>营运期</w:t>
            </w:r>
            <w:r>
              <w:rPr>
                <w:color w:val="auto"/>
                <w:szCs w:val="21"/>
              </w:rPr>
              <w:t>不会对区域声</w:t>
            </w:r>
            <w:r>
              <w:rPr>
                <w:rFonts w:hint="eastAsia"/>
                <w:color w:val="auto"/>
                <w:szCs w:val="21"/>
              </w:rPr>
              <w:t>环境质量</w:t>
            </w:r>
            <w:r>
              <w:rPr>
                <w:color w:val="auto"/>
                <w:szCs w:val="21"/>
              </w:rPr>
              <w:t>产生明显影响。</w:t>
            </w:r>
          </w:p>
          <w:p>
            <w:pPr>
              <w:ind w:firstLine="422"/>
              <w:rPr>
                <w:b/>
                <w:bCs/>
                <w:color w:val="auto"/>
                <w:szCs w:val="21"/>
              </w:rPr>
            </w:pPr>
            <w:r>
              <w:rPr>
                <w:rFonts w:hint="eastAsia"/>
                <w:b/>
                <w:bCs/>
                <w:color w:val="auto"/>
                <w:szCs w:val="21"/>
              </w:rPr>
              <w:t>声环境保护目标预测结果</w:t>
            </w:r>
          </w:p>
          <w:p>
            <w:pPr>
              <w:ind w:firstLine="420"/>
              <w:rPr>
                <w:color w:val="auto"/>
                <w:szCs w:val="21"/>
              </w:rPr>
            </w:pPr>
            <w:r>
              <w:rPr>
                <w:color w:val="auto"/>
                <w:szCs w:val="21"/>
              </w:rPr>
              <w:t>根据重庆智海科技有限责任公司于2025年1月</w:t>
            </w:r>
            <w:r>
              <w:rPr>
                <w:rFonts w:hint="eastAsia"/>
                <w:color w:val="auto"/>
                <w:szCs w:val="21"/>
              </w:rPr>
              <w:t>8</w:t>
            </w:r>
            <w:r>
              <w:rPr>
                <w:color w:val="auto"/>
                <w:szCs w:val="21"/>
              </w:rPr>
              <w:t>日的监测结果可知，本项目监测点位（敏感点）昼、夜间监测值均满足《声环境质量标准》（GB 3096-2008）2类标准要求。本项目是在现有医院的基础上新增三腔手术，不增加产噪设备，扩建前后动物诊疗、住院的规模均不发生变化，</w:t>
            </w:r>
            <w:r>
              <w:rPr>
                <w:rFonts w:hint="eastAsia"/>
                <w:color w:val="auto"/>
                <w:szCs w:val="21"/>
              </w:rPr>
              <w:t>因此现状监测结果可代表扩建项目实施后对环境保护目标的声环境影响情况，监测结果</w:t>
            </w:r>
            <w:r>
              <w:rPr>
                <w:color w:val="auto"/>
                <w:szCs w:val="21"/>
              </w:rPr>
              <w:t>满足《声环境质量标准》（GB 3096-2008）2类标准要求。</w:t>
            </w:r>
          </w:p>
          <w:p>
            <w:pPr>
              <w:ind w:firstLine="420"/>
              <w:rPr>
                <w:color w:val="auto"/>
                <w:szCs w:val="21"/>
              </w:rPr>
            </w:pPr>
            <w:r>
              <w:rPr>
                <w:color w:val="auto"/>
                <w:szCs w:val="21"/>
              </w:rPr>
              <w:t>因此，本项目运营服务期对声环境保护目标影响较小。</w:t>
            </w:r>
          </w:p>
          <w:p>
            <w:pPr>
              <w:adjustRightInd/>
              <w:snapToGrid/>
              <w:ind w:firstLine="422"/>
              <w:rPr>
                <w:b/>
                <w:color w:val="auto"/>
                <w:kern w:val="0"/>
                <w:szCs w:val="21"/>
              </w:rPr>
            </w:pPr>
            <w:r>
              <w:rPr>
                <w:b/>
                <w:color w:val="auto"/>
                <w:szCs w:val="21"/>
              </w:rPr>
              <w:t>（3）</w:t>
            </w:r>
            <w:r>
              <w:rPr>
                <w:b/>
                <w:color w:val="auto"/>
                <w:kern w:val="0"/>
                <w:szCs w:val="21"/>
              </w:rPr>
              <w:t>监测要求</w:t>
            </w:r>
          </w:p>
          <w:p>
            <w:pPr>
              <w:ind w:firstLine="420"/>
              <w:rPr>
                <w:color w:val="auto"/>
              </w:rPr>
            </w:pPr>
            <w:r>
              <w:rPr>
                <w:color w:val="auto"/>
              </w:rPr>
              <w:t>参考《排污单位自行监测技术指南总则》（HJ819-2017）有关规定，本项目噪声监测要求如下。</w:t>
            </w:r>
          </w:p>
          <w:p>
            <w:pPr>
              <w:pStyle w:val="234"/>
              <w:adjustRightInd/>
              <w:snapToGrid/>
              <w:spacing w:before="120"/>
              <w:ind w:firstLine="0" w:firstLineChars="0"/>
              <w:rPr>
                <w:bCs/>
                <w:color w:val="auto"/>
              </w:rPr>
            </w:pPr>
            <w:r>
              <w:rPr>
                <w:bCs/>
                <w:color w:val="auto"/>
              </w:rPr>
              <w:t>表4-1</w:t>
            </w:r>
            <w:r>
              <w:rPr>
                <w:rFonts w:hint="eastAsia"/>
                <w:bCs/>
                <w:color w:val="auto"/>
              </w:rPr>
              <w:t>1</w:t>
            </w:r>
            <w:r>
              <w:rPr>
                <w:bCs/>
                <w:color w:val="auto"/>
              </w:rPr>
              <w:t xml:space="preserve">   监测点位、监测项目及监测频率一览表</w:t>
            </w:r>
          </w:p>
          <w:tbl>
            <w:tblPr>
              <w:tblStyle w:val="40"/>
              <w:tblW w:w="9072"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2264"/>
              <w:gridCol w:w="1452"/>
              <w:gridCol w:w="35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843" w:type="dxa"/>
                  <w:tcBorders>
                    <w:tl2br w:val="nil"/>
                    <w:tr2bl w:val="nil"/>
                  </w:tcBorders>
                  <w:vAlign w:val="center"/>
                </w:tcPr>
                <w:p>
                  <w:pPr>
                    <w:pStyle w:val="167"/>
                    <w:jc w:val="center"/>
                    <w:rPr>
                      <w:color w:val="auto"/>
                    </w:rPr>
                  </w:pPr>
                  <w:r>
                    <w:rPr>
                      <w:color w:val="auto"/>
                    </w:rPr>
                    <w:t>监测点位</w:t>
                  </w:r>
                </w:p>
              </w:tc>
              <w:tc>
                <w:tcPr>
                  <w:tcW w:w="2264" w:type="dxa"/>
                  <w:tcBorders>
                    <w:tl2br w:val="nil"/>
                    <w:tr2bl w:val="nil"/>
                  </w:tcBorders>
                  <w:vAlign w:val="center"/>
                </w:tcPr>
                <w:p>
                  <w:pPr>
                    <w:pStyle w:val="167"/>
                    <w:jc w:val="center"/>
                    <w:rPr>
                      <w:color w:val="auto"/>
                    </w:rPr>
                  </w:pPr>
                  <w:r>
                    <w:rPr>
                      <w:color w:val="auto"/>
                    </w:rPr>
                    <w:t>监测项目</w:t>
                  </w:r>
                </w:p>
              </w:tc>
              <w:tc>
                <w:tcPr>
                  <w:tcW w:w="1452" w:type="dxa"/>
                  <w:tcBorders>
                    <w:tl2br w:val="nil"/>
                    <w:tr2bl w:val="nil"/>
                  </w:tcBorders>
                  <w:vAlign w:val="center"/>
                </w:tcPr>
                <w:p>
                  <w:pPr>
                    <w:pStyle w:val="167"/>
                    <w:jc w:val="center"/>
                    <w:rPr>
                      <w:color w:val="auto"/>
                    </w:rPr>
                  </w:pPr>
                  <w:r>
                    <w:rPr>
                      <w:color w:val="auto"/>
                    </w:rPr>
                    <w:t>监测频率</w:t>
                  </w:r>
                </w:p>
              </w:tc>
              <w:tc>
                <w:tcPr>
                  <w:tcW w:w="3513" w:type="dxa"/>
                  <w:tcBorders>
                    <w:tl2br w:val="nil"/>
                    <w:tr2bl w:val="nil"/>
                  </w:tcBorders>
                  <w:vAlign w:val="center"/>
                </w:tcPr>
                <w:p>
                  <w:pPr>
                    <w:pStyle w:val="167"/>
                    <w:jc w:val="center"/>
                    <w:rPr>
                      <w:color w:val="auto"/>
                    </w:rPr>
                  </w:pPr>
                  <w:r>
                    <w:rPr>
                      <w:color w:val="auto"/>
                    </w:rPr>
                    <w:t>执行标准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1843" w:type="dxa"/>
                  <w:tcBorders>
                    <w:tl2br w:val="nil"/>
                    <w:tr2bl w:val="nil"/>
                  </w:tcBorders>
                  <w:vAlign w:val="center"/>
                </w:tcPr>
                <w:p>
                  <w:pPr>
                    <w:pStyle w:val="167"/>
                    <w:jc w:val="center"/>
                    <w:rPr>
                      <w:color w:val="auto"/>
                    </w:rPr>
                  </w:pPr>
                  <w:r>
                    <w:rPr>
                      <w:color w:val="auto"/>
                    </w:rPr>
                    <w:t>场界外1m处</w:t>
                  </w:r>
                </w:p>
              </w:tc>
              <w:tc>
                <w:tcPr>
                  <w:tcW w:w="2264" w:type="dxa"/>
                  <w:tcBorders>
                    <w:tl2br w:val="nil"/>
                    <w:tr2bl w:val="nil"/>
                  </w:tcBorders>
                  <w:vAlign w:val="center"/>
                </w:tcPr>
                <w:p>
                  <w:pPr>
                    <w:pStyle w:val="167"/>
                    <w:jc w:val="center"/>
                    <w:rPr>
                      <w:color w:val="auto"/>
                    </w:rPr>
                  </w:pPr>
                  <w:r>
                    <w:rPr>
                      <w:color w:val="auto"/>
                      <w:kern w:val="0"/>
                    </w:rPr>
                    <w:t>昼、夜等效</w:t>
                  </w:r>
                  <w:r>
                    <w:rPr>
                      <w:color w:val="auto"/>
                      <w:szCs w:val="21"/>
                    </w:rPr>
                    <w:t>连续A声级</w:t>
                  </w:r>
                </w:p>
              </w:tc>
              <w:tc>
                <w:tcPr>
                  <w:tcW w:w="1452" w:type="dxa"/>
                  <w:tcBorders>
                    <w:tl2br w:val="nil"/>
                    <w:tr2bl w:val="nil"/>
                  </w:tcBorders>
                  <w:vAlign w:val="center"/>
                </w:tcPr>
                <w:p>
                  <w:pPr>
                    <w:pStyle w:val="167"/>
                    <w:jc w:val="center"/>
                    <w:rPr>
                      <w:color w:val="auto"/>
                    </w:rPr>
                  </w:pPr>
                  <w:r>
                    <w:rPr>
                      <w:snapToGrid w:val="0"/>
                      <w:color w:val="auto"/>
                    </w:rPr>
                    <w:t>验收时监测1次</w:t>
                  </w:r>
                </w:p>
              </w:tc>
              <w:tc>
                <w:tcPr>
                  <w:tcW w:w="3513" w:type="dxa"/>
                  <w:tcBorders>
                    <w:tl2br w:val="nil"/>
                    <w:tr2bl w:val="nil"/>
                  </w:tcBorders>
                  <w:vAlign w:val="center"/>
                </w:tcPr>
                <w:p>
                  <w:pPr>
                    <w:pStyle w:val="167"/>
                    <w:rPr>
                      <w:color w:val="auto"/>
                      <w:kern w:val="0"/>
                      <w:szCs w:val="21"/>
                    </w:rPr>
                  </w:pPr>
                  <w:r>
                    <w:rPr>
                      <w:color w:val="auto"/>
                      <w:kern w:val="0"/>
                      <w:szCs w:val="21"/>
                    </w:rPr>
                    <w:t>《工业企业厂界环境噪声排放标准》（GB12348-2008）2类标准</w:t>
                  </w:r>
                </w:p>
              </w:tc>
            </w:tr>
          </w:tbl>
          <w:p>
            <w:pPr>
              <w:adjustRightInd/>
              <w:snapToGrid/>
              <w:spacing w:before="120" w:beforeLines="50"/>
              <w:ind w:firstLine="422"/>
              <w:rPr>
                <w:b/>
                <w:color w:val="auto"/>
                <w:kern w:val="0"/>
                <w:szCs w:val="21"/>
              </w:rPr>
            </w:pPr>
            <w:r>
              <w:rPr>
                <w:b/>
                <w:color w:val="auto"/>
                <w:kern w:val="0"/>
                <w:szCs w:val="21"/>
              </w:rPr>
              <w:t>4、固体废物</w:t>
            </w:r>
          </w:p>
          <w:p>
            <w:pPr>
              <w:ind w:firstLine="420"/>
              <w:rPr>
                <w:color w:val="auto"/>
                <w:szCs w:val="21"/>
              </w:rPr>
            </w:pPr>
            <w:r>
              <w:rPr>
                <w:bCs/>
                <w:color w:val="auto"/>
                <w:szCs w:val="21"/>
              </w:rPr>
              <w:t>项目运营期固体废物主要包括废毛、医疗废物、动物粪便、动物尸体、废紫外线灯管以及</w:t>
            </w:r>
            <w:r>
              <w:rPr>
                <w:color w:val="auto"/>
                <w:szCs w:val="21"/>
              </w:rPr>
              <w:t>生活垃圾等。</w:t>
            </w:r>
          </w:p>
          <w:p>
            <w:pPr>
              <w:ind w:firstLine="422"/>
              <w:rPr>
                <w:b/>
                <w:bCs/>
                <w:color w:val="auto"/>
                <w:szCs w:val="21"/>
              </w:rPr>
            </w:pPr>
            <w:r>
              <w:rPr>
                <w:b/>
                <w:bCs/>
                <w:color w:val="auto"/>
                <w:szCs w:val="21"/>
              </w:rPr>
              <w:t>（1）固体废物产生、处置信息</w:t>
            </w:r>
          </w:p>
          <w:p>
            <w:pPr>
              <w:ind w:firstLine="422"/>
              <w:rPr>
                <w:b/>
                <w:color w:val="auto"/>
                <w:szCs w:val="21"/>
              </w:rPr>
            </w:pPr>
            <w:r>
              <w:rPr>
                <w:b/>
                <w:color w:val="auto"/>
                <w:szCs w:val="21"/>
              </w:rPr>
              <w:t>1）生活垃圾</w:t>
            </w:r>
          </w:p>
          <w:p>
            <w:pPr>
              <w:ind w:firstLine="420"/>
              <w:rPr>
                <w:bCs/>
                <w:color w:val="auto"/>
                <w:szCs w:val="21"/>
              </w:rPr>
            </w:pPr>
            <w:r>
              <w:rPr>
                <w:bCs/>
                <w:color w:val="auto"/>
                <w:szCs w:val="21"/>
              </w:rPr>
              <w:t>项目生活垃圾产生量按0.5kg/人·d计，劳动定员为</w:t>
            </w:r>
            <w:r>
              <w:rPr>
                <w:rFonts w:hint="eastAsia"/>
                <w:bCs/>
                <w:color w:val="auto"/>
                <w:szCs w:val="21"/>
              </w:rPr>
              <w:t>9</w:t>
            </w:r>
            <w:r>
              <w:rPr>
                <w:bCs/>
                <w:color w:val="auto"/>
                <w:szCs w:val="21"/>
              </w:rPr>
              <w:t>人，运营时间为365d/a，生活垃圾年产生量约</w:t>
            </w:r>
            <w:r>
              <w:rPr>
                <w:rFonts w:hint="eastAsia"/>
                <w:bCs/>
                <w:color w:val="auto"/>
                <w:szCs w:val="21"/>
              </w:rPr>
              <w:t>1.643</w:t>
            </w:r>
            <w:r>
              <w:rPr>
                <w:bCs/>
                <w:color w:val="auto"/>
                <w:szCs w:val="21"/>
              </w:rPr>
              <w:t>t，根据《固体废物分类与代码目录》（2024年 第4号），其种类为SW64其他垃圾，900-099-S64，生活垃圾</w:t>
            </w:r>
            <w:r>
              <w:rPr>
                <w:color w:val="auto"/>
                <w:kern w:val="0"/>
                <w:szCs w:val="21"/>
                <w:lang w:bidi="ar"/>
              </w:rPr>
              <w:t>交市政环卫部门统一处置</w:t>
            </w:r>
            <w:r>
              <w:rPr>
                <w:bCs/>
                <w:color w:val="auto"/>
                <w:szCs w:val="21"/>
              </w:rPr>
              <w:t>。</w:t>
            </w:r>
          </w:p>
          <w:p>
            <w:pPr>
              <w:ind w:firstLine="422"/>
              <w:rPr>
                <w:b/>
                <w:color w:val="auto"/>
                <w:szCs w:val="21"/>
              </w:rPr>
            </w:pPr>
            <w:r>
              <w:rPr>
                <w:b/>
                <w:color w:val="auto"/>
                <w:szCs w:val="21"/>
              </w:rPr>
              <w:t>2）一般固体废物</w:t>
            </w:r>
          </w:p>
          <w:p>
            <w:pPr>
              <w:ind w:firstLine="420"/>
              <w:rPr>
                <w:bCs/>
                <w:color w:val="auto"/>
                <w:szCs w:val="21"/>
              </w:rPr>
            </w:pPr>
            <w:r>
              <w:rPr>
                <w:rFonts w:hint="eastAsia" w:ascii="宋体" w:hAnsi="宋体" w:cs="宋体"/>
                <w:bCs/>
                <w:color w:val="auto"/>
                <w:szCs w:val="21"/>
              </w:rPr>
              <w:t>①</w:t>
            </w:r>
            <w:r>
              <w:rPr>
                <w:bCs/>
                <w:color w:val="auto"/>
                <w:szCs w:val="21"/>
              </w:rPr>
              <w:t>动物毛发</w:t>
            </w:r>
          </w:p>
          <w:p>
            <w:pPr>
              <w:ind w:firstLine="420"/>
              <w:rPr>
                <w:bCs/>
                <w:color w:val="auto"/>
                <w:szCs w:val="21"/>
              </w:rPr>
            </w:pPr>
            <w:r>
              <w:rPr>
                <w:bCs/>
                <w:color w:val="auto"/>
                <w:szCs w:val="21"/>
              </w:rPr>
              <w:t>项目动物毛发来源于美容洗浴环节，宠物废毛产生量按0.1kg/只d，年美容洗护宠物数量为</w:t>
            </w:r>
            <w:r>
              <w:rPr>
                <w:rFonts w:hint="eastAsia"/>
                <w:bCs/>
                <w:color w:val="auto"/>
                <w:szCs w:val="21"/>
              </w:rPr>
              <w:t>1825</w:t>
            </w:r>
            <w:r>
              <w:rPr>
                <w:bCs/>
                <w:color w:val="auto"/>
                <w:szCs w:val="21"/>
              </w:rPr>
              <w:t>只，则动物毛发年产生量为</w:t>
            </w:r>
            <w:r>
              <w:rPr>
                <w:rFonts w:hint="eastAsia"/>
                <w:bCs/>
                <w:color w:val="auto"/>
                <w:szCs w:val="21"/>
              </w:rPr>
              <w:t>0.183</w:t>
            </w:r>
            <w:r>
              <w:rPr>
                <w:bCs/>
                <w:color w:val="auto"/>
                <w:szCs w:val="21"/>
              </w:rPr>
              <w:t>t/a，</w:t>
            </w:r>
            <w:r>
              <w:rPr>
                <w:color w:val="auto"/>
                <w:kern w:val="0"/>
                <w:szCs w:val="21"/>
                <w:lang w:bidi="ar"/>
              </w:rPr>
              <w:t>交市政环卫部门统一处置</w:t>
            </w:r>
            <w:r>
              <w:rPr>
                <w:bCs/>
                <w:color w:val="auto"/>
                <w:szCs w:val="21"/>
              </w:rPr>
              <w:t>。</w:t>
            </w:r>
          </w:p>
          <w:p>
            <w:pPr>
              <w:ind w:firstLine="420"/>
              <w:rPr>
                <w:bCs/>
                <w:color w:val="auto"/>
                <w:szCs w:val="21"/>
              </w:rPr>
            </w:pPr>
            <w:r>
              <w:rPr>
                <w:rFonts w:hint="eastAsia" w:ascii="宋体" w:hAnsi="宋体" w:cs="宋体"/>
                <w:bCs/>
                <w:color w:val="auto"/>
                <w:szCs w:val="21"/>
              </w:rPr>
              <w:t>②</w:t>
            </w:r>
            <w:r>
              <w:rPr>
                <w:bCs/>
                <w:color w:val="auto"/>
                <w:szCs w:val="21"/>
              </w:rPr>
              <w:t>动物粪便</w:t>
            </w:r>
          </w:p>
          <w:p>
            <w:pPr>
              <w:ind w:firstLine="420"/>
              <w:rPr>
                <w:bCs/>
                <w:color w:val="auto"/>
                <w:szCs w:val="21"/>
              </w:rPr>
            </w:pPr>
            <w:r>
              <w:rPr>
                <w:bCs/>
                <w:color w:val="auto"/>
                <w:szCs w:val="21"/>
              </w:rPr>
              <w:t>项目猫住院及诊疗期间产生的粪便与尿液均可使用猫砂盒进行收集，日常工作人员及时清理猫砂盒。犬住院与诊疗期间排污采取干湿分离，尿液直接经收集后进入污水处理设施进行消毒处理后排入生化池。猫砂及犬粪收集至专用垃圾桶，经消毒后</w:t>
            </w:r>
            <w:r>
              <w:rPr>
                <w:color w:val="auto"/>
                <w:kern w:val="0"/>
                <w:szCs w:val="21"/>
                <w:lang w:bidi="ar"/>
              </w:rPr>
              <w:t>交市政环卫部门统一处置</w:t>
            </w:r>
            <w:r>
              <w:rPr>
                <w:bCs/>
                <w:color w:val="auto"/>
                <w:szCs w:val="21"/>
              </w:rPr>
              <w:t>。猫砂产生量按照0.5kg/只猫·d进行计算，犬粪污产生量按照每天0.05kg/只进行计算，每天住院猫犬数量均按照</w:t>
            </w:r>
            <w:r>
              <w:rPr>
                <w:rFonts w:hint="eastAsia"/>
                <w:bCs/>
                <w:color w:val="auto"/>
                <w:szCs w:val="21"/>
              </w:rPr>
              <w:t>2</w:t>
            </w:r>
            <w:r>
              <w:rPr>
                <w:bCs/>
                <w:color w:val="auto"/>
                <w:szCs w:val="21"/>
              </w:rPr>
              <w:t>只进行计算，则猫砂产生量为</w:t>
            </w:r>
            <w:r>
              <w:rPr>
                <w:rFonts w:hint="eastAsia"/>
                <w:bCs/>
                <w:color w:val="auto"/>
                <w:szCs w:val="21"/>
              </w:rPr>
              <w:t>0.365</w:t>
            </w:r>
            <w:r>
              <w:rPr>
                <w:bCs/>
                <w:color w:val="auto"/>
                <w:szCs w:val="21"/>
              </w:rPr>
              <w:t>t/a，犬粪污产生量为</w:t>
            </w:r>
            <w:r>
              <w:rPr>
                <w:rFonts w:hint="eastAsia"/>
                <w:bCs/>
                <w:color w:val="auto"/>
                <w:szCs w:val="21"/>
              </w:rPr>
              <w:t>0.037</w:t>
            </w:r>
            <w:r>
              <w:rPr>
                <w:bCs/>
                <w:color w:val="auto"/>
                <w:szCs w:val="21"/>
              </w:rPr>
              <w:t>t/a，合计</w:t>
            </w:r>
            <w:r>
              <w:rPr>
                <w:rFonts w:hint="eastAsia"/>
                <w:bCs/>
                <w:color w:val="auto"/>
                <w:szCs w:val="21"/>
              </w:rPr>
              <w:t>0.402</w:t>
            </w:r>
            <w:r>
              <w:rPr>
                <w:bCs/>
                <w:color w:val="auto"/>
                <w:szCs w:val="21"/>
              </w:rPr>
              <w:t>t/a。</w:t>
            </w:r>
          </w:p>
          <w:p>
            <w:pPr>
              <w:ind w:firstLine="422"/>
              <w:rPr>
                <w:b/>
                <w:color w:val="auto"/>
                <w:szCs w:val="21"/>
              </w:rPr>
            </w:pPr>
            <w:r>
              <w:rPr>
                <w:b/>
                <w:color w:val="auto"/>
                <w:szCs w:val="21"/>
              </w:rPr>
              <w:t>3）医疗废物</w:t>
            </w:r>
          </w:p>
          <w:p>
            <w:pPr>
              <w:ind w:firstLine="420"/>
              <w:rPr>
                <w:bCs/>
                <w:color w:val="auto"/>
                <w:szCs w:val="21"/>
              </w:rPr>
            </w:pPr>
            <w:r>
              <w:rPr>
                <w:bCs/>
                <w:color w:val="auto"/>
                <w:szCs w:val="21"/>
              </w:rPr>
              <w:t>诊疗活动产生的医疗废物来源广泛、成分复杂。本项目医疗废物主要有感染性废物、损伤性废物、病理性废物、药物性废物、化学性废物。据建设单位实际运营情况，医疗废物年产生量按门诊、手术、住院病例0.2kg/只计算，则产生量约为</w:t>
            </w:r>
            <w:r>
              <w:rPr>
                <w:rFonts w:hint="eastAsia"/>
                <w:bCs/>
                <w:color w:val="auto"/>
                <w:szCs w:val="21"/>
              </w:rPr>
              <w:t>2.117</w:t>
            </w:r>
            <w:r>
              <w:rPr>
                <w:bCs/>
                <w:color w:val="auto"/>
                <w:szCs w:val="21"/>
              </w:rPr>
              <w:t>t/a。</w:t>
            </w:r>
            <w:r>
              <w:rPr>
                <w:rFonts w:hint="eastAsia"/>
                <w:bCs/>
                <w:color w:val="auto"/>
                <w:szCs w:val="21"/>
                <w:highlight w:val="yellow"/>
              </w:rPr>
              <w:t>本项目在各医疗废物产生点设专用收集桶分类收集后暂存危废贮存点，定期</w:t>
            </w:r>
            <w:r>
              <w:rPr>
                <w:bCs/>
                <w:color w:val="auto"/>
                <w:szCs w:val="21"/>
                <w:highlight w:val="yellow"/>
              </w:rPr>
              <w:t>交</w:t>
            </w:r>
            <w:r>
              <w:rPr>
                <w:rFonts w:hint="eastAsia"/>
                <w:bCs/>
                <w:color w:val="auto"/>
                <w:szCs w:val="21"/>
                <w:highlight w:val="yellow"/>
              </w:rPr>
              <w:t>有</w:t>
            </w:r>
            <w:r>
              <w:rPr>
                <w:bCs/>
                <w:color w:val="auto"/>
                <w:szCs w:val="21"/>
                <w:highlight w:val="yellow"/>
              </w:rPr>
              <w:t>资质单位处置。</w:t>
            </w:r>
          </w:p>
          <w:p>
            <w:pPr>
              <w:ind w:firstLine="420"/>
              <w:rPr>
                <w:bCs/>
                <w:color w:val="auto"/>
                <w:szCs w:val="21"/>
              </w:rPr>
            </w:pPr>
            <w:r>
              <w:rPr>
                <w:rFonts w:hint="eastAsia" w:ascii="宋体" w:hAnsi="宋体" w:cs="宋体"/>
                <w:bCs/>
                <w:color w:val="auto"/>
                <w:szCs w:val="21"/>
              </w:rPr>
              <w:t>①</w:t>
            </w:r>
            <w:r>
              <w:rPr>
                <w:bCs/>
                <w:color w:val="auto"/>
                <w:szCs w:val="21"/>
              </w:rPr>
              <w:t>感染性废物</w:t>
            </w:r>
          </w:p>
          <w:p>
            <w:pPr>
              <w:ind w:firstLine="420"/>
              <w:rPr>
                <w:bCs/>
                <w:snapToGrid w:val="0"/>
                <w:color w:val="auto"/>
                <w:sz w:val="24"/>
              </w:rPr>
            </w:pPr>
            <w:r>
              <w:rPr>
                <w:bCs/>
                <w:color w:val="auto"/>
                <w:szCs w:val="21"/>
              </w:rPr>
              <w:t>感染性废物主要包括被患病宠物血液、体液、排泄物等污染的除锐器以外的废物，如使用后废弃的一次性注射器、输液器，化验室产生的废弃血液、血清、分泌物等标本和容器以及隔离病房隔离的传染病宠物或疑似传染病宠物产生的废弃物。感染性废物收集于符合《医疗废物包装袋、容器和警示标志标准》（HJ421-2008）医疗废物包装袋中，隔离的传染病宠物或疑似传染病宠物产生的医疗废物应当使用双层医疗废物包装袋盛装。根据《国家危险废物名录》（2025 年版）、《医疗废物分类目录》（2021 年版），其代码为HW01医疗废物，感染性废物，841-001-01。</w:t>
            </w:r>
          </w:p>
          <w:p>
            <w:pPr>
              <w:ind w:firstLine="420"/>
              <w:rPr>
                <w:bCs/>
                <w:color w:val="auto"/>
                <w:szCs w:val="21"/>
              </w:rPr>
            </w:pPr>
            <w:r>
              <w:rPr>
                <w:rFonts w:hint="eastAsia" w:ascii="宋体" w:hAnsi="宋体" w:cs="宋体"/>
                <w:bCs/>
                <w:color w:val="auto"/>
                <w:szCs w:val="21"/>
              </w:rPr>
              <w:t>②</w:t>
            </w:r>
            <w:r>
              <w:rPr>
                <w:bCs/>
                <w:color w:val="auto"/>
                <w:szCs w:val="21"/>
              </w:rPr>
              <w:t>损伤性废物</w:t>
            </w:r>
          </w:p>
          <w:p>
            <w:pPr>
              <w:ind w:firstLine="420"/>
              <w:rPr>
                <w:bCs/>
                <w:snapToGrid w:val="0"/>
                <w:color w:val="auto"/>
                <w:sz w:val="24"/>
              </w:rPr>
            </w:pPr>
            <w:r>
              <w:rPr>
                <w:bCs/>
                <w:color w:val="auto"/>
                <w:szCs w:val="21"/>
              </w:rPr>
              <w:t>损伤性废物主要包括废弃的针头、缝合针、探针、穿刺针、解剖刀、手术刀等废弃的金属类锐器以及废弃的载玻片等玻璃类锐器。损伤性废物收集于符合《医疗废物包装袋、容器和警示标志标准》（HJ421-2008）的利器盒中，利器盒达到3/4满时，应当封闭严密，按流程运送、贮存。根据《国家危险废物名录》（2025 年版）、《医疗废物分类目录》（2021 年版），其代码为HW01医疗废物，损伤性废物，841-002-01。</w:t>
            </w:r>
          </w:p>
          <w:p>
            <w:pPr>
              <w:ind w:firstLine="420"/>
              <w:rPr>
                <w:bCs/>
                <w:color w:val="auto"/>
                <w:szCs w:val="21"/>
              </w:rPr>
            </w:pPr>
            <w:r>
              <w:rPr>
                <w:rFonts w:hint="eastAsia" w:ascii="宋体" w:hAnsi="宋体" w:cs="宋体"/>
                <w:bCs/>
                <w:color w:val="auto"/>
                <w:szCs w:val="21"/>
              </w:rPr>
              <w:t>③</w:t>
            </w:r>
            <w:r>
              <w:rPr>
                <w:bCs/>
                <w:color w:val="auto"/>
                <w:szCs w:val="21"/>
              </w:rPr>
              <w:t>病理性废物</w:t>
            </w:r>
          </w:p>
          <w:p>
            <w:pPr>
              <w:ind w:firstLine="420"/>
              <w:rPr>
                <w:bCs/>
                <w:color w:val="auto"/>
                <w:szCs w:val="21"/>
              </w:rPr>
            </w:pPr>
            <w:r>
              <w:rPr>
                <w:bCs/>
                <w:color w:val="auto"/>
                <w:szCs w:val="21"/>
              </w:rPr>
              <w:t>病理性废物主要是手术过程中产生的废弃动物组织和器官。病理性废物收集于符合《医疗废物包装袋、容器和警示标志标准》（HJ421-2008）医疗废物</w:t>
            </w:r>
            <w:r>
              <w:rPr>
                <w:rFonts w:hint="eastAsia"/>
                <w:bCs/>
                <w:color w:val="auto"/>
                <w:szCs w:val="21"/>
              </w:rPr>
              <w:t>容器</w:t>
            </w:r>
            <w:r>
              <w:rPr>
                <w:bCs/>
                <w:color w:val="auto"/>
                <w:szCs w:val="21"/>
              </w:rPr>
              <w:t>中</w:t>
            </w:r>
            <w:r>
              <w:rPr>
                <w:rFonts w:hint="eastAsia"/>
                <w:bCs/>
                <w:color w:val="auto"/>
                <w:szCs w:val="21"/>
              </w:rPr>
              <w:t>，定期交有资质单位处置</w:t>
            </w:r>
            <w:r>
              <w:rPr>
                <w:bCs/>
                <w:color w:val="auto"/>
                <w:szCs w:val="21"/>
              </w:rPr>
              <w:t>。根据《国家危险废物名录》（2025 年版）、《医疗废物分类目录》（2021 年版），其代码为HW01医疗废物，病理性废物，841-003-01。</w:t>
            </w:r>
          </w:p>
          <w:p>
            <w:pPr>
              <w:ind w:firstLine="420"/>
              <w:rPr>
                <w:bCs/>
                <w:color w:val="auto"/>
                <w:szCs w:val="21"/>
              </w:rPr>
            </w:pPr>
            <w:r>
              <w:rPr>
                <w:bCs/>
                <w:color w:val="auto"/>
                <w:szCs w:val="21"/>
              </w:rPr>
              <w:fldChar w:fldCharType="begin"/>
            </w:r>
            <w:r>
              <w:rPr>
                <w:bCs/>
                <w:color w:val="auto"/>
                <w:szCs w:val="21"/>
              </w:rPr>
              <w:instrText xml:space="preserve"> = 4 \* GB3 </w:instrText>
            </w:r>
            <w:r>
              <w:rPr>
                <w:bCs/>
                <w:color w:val="auto"/>
                <w:szCs w:val="21"/>
              </w:rPr>
              <w:fldChar w:fldCharType="separate"/>
            </w:r>
            <w:r>
              <w:rPr>
                <w:rFonts w:hint="eastAsia" w:ascii="宋体" w:hAnsi="宋体" w:cs="宋体"/>
                <w:bCs/>
                <w:color w:val="auto"/>
                <w:szCs w:val="21"/>
              </w:rPr>
              <w:t>④</w:t>
            </w:r>
            <w:r>
              <w:rPr>
                <w:bCs/>
                <w:color w:val="auto"/>
                <w:szCs w:val="21"/>
              </w:rPr>
              <w:fldChar w:fldCharType="end"/>
            </w:r>
            <w:r>
              <w:rPr>
                <w:bCs/>
                <w:color w:val="auto"/>
                <w:szCs w:val="21"/>
              </w:rPr>
              <w:t>化学性废物</w:t>
            </w:r>
          </w:p>
          <w:p>
            <w:pPr>
              <w:ind w:firstLine="420"/>
              <w:rPr>
                <w:bCs/>
                <w:color w:val="auto"/>
                <w:szCs w:val="21"/>
              </w:rPr>
            </w:pPr>
            <w:r>
              <w:rPr>
                <w:bCs/>
                <w:color w:val="auto"/>
                <w:szCs w:val="21"/>
              </w:rPr>
              <w:t>化学性废物主要是列入《国家危险废物名录》（2025 年版）中的废弃危险品，比如非特定行业来源产生的含汞血压计、含汞体温计等。根据《国家危险废物名录》（2025 年版）、《医疗废物分类目录》（2021 年版），其代码为HW01医疗废物，化学性废物，841-004-01。</w:t>
            </w:r>
          </w:p>
          <w:p>
            <w:pPr>
              <w:ind w:firstLine="420"/>
              <w:rPr>
                <w:bCs/>
                <w:color w:val="auto"/>
                <w:szCs w:val="21"/>
              </w:rPr>
            </w:pPr>
            <w:r>
              <w:rPr>
                <w:bCs/>
                <w:color w:val="auto"/>
                <w:szCs w:val="21"/>
              </w:rPr>
              <w:fldChar w:fldCharType="begin"/>
            </w:r>
            <w:r>
              <w:rPr>
                <w:bCs/>
                <w:color w:val="auto"/>
                <w:szCs w:val="21"/>
              </w:rPr>
              <w:instrText xml:space="preserve"> = 5 \* GB3 </w:instrText>
            </w:r>
            <w:r>
              <w:rPr>
                <w:bCs/>
                <w:color w:val="auto"/>
                <w:szCs w:val="21"/>
              </w:rPr>
              <w:fldChar w:fldCharType="separate"/>
            </w:r>
            <w:r>
              <w:rPr>
                <w:rFonts w:hint="eastAsia" w:ascii="宋体" w:hAnsi="宋体" w:cs="宋体"/>
                <w:bCs/>
                <w:color w:val="auto"/>
                <w:szCs w:val="21"/>
              </w:rPr>
              <w:t>⑤</w:t>
            </w:r>
            <w:r>
              <w:rPr>
                <w:bCs/>
                <w:color w:val="auto"/>
                <w:szCs w:val="21"/>
              </w:rPr>
              <w:fldChar w:fldCharType="end"/>
            </w:r>
            <w:r>
              <w:rPr>
                <w:bCs/>
                <w:color w:val="auto"/>
                <w:szCs w:val="21"/>
              </w:rPr>
              <w:t>药物性废物</w:t>
            </w:r>
          </w:p>
          <w:p>
            <w:pPr>
              <w:ind w:firstLine="420"/>
              <w:rPr>
                <w:bCs/>
                <w:color w:val="auto"/>
                <w:szCs w:val="21"/>
              </w:rPr>
            </w:pPr>
            <w:r>
              <w:rPr>
                <w:bCs/>
                <w:color w:val="auto"/>
                <w:szCs w:val="21"/>
              </w:rPr>
              <w:t>药物性废物主要是过期、淘汰、变质或者被污染的废弃的药物。根据《国家危险废物名录》（2025 年版）、《医疗废物分类目录》（2021 年版），其代码为HW01医疗废物，药物性废物，841-005-01。</w:t>
            </w:r>
          </w:p>
          <w:p>
            <w:pPr>
              <w:ind w:firstLine="422"/>
              <w:rPr>
                <w:b/>
                <w:color w:val="auto"/>
                <w:szCs w:val="21"/>
              </w:rPr>
            </w:pPr>
            <w:r>
              <w:rPr>
                <w:b/>
                <w:color w:val="auto"/>
                <w:szCs w:val="21"/>
              </w:rPr>
              <w:t>4）动物尸体</w:t>
            </w:r>
          </w:p>
          <w:p>
            <w:pPr>
              <w:ind w:firstLine="420"/>
              <w:rPr>
                <w:bCs/>
                <w:color w:val="auto"/>
                <w:szCs w:val="21"/>
              </w:rPr>
            </w:pPr>
            <w:r>
              <w:rPr>
                <w:bCs/>
                <w:color w:val="auto"/>
                <w:szCs w:val="21"/>
              </w:rPr>
              <w:t>项目日常工作主要是诊断治疗动物普通病和突发病，若遇动物安乐死或者不治身亡现象，产生的动物尸体不得随意处置，需按照《中华人民共和国动物防疫法》规定，对于病死动物尸体应当按照兽医主管部门的规定进行无害化处理，《病死及病害动物无害化处理技术规范》（农医发</w:t>
            </w:r>
            <w:r>
              <w:rPr>
                <w:color w:val="auto"/>
              </w:rPr>
              <w:t>〔2017〕</w:t>
            </w:r>
            <w:r>
              <w:rPr>
                <w:bCs/>
                <w:color w:val="auto"/>
                <w:szCs w:val="21"/>
              </w:rPr>
              <w:t>25号）明确了病死及病害动物无害化处理的技术要求。</w:t>
            </w:r>
          </w:p>
          <w:p>
            <w:pPr>
              <w:ind w:firstLine="420"/>
              <w:rPr>
                <w:bCs/>
                <w:color w:val="auto"/>
                <w:szCs w:val="21"/>
              </w:rPr>
            </w:pPr>
            <w:r>
              <w:rPr>
                <w:bCs/>
                <w:color w:val="auto"/>
                <w:szCs w:val="21"/>
              </w:rPr>
              <w:t>根据《重庆市动物防疫条例》第一章第二十三条和二十五条，“从事动物饲养、屠宰、经营、隔离、运输的单位和个人应当对病死或者死因不明的动物尸体进行无害化处理”；“动物尸体无害化处理责任单位和个人不具备无害化处理能力的，应当将动物尸体交送无害化处理场所处理”。项目不在医院暂存动物尸体，一旦产生动物尸体，及时交</w:t>
            </w:r>
            <w:r>
              <w:rPr>
                <w:rFonts w:hint="eastAsia"/>
                <w:bCs/>
                <w:color w:val="auto"/>
                <w:szCs w:val="21"/>
              </w:rPr>
              <w:t>有</w:t>
            </w:r>
            <w:r>
              <w:rPr>
                <w:bCs/>
                <w:color w:val="auto"/>
                <w:szCs w:val="21"/>
              </w:rPr>
              <w:t>资质的单位进行无害</w:t>
            </w:r>
            <w:r>
              <w:rPr>
                <w:rFonts w:hint="eastAsia"/>
                <w:bCs/>
                <w:color w:val="auto"/>
                <w:szCs w:val="21"/>
              </w:rPr>
              <w:t>化</w:t>
            </w:r>
            <w:r>
              <w:rPr>
                <w:bCs/>
                <w:color w:val="auto"/>
                <w:szCs w:val="21"/>
              </w:rPr>
              <w:t>处理。</w:t>
            </w:r>
          </w:p>
          <w:p>
            <w:pPr>
              <w:numPr>
                <w:ilvl w:val="0"/>
                <w:numId w:val="1"/>
              </w:numPr>
              <w:ind w:firstLine="422"/>
              <w:rPr>
                <w:b/>
                <w:color w:val="auto"/>
                <w:szCs w:val="21"/>
              </w:rPr>
            </w:pPr>
            <w:r>
              <w:rPr>
                <w:rFonts w:hint="eastAsia"/>
                <w:b/>
                <w:color w:val="auto"/>
                <w:szCs w:val="21"/>
              </w:rPr>
              <w:t>危险废物</w:t>
            </w:r>
          </w:p>
          <w:p>
            <w:pPr>
              <w:ind w:firstLine="422"/>
              <w:rPr>
                <w:bCs/>
                <w:color w:val="auto"/>
                <w:szCs w:val="21"/>
              </w:rPr>
            </w:pPr>
            <w:r>
              <w:rPr>
                <w:b/>
                <w:color w:val="auto"/>
                <w:szCs w:val="21"/>
              </w:rPr>
              <w:t>废紫外线灯管</w:t>
            </w:r>
            <w:r>
              <w:rPr>
                <w:rStyle w:val="45"/>
                <w:rFonts w:hint="eastAsia"/>
                <w:color w:val="auto"/>
                <w:kern w:val="0"/>
                <w:szCs w:val="20"/>
              </w:rPr>
              <w:t>：</w:t>
            </w:r>
            <w:r>
              <w:rPr>
                <w:bCs/>
                <w:color w:val="auto"/>
                <w:szCs w:val="21"/>
              </w:rPr>
              <w:t>根据建设单位提供资料，废紫外线灯管更换周期为2</w:t>
            </w:r>
            <w:r>
              <w:rPr>
                <w:rStyle w:val="45"/>
                <w:rFonts w:hint="eastAsia"/>
                <w:color w:val="auto"/>
                <w:kern w:val="0"/>
                <w:szCs w:val="20"/>
              </w:rPr>
              <w:t>~3</w:t>
            </w:r>
            <w:r>
              <w:rPr>
                <w:bCs/>
                <w:color w:val="auto"/>
                <w:szCs w:val="21"/>
              </w:rPr>
              <w:t>年1次，单次更换量为10根，产生量约为0.005t/次，根据《国家危险废物名录》（2025年版），其代码为HW29含汞废物，900-023-29，经收集后交资质单位处置。</w:t>
            </w:r>
          </w:p>
          <w:p>
            <w:pPr>
              <w:ind w:firstLine="420"/>
              <w:rPr>
                <w:color w:val="auto"/>
                <w:szCs w:val="21"/>
              </w:rPr>
            </w:pPr>
            <w:r>
              <w:rPr>
                <w:color w:val="auto"/>
                <w:szCs w:val="21"/>
              </w:rPr>
              <w:t>固体废物类别、名称、产排情况及处理信息等见表4-1</w:t>
            </w:r>
            <w:r>
              <w:rPr>
                <w:rFonts w:hint="eastAsia"/>
                <w:color w:val="auto"/>
                <w:szCs w:val="21"/>
              </w:rPr>
              <w:t>2</w:t>
            </w:r>
            <w:r>
              <w:rPr>
                <w:color w:val="auto"/>
                <w:szCs w:val="21"/>
              </w:rPr>
              <w:t>。</w:t>
            </w:r>
          </w:p>
          <w:p>
            <w:pPr>
              <w:pStyle w:val="234"/>
              <w:adjustRightInd/>
              <w:snapToGrid/>
              <w:spacing w:before="120"/>
              <w:ind w:firstLine="0" w:firstLineChars="0"/>
              <w:rPr>
                <w:bCs/>
                <w:color w:val="auto"/>
              </w:rPr>
            </w:pPr>
            <w:r>
              <w:rPr>
                <w:bCs/>
                <w:color w:val="auto"/>
              </w:rPr>
              <w:t>表4-1</w:t>
            </w:r>
            <w:r>
              <w:rPr>
                <w:rFonts w:hint="eastAsia"/>
                <w:bCs/>
                <w:color w:val="auto"/>
              </w:rPr>
              <w:t>2</w:t>
            </w:r>
            <w:r>
              <w:rPr>
                <w:bCs/>
                <w:color w:val="auto"/>
              </w:rPr>
              <w:t xml:space="preserve">   固体废物产排信息一览表</w:t>
            </w:r>
          </w:p>
          <w:tbl>
            <w:tblPr>
              <w:tblStyle w:val="40"/>
              <w:tblW w:w="9075"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73"/>
              <w:gridCol w:w="902"/>
              <w:gridCol w:w="710"/>
              <w:gridCol w:w="652"/>
              <w:gridCol w:w="835"/>
              <w:gridCol w:w="1363"/>
              <w:gridCol w:w="731"/>
              <w:gridCol w:w="721"/>
              <w:gridCol w:w="1098"/>
              <w:gridCol w:w="129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73" w:type="dxa"/>
                  <w:tcBorders>
                    <w:tl2br w:val="nil"/>
                    <w:tr2bl w:val="nil"/>
                  </w:tcBorders>
                  <w:vAlign w:val="center"/>
                </w:tcPr>
                <w:p>
                  <w:pPr>
                    <w:pStyle w:val="143"/>
                    <w:spacing w:line="240" w:lineRule="auto"/>
                    <w:rPr>
                      <w:color w:val="auto"/>
                    </w:rPr>
                  </w:pPr>
                  <w:r>
                    <w:rPr>
                      <w:color w:val="auto"/>
                    </w:rPr>
                    <w:t>产生环节</w:t>
                  </w:r>
                </w:p>
              </w:tc>
              <w:tc>
                <w:tcPr>
                  <w:tcW w:w="902" w:type="dxa"/>
                  <w:tcBorders>
                    <w:tl2br w:val="nil"/>
                    <w:tr2bl w:val="nil"/>
                  </w:tcBorders>
                  <w:vAlign w:val="center"/>
                </w:tcPr>
                <w:p>
                  <w:pPr>
                    <w:pStyle w:val="143"/>
                    <w:spacing w:line="240" w:lineRule="auto"/>
                    <w:rPr>
                      <w:color w:val="auto"/>
                    </w:rPr>
                  </w:pPr>
                  <w:r>
                    <w:rPr>
                      <w:color w:val="auto"/>
                    </w:rPr>
                    <w:t>固体废物名称</w:t>
                  </w:r>
                </w:p>
              </w:tc>
              <w:tc>
                <w:tcPr>
                  <w:tcW w:w="710" w:type="dxa"/>
                  <w:tcBorders>
                    <w:tl2br w:val="nil"/>
                    <w:tr2bl w:val="nil"/>
                  </w:tcBorders>
                  <w:vAlign w:val="center"/>
                </w:tcPr>
                <w:p>
                  <w:pPr>
                    <w:pStyle w:val="143"/>
                    <w:spacing w:line="240" w:lineRule="auto"/>
                    <w:rPr>
                      <w:color w:val="auto"/>
                    </w:rPr>
                  </w:pPr>
                  <w:r>
                    <w:rPr>
                      <w:color w:val="auto"/>
                    </w:rPr>
                    <w:t>属性</w:t>
                  </w:r>
                </w:p>
              </w:tc>
              <w:tc>
                <w:tcPr>
                  <w:tcW w:w="652" w:type="dxa"/>
                  <w:tcBorders>
                    <w:tl2br w:val="nil"/>
                    <w:tr2bl w:val="nil"/>
                  </w:tcBorders>
                  <w:vAlign w:val="center"/>
                </w:tcPr>
                <w:p>
                  <w:pPr>
                    <w:pStyle w:val="143"/>
                    <w:spacing w:line="240" w:lineRule="auto"/>
                    <w:rPr>
                      <w:color w:val="auto"/>
                    </w:rPr>
                  </w:pPr>
                  <w:r>
                    <w:rPr>
                      <w:color w:val="auto"/>
                    </w:rPr>
                    <w:t>物理性状</w:t>
                  </w:r>
                </w:p>
              </w:tc>
              <w:tc>
                <w:tcPr>
                  <w:tcW w:w="835" w:type="dxa"/>
                  <w:tcBorders>
                    <w:tl2br w:val="nil"/>
                    <w:tr2bl w:val="nil"/>
                  </w:tcBorders>
                  <w:vAlign w:val="center"/>
                </w:tcPr>
                <w:p>
                  <w:pPr>
                    <w:pStyle w:val="143"/>
                    <w:spacing w:line="240" w:lineRule="auto"/>
                    <w:rPr>
                      <w:color w:val="auto"/>
                    </w:rPr>
                  </w:pPr>
                  <w:r>
                    <w:rPr>
                      <w:color w:val="auto"/>
                    </w:rPr>
                    <w:t>废物类别</w:t>
                  </w:r>
                </w:p>
              </w:tc>
              <w:tc>
                <w:tcPr>
                  <w:tcW w:w="1363" w:type="dxa"/>
                  <w:tcBorders>
                    <w:tl2br w:val="nil"/>
                    <w:tr2bl w:val="nil"/>
                  </w:tcBorders>
                  <w:vAlign w:val="center"/>
                </w:tcPr>
                <w:p>
                  <w:pPr>
                    <w:pStyle w:val="143"/>
                    <w:spacing w:line="240" w:lineRule="auto"/>
                    <w:rPr>
                      <w:color w:val="auto"/>
                    </w:rPr>
                  </w:pPr>
                  <w:r>
                    <w:rPr>
                      <w:color w:val="auto"/>
                    </w:rPr>
                    <w:t>废物代码</w:t>
                  </w:r>
                </w:p>
              </w:tc>
              <w:tc>
                <w:tcPr>
                  <w:tcW w:w="731" w:type="dxa"/>
                  <w:tcBorders>
                    <w:tl2br w:val="nil"/>
                    <w:tr2bl w:val="nil"/>
                  </w:tcBorders>
                  <w:vAlign w:val="center"/>
                </w:tcPr>
                <w:p>
                  <w:pPr>
                    <w:pStyle w:val="143"/>
                    <w:spacing w:line="240" w:lineRule="auto"/>
                    <w:rPr>
                      <w:color w:val="auto"/>
                    </w:rPr>
                  </w:pPr>
                  <w:r>
                    <w:rPr>
                      <w:color w:val="auto"/>
                    </w:rPr>
                    <w:t>危险特性</w:t>
                  </w:r>
                </w:p>
              </w:tc>
              <w:tc>
                <w:tcPr>
                  <w:tcW w:w="721" w:type="dxa"/>
                  <w:tcBorders>
                    <w:tl2br w:val="nil"/>
                    <w:tr2bl w:val="nil"/>
                  </w:tcBorders>
                  <w:vAlign w:val="center"/>
                </w:tcPr>
                <w:p>
                  <w:pPr>
                    <w:pStyle w:val="143"/>
                    <w:spacing w:line="240" w:lineRule="auto"/>
                    <w:rPr>
                      <w:color w:val="auto"/>
                    </w:rPr>
                  </w:pPr>
                  <w:r>
                    <w:rPr>
                      <w:color w:val="auto"/>
                    </w:rPr>
                    <w:t>产生量t/a</w:t>
                  </w:r>
                </w:p>
              </w:tc>
              <w:tc>
                <w:tcPr>
                  <w:tcW w:w="1098" w:type="dxa"/>
                  <w:tcBorders>
                    <w:tl2br w:val="nil"/>
                    <w:tr2bl w:val="nil"/>
                  </w:tcBorders>
                  <w:vAlign w:val="center"/>
                </w:tcPr>
                <w:p>
                  <w:pPr>
                    <w:pStyle w:val="143"/>
                    <w:spacing w:line="240" w:lineRule="auto"/>
                    <w:rPr>
                      <w:color w:val="auto"/>
                    </w:rPr>
                  </w:pPr>
                  <w:r>
                    <w:rPr>
                      <w:color w:val="auto"/>
                    </w:rPr>
                    <w:t>贮存方式</w:t>
                  </w:r>
                </w:p>
              </w:tc>
              <w:tc>
                <w:tcPr>
                  <w:tcW w:w="1290" w:type="dxa"/>
                  <w:tcBorders>
                    <w:tl2br w:val="nil"/>
                    <w:tr2bl w:val="nil"/>
                  </w:tcBorders>
                  <w:vAlign w:val="center"/>
                </w:tcPr>
                <w:p>
                  <w:pPr>
                    <w:pStyle w:val="143"/>
                    <w:spacing w:line="240" w:lineRule="auto"/>
                    <w:rPr>
                      <w:color w:val="auto"/>
                    </w:rPr>
                  </w:pPr>
                  <w:r>
                    <w:rPr>
                      <w:color w:val="auto"/>
                    </w:rPr>
                    <w:t>处理方式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73" w:type="dxa"/>
                  <w:tcBorders>
                    <w:tl2br w:val="nil"/>
                    <w:tr2bl w:val="nil"/>
                  </w:tcBorders>
                  <w:vAlign w:val="center"/>
                </w:tcPr>
                <w:p>
                  <w:pPr>
                    <w:pStyle w:val="143"/>
                    <w:spacing w:line="240" w:lineRule="auto"/>
                    <w:rPr>
                      <w:color w:val="auto"/>
                    </w:rPr>
                  </w:pPr>
                  <w:r>
                    <w:rPr>
                      <w:color w:val="auto"/>
                    </w:rPr>
                    <w:t>员工生活</w:t>
                  </w:r>
                </w:p>
              </w:tc>
              <w:tc>
                <w:tcPr>
                  <w:tcW w:w="902" w:type="dxa"/>
                  <w:tcBorders>
                    <w:tl2br w:val="nil"/>
                    <w:tr2bl w:val="nil"/>
                  </w:tcBorders>
                  <w:vAlign w:val="center"/>
                </w:tcPr>
                <w:p>
                  <w:pPr>
                    <w:pStyle w:val="143"/>
                    <w:spacing w:line="240" w:lineRule="auto"/>
                    <w:rPr>
                      <w:color w:val="auto"/>
                    </w:rPr>
                  </w:pPr>
                  <w:r>
                    <w:rPr>
                      <w:color w:val="auto"/>
                    </w:rPr>
                    <w:t>生活垃圾</w:t>
                  </w:r>
                </w:p>
              </w:tc>
              <w:tc>
                <w:tcPr>
                  <w:tcW w:w="710" w:type="dxa"/>
                  <w:tcBorders>
                    <w:tl2br w:val="nil"/>
                    <w:tr2bl w:val="nil"/>
                  </w:tcBorders>
                  <w:vAlign w:val="center"/>
                </w:tcPr>
                <w:p>
                  <w:pPr>
                    <w:pStyle w:val="143"/>
                    <w:spacing w:line="240" w:lineRule="auto"/>
                    <w:rPr>
                      <w:color w:val="auto"/>
                    </w:rPr>
                  </w:pPr>
                  <w:r>
                    <w:rPr>
                      <w:color w:val="auto"/>
                    </w:rPr>
                    <w:t>生活垃圾</w:t>
                  </w:r>
                </w:p>
              </w:tc>
              <w:tc>
                <w:tcPr>
                  <w:tcW w:w="652" w:type="dxa"/>
                  <w:tcBorders>
                    <w:tl2br w:val="nil"/>
                    <w:tr2bl w:val="nil"/>
                  </w:tcBorders>
                  <w:vAlign w:val="center"/>
                </w:tcPr>
                <w:p>
                  <w:pPr>
                    <w:pStyle w:val="143"/>
                    <w:spacing w:line="240" w:lineRule="auto"/>
                    <w:rPr>
                      <w:color w:val="auto"/>
                    </w:rPr>
                  </w:pPr>
                  <w:r>
                    <w:rPr>
                      <w:color w:val="auto"/>
                    </w:rPr>
                    <w:t>固态</w:t>
                  </w:r>
                </w:p>
              </w:tc>
              <w:tc>
                <w:tcPr>
                  <w:tcW w:w="835" w:type="dxa"/>
                  <w:tcBorders>
                    <w:tl2br w:val="nil"/>
                    <w:tr2bl w:val="nil"/>
                  </w:tcBorders>
                  <w:vAlign w:val="center"/>
                </w:tcPr>
                <w:p>
                  <w:pPr>
                    <w:pStyle w:val="143"/>
                    <w:spacing w:line="240" w:lineRule="auto"/>
                    <w:rPr>
                      <w:color w:val="auto"/>
                    </w:rPr>
                  </w:pPr>
                  <w:r>
                    <w:rPr>
                      <w:color w:val="auto"/>
                    </w:rPr>
                    <w:t>SW64</w:t>
                  </w:r>
                </w:p>
              </w:tc>
              <w:tc>
                <w:tcPr>
                  <w:tcW w:w="1363" w:type="dxa"/>
                  <w:tcBorders>
                    <w:tl2br w:val="nil"/>
                    <w:tr2bl w:val="nil"/>
                  </w:tcBorders>
                  <w:vAlign w:val="center"/>
                </w:tcPr>
                <w:p>
                  <w:pPr>
                    <w:pStyle w:val="143"/>
                    <w:spacing w:line="240" w:lineRule="auto"/>
                    <w:rPr>
                      <w:color w:val="auto"/>
                    </w:rPr>
                  </w:pPr>
                  <w:r>
                    <w:rPr>
                      <w:color w:val="auto"/>
                    </w:rPr>
                    <w:t>900-099-S64</w:t>
                  </w:r>
                </w:p>
              </w:tc>
              <w:tc>
                <w:tcPr>
                  <w:tcW w:w="731" w:type="dxa"/>
                  <w:tcBorders>
                    <w:tl2br w:val="nil"/>
                    <w:tr2bl w:val="nil"/>
                  </w:tcBorders>
                  <w:vAlign w:val="center"/>
                </w:tcPr>
                <w:p>
                  <w:pPr>
                    <w:pStyle w:val="143"/>
                    <w:spacing w:line="240" w:lineRule="auto"/>
                    <w:rPr>
                      <w:color w:val="auto"/>
                    </w:rPr>
                  </w:pPr>
                  <w:r>
                    <w:rPr>
                      <w:color w:val="auto"/>
                    </w:rPr>
                    <w:t>/</w:t>
                  </w:r>
                </w:p>
              </w:tc>
              <w:tc>
                <w:tcPr>
                  <w:tcW w:w="721" w:type="dxa"/>
                  <w:tcBorders>
                    <w:tl2br w:val="nil"/>
                    <w:tr2bl w:val="nil"/>
                  </w:tcBorders>
                  <w:shd w:val="clear" w:color="auto" w:fill="auto"/>
                  <w:vAlign w:val="center"/>
                </w:tcPr>
                <w:p>
                  <w:pPr>
                    <w:pStyle w:val="143"/>
                    <w:spacing w:line="240" w:lineRule="auto"/>
                    <w:rPr>
                      <w:color w:val="auto"/>
                    </w:rPr>
                  </w:pPr>
                  <w:r>
                    <w:rPr>
                      <w:rFonts w:hint="eastAsia"/>
                      <w:color w:val="auto"/>
                    </w:rPr>
                    <w:t>1.643</w:t>
                  </w:r>
                </w:p>
              </w:tc>
              <w:tc>
                <w:tcPr>
                  <w:tcW w:w="1098" w:type="dxa"/>
                  <w:tcBorders>
                    <w:tl2br w:val="nil"/>
                    <w:tr2bl w:val="nil"/>
                  </w:tcBorders>
                  <w:vAlign w:val="center"/>
                </w:tcPr>
                <w:p>
                  <w:pPr>
                    <w:pStyle w:val="143"/>
                    <w:spacing w:line="240" w:lineRule="auto"/>
                    <w:rPr>
                      <w:color w:val="auto"/>
                    </w:rPr>
                  </w:pPr>
                  <w:r>
                    <w:rPr>
                      <w:color w:val="auto"/>
                    </w:rPr>
                    <w:t>垃圾桶暂存</w:t>
                  </w:r>
                </w:p>
              </w:tc>
              <w:tc>
                <w:tcPr>
                  <w:tcW w:w="1290" w:type="dxa"/>
                  <w:vMerge w:val="restart"/>
                  <w:tcBorders>
                    <w:tl2br w:val="nil"/>
                    <w:tr2bl w:val="nil"/>
                  </w:tcBorders>
                  <w:vAlign w:val="center"/>
                </w:tcPr>
                <w:p>
                  <w:pPr>
                    <w:pStyle w:val="143"/>
                    <w:spacing w:line="240" w:lineRule="auto"/>
                    <w:rPr>
                      <w:color w:val="auto"/>
                    </w:rPr>
                  </w:pPr>
                  <w:r>
                    <w:rPr>
                      <w:color w:val="auto"/>
                    </w:rPr>
                    <w:t>交市政环卫部门统一处置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773" w:type="dxa"/>
                  <w:tcBorders>
                    <w:tl2br w:val="nil"/>
                    <w:tr2bl w:val="nil"/>
                  </w:tcBorders>
                  <w:shd w:val="clear" w:color="auto" w:fill="auto"/>
                  <w:vAlign w:val="center"/>
                </w:tcPr>
                <w:p>
                  <w:pPr>
                    <w:pStyle w:val="143"/>
                    <w:spacing w:line="240" w:lineRule="auto"/>
                    <w:rPr>
                      <w:color w:val="auto"/>
                    </w:rPr>
                  </w:pPr>
                  <w:r>
                    <w:rPr>
                      <w:color w:val="auto"/>
                    </w:rPr>
                    <w:t>美容洗护</w:t>
                  </w:r>
                </w:p>
              </w:tc>
              <w:tc>
                <w:tcPr>
                  <w:tcW w:w="902" w:type="dxa"/>
                  <w:tcBorders>
                    <w:tl2br w:val="nil"/>
                    <w:tr2bl w:val="nil"/>
                  </w:tcBorders>
                  <w:shd w:val="clear" w:color="auto" w:fill="auto"/>
                  <w:vAlign w:val="center"/>
                </w:tcPr>
                <w:p>
                  <w:pPr>
                    <w:pStyle w:val="143"/>
                    <w:spacing w:line="240" w:lineRule="auto"/>
                    <w:rPr>
                      <w:color w:val="auto"/>
                    </w:rPr>
                  </w:pPr>
                  <w:r>
                    <w:rPr>
                      <w:color w:val="auto"/>
                    </w:rPr>
                    <w:t>动物毛发</w:t>
                  </w:r>
                </w:p>
              </w:tc>
              <w:tc>
                <w:tcPr>
                  <w:tcW w:w="710" w:type="dxa"/>
                  <w:vMerge w:val="restart"/>
                  <w:tcBorders>
                    <w:tl2br w:val="nil"/>
                    <w:tr2bl w:val="nil"/>
                  </w:tcBorders>
                  <w:vAlign w:val="center"/>
                </w:tcPr>
                <w:p>
                  <w:pPr>
                    <w:pStyle w:val="143"/>
                    <w:spacing w:line="240" w:lineRule="auto"/>
                    <w:rPr>
                      <w:color w:val="auto"/>
                    </w:rPr>
                  </w:pPr>
                  <w:r>
                    <w:rPr>
                      <w:color w:val="auto"/>
                    </w:rPr>
                    <w:t>一般固废</w:t>
                  </w:r>
                </w:p>
              </w:tc>
              <w:tc>
                <w:tcPr>
                  <w:tcW w:w="652" w:type="dxa"/>
                  <w:tcBorders>
                    <w:tl2br w:val="nil"/>
                    <w:tr2bl w:val="nil"/>
                  </w:tcBorders>
                  <w:vAlign w:val="center"/>
                </w:tcPr>
                <w:p>
                  <w:pPr>
                    <w:pStyle w:val="143"/>
                    <w:spacing w:line="240" w:lineRule="auto"/>
                    <w:rPr>
                      <w:color w:val="auto"/>
                    </w:rPr>
                  </w:pPr>
                  <w:r>
                    <w:rPr>
                      <w:color w:val="auto"/>
                    </w:rPr>
                    <w:t>固态</w:t>
                  </w:r>
                </w:p>
              </w:tc>
              <w:tc>
                <w:tcPr>
                  <w:tcW w:w="835" w:type="dxa"/>
                  <w:tcBorders>
                    <w:tl2br w:val="nil"/>
                    <w:tr2bl w:val="nil"/>
                  </w:tcBorders>
                  <w:vAlign w:val="center"/>
                </w:tcPr>
                <w:p>
                  <w:pPr>
                    <w:pStyle w:val="143"/>
                    <w:spacing w:line="240" w:lineRule="auto"/>
                    <w:rPr>
                      <w:color w:val="auto"/>
                    </w:rPr>
                  </w:pPr>
                  <w:r>
                    <w:rPr>
                      <w:color w:val="auto"/>
                    </w:rPr>
                    <w:t>SW17</w:t>
                  </w:r>
                </w:p>
              </w:tc>
              <w:tc>
                <w:tcPr>
                  <w:tcW w:w="1363" w:type="dxa"/>
                  <w:tcBorders>
                    <w:tl2br w:val="nil"/>
                    <w:tr2bl w:val="nil"/>
                  </w:tcBorders>
                  <w:vAlign w:val="center"/>
                </w:tcPr>
                <w:p>
                  <w:pPr>
                    <w:pStyle w:val="143"/>
                    <w:spacing w:line="240" w:lineRule="auto"/>
                    <w:rPr>
                      <w:color w:val="auto"/>
                    </w:rPr>
                  </w:pPr>
                  <w:r>
                    <w:rPr>
                      <w:color w:val="auto"/>
                    </w:rPr>
                    <w:t>900-005-S17</w:t>
                  </w:r>
                </w:p>
              </w:tc>
              <w:tc>
                <w:tcPr>
                  <w:tcW w:w="731" w:type="dxa"/>
                  <w:tcBorders>
                    <w:tl2br w:val="nil"/>
                    <w:tr2bl w:val="nil"/>
                  </w:tcBorders>
                  <w:vAlign w:val="center"/>
                </w:tcPr>
                <w:p>
                  <w:pPr>
                    <w:pStyle w:val="143"/>
                    <w:spacing w:line="240" w:lineRule="auto"/>
                    <w:rPr>
                      <w:color w:val="auto"/>
                    </w:rPr>
                  </w:pPr>
                  <w:r>
                    <w:rPr>
                      <w:color w:val="auto"/>
                    </w:rPr>
                    <w:t>/</w:t>
                  </w:r>
                </w:p>
              </w:tc>
              <w:tc>
                <w:tcPr>
                  <w:tcW w:w="721" w:type="dxa"/>
                  <w:tcBorders>
                    <w:tl2br w:val="nil"/>
                    <w:tr2bl w:val="nil"/>
                  </w:tcBorders>
                  <w:shd w:val="clear" w:color="auto" w:fill="auto"/>
                  <w:vAlign w:val="center"/>
                </w:tcPr>
                <w:p>
                  <w:pPr>
                    <w:pStyle w:val="143"/>
                    <w:spacing w:line="240" w:lineRule="auto"/>
                    <w:rPr>
                      <w:color w:val="auto"/>
                    </w:rPr>
                  </w:pPr>
                  <w:r>
                    <w:rPr>
                      <w:rFonts w:hint="eastAsia"/>
                      <w:color w:val="auto"/>
                    </w:rPr>
                    <w:t>0.183</w:t>
                  </w:r>
                </w:p>
              </w:tc>
              <w:tc>
                <w:tcPr>
                  <w:tcW w:w="1098" w:type="dxa"/>
                  <w:tcBorders>
                    <w:tl2br w:val="nil"/>
                    <w:tr2bl w:val="nil"/>
                  </w:tcBorders>
                  <w:vAlign w:val="center"/>
                </w:tcPr>
                <w:p>
                  <w:pPr>
                    <w:pStyle w:val="143"/>
                    <w:spacing w:line="240" w:lineRule="auto"/>
                    <w:rPr>
                      <w:color w:val="auto"/>
                    </w:rPr>
                  </w:pPr>
                  <w:r>
                    <w:rPr>
                      <w:color w:val="auto"/>
                    </w:rPr>
                    <w:t>垃圾桶暂存</w:t>
                  </w:r>
                </w:p>
              </w:tc>
              <w:tc>
                <w:tcPr>
                  <w:tcW w:w="1290" w:type="dxa"/>
                  <w:vMerge w:val="continue"/>
                  <w:tcBorders>
                    <w:tl2br w:val="nil"/>
                    <w:tr2bl w:val="nil"/>
                  </w:tcBorders>
                  <w:vAlign w:val="center"/>
                </w:tcPr>
                <w:p>
                  <w:pPr>
                    <w:pStyle w:val="143"/>
                    <w:spacing w:line="240" w:lineRule="auto"/>
                    <w:rPr>
                      <w:color w:val="auto"/>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73" w:type="dxa"/>
                  <w:tcBorders>
                    <w:tl2br w:val="nil"/>
                    <w:tr2bl w:val="nil"/>
                  </w:tcBorders>
                  <w:shd w:val="clear" w:color="auto" w:fill="auto"/>
                  <w:vAlign w:val="center"/>
                </w:tcPr>
                <w:p>
                  <w:pPr>
                    <w:pStyle w:val="143"/>
                    <w:spacing w:line="240" w:lineRule="auto"/>
                    <w:rPr>
                      <w:color w:val="auto"/>
                    </w:rPr>
                  </w:pPr>
                  <w:r>
                    <w:rPr>
                      <w:color w:val="auto"/>
                    </w:rPr>
                    <w:t>就诊、住院</w:t>
                  </w:r>
                </w:p>
              </w:tc>
              <w:tc>
                <w:tcPr>
                  <w:tcW w:w="902" w:type="dxa"/>
                  <w:tcBorders>
                    <w:tl2br w:val="nil"/>
                    <w:tr2bl w:val="nil"/>
                  </w:tcBorders>
                  <w:shd w:val="clear" w:color="auto" w:fill="auto"/>
                  <w:vAlign w:val="center"/>
                </w:tcPr>
                <w:p>
                  <w:pPr>
                    <w:pStyle w:val="143"/>
                    <w:spacing w:line="240" w:lineRule="auto"/>
                    <w:rPr>
                      <w:color w:val="auto"/>
                    </w:rPr>
                  </w:pPr>
                  <w:r>
                    <w:rPr>
                      <w:color w:val="auto"/>
                    </w:rPr>
                    <w:t>动物粪便</w:t>
                  </w:r>
                </w:p>
              </w:tc>
              <w:tc>
                <w:tcPr>
                  <w:tcW w:w="710" w:type="dxa"/>
                  <w:vMerge w:val="continue"/>
                  <w:tcBorders>
                    <w:tl2br w:val="nil"/>
                    <w:tr2bl w:val="nil"/>
                  </w:tcBorders>
                  <w:vAlign w:val="center"/>
                </w:tcPr>
                <w:p>
                  <w:pPr>
                    <w:pStyle w:val="143"/>
                    <w:spacing w:line="240" w:lineRule="auto"/>
                    <w:rPr>
                      <w:color w:val="auto"/>
                    </w:rPr>
                  </w:pPr>
                </w:p>
              </w:tc>
              <w:tc>
                <w:tcPr>
                  <w:tcW w:w="652" w:type="dxa"/>
                  <w:tcBorders>
                    <w:tl2br w:val="nil"/>
                    <w:tr2bl w:val="nil"/>
                  </w:tcBorders>
                  <w:vAlign w:val="center"/>
                </w:tcPr>
                <w:p>
                  <w:pPr>
                    <w:pStyle w:val="143"/>
                    <w:spacing w:line="240" w:lineRule="auto"/>
                    <w:rPr>
                      <w:color w:val="auto"/>
                    </w:rPr>
                  </w:pPr>
                  <w:r>
                    <w:rPr>
                      <w:color w:val="auto"/>
                    </w:rPr>
                    <w:t>固态</w:t>
                  </w:r>
                </w:p>
              </w:tc>
              <w:tc>
                <w:tcPr>
                  <w:tcW w:w="835" w:type="dxa"/>
                  <w:tcBorders>
                    <w:tl2br w:val="nil"/>
                    <w:tr2bl w:val="nil"/>
                  </w:tcBorders>
                  <w:vAlign w:val="center"/>
                </w:tcPr>
                <w:p>
                  <w:pPr>
                    <w:pStyle w:val="143"/>
                    <w:spacing w:line="240" w:lineRule="auto"/>
                    <w:rPr>
                      <w:color w:val="auto"/>
                    </w:rPr>
                  </w:pPr>
                  <w:r>
                    <w:rPr>
                      <w:color w:val="auto"/>
                    </w:rPr>
                    <w:t>SW59</w:t>
                  </w:r>
                </w:p>
              </w:tc>
              <w:tc>
                <w:tcPr>
                  <w:tcW w:w="1363" w:type="dxa"/>
                  <w:tcBorders>
                    <w:tl2br w:val="nil"/>
                    <w:tr2bl w:val="nil"/>
                  </w:tcBorders>
                  <w:vAlign w:val="center"/>
                </w:tcPr>
                <w:p>
                  <w:pPr>
                    <w:pStyle w:val="143"/>
                    <w:spacing w:line="240" w:lineRule="auto"/>
                    <w:rPr>
                      <w:color w:val="auto"/>
                    </w:rPr>
                  </w:pPr>
                  <w:r>
                    <w:rPr>
                      <w:color w:val="auto"/>
                    </w:rPr>
                    <w:t>900-099-S59</w:t>
                  </w:r>
                </w:p>
              </w:tc>
              <w:tc>
                <w:tcPr>
                  <w:tcW w:w="731" w:type="dxa"/>
                  <w:tcBorders>
                    <w:tl2br w:val="nil"/>
                    <w:tr2bl w:val="nil"/>
                  </w:tcBorders>
                  <w:vAlign w:val="center"/>
                </w:tcPr>
                <w:p>
                  <w:pPr>
                    <w:pStyle w:val="143"/>
                    <w:spacing w:line="240" w:lineRule="auto"/>
                    <w:rPr>
                      <w:color w:val="auto"/>
                    </w:rPr>
                  </w:pPr>
                  <w:r>
                    <w:rPr>
                      <w:color w:val="auto"/>
                    </w:rPr>
                    <w:t>/</w:t>
                  </w:r>
                </w:p>
              </w:tc>
              <w:tc>
                <w:tcPr>
                  <w:tcW w:w="721" w:type="dxa"/>
                  <w:tcBorders>
                    <w:tl2br w:val="nil"/>
                    <w:tr2bl w:val="nil"/>
                  </w:tcBorders>
                  <w:shd w:val="clear" w:color="auto" w:fill="auto"/>
                  <w:vAlign w:val="center"/>
                </w:tcPr>
                <w:p>
                  <w:pPr>
                    <w:pStyle w:val="143"/>
                    <w:spacing w:line="240" w:lineRule="auto"/>
                    <w:rPr>
                      <w:color w:val="auto"/>
                    </w:rPr>
                  </w:pPr>
                  <w:r>
                    <w:rPr>
                      <w:rFonts w:hint="eastAsia"/>
                      <w:color w:val="auto"/>
                    </w:rPr>
                    <w:t>0.402</w:t>
                  </w:r>
                </w:p>
              </w:tc>
              <w:tc>
                <w:tcPr>
                  <w:tcW w:w="1098" w:type="dxa"/>
                  <w:tcBorders>
                    <w:tl2br w:val="nil"/>
                    <w:tr2bl w:val="nil"/>
                  </w:tcBorders>
                  <w:vAlign w:val="center"/>
                </w:tcPr>
                <w:p>
                  <w:pPr>
                    <w:pStyle w:val="143"/>
                    <w:spacing w:line="240" w:lineRule="auto"/>
                    <w:rPr>
                      <w:color w:val="auto"/>
                    </w:rPr>
                  </w:pPr>
                  <w:r>
                    <w:rPr>
                      <w:color w:val="auto"/>
                    </w:rPr>
                    <w:t>垃圾桶暂存</w:t>
                  </w:r>
                </w:p>
              </w:tc>
              <w:tc>
                <w:tcPr>
                  <w:tcW w:w="1290" w:type="dxa"/>
                  <w:tcBorders>
                    <w:tl2br w:val="nil"/>
                    <w:tr2bl w:val="nil"/>
                  </w:tcBorders>
                  <w:vAlign w:val="center"/>
                </w:tcPr>
                <w:p>
                  <w:pPr>
                    <w:pStyle w:val="143"/>
                    <w:spacing w:line="240" w:lineRule="auto"/>
                    <w:rPr>
                      <w:color w:val="auto"/>
                    </w:rPr>
                  </w:pPr>
                  <w:r>
                    <w:rPr>
                      <w:color w:val="auto"/>
                    </w:rPr>
                    <w:t>消毒后交市政环卫部门统一处置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73" w:type="dxa"/>
                  <w:tcBorders>
                    <w:tl2br w:val="nil"/>
                    <w:tr2bl w:val="nil"/>
                  </w:tcBorders>
                  <w:shd w:val="clear" w:color="auto" w:fill="auto"/>
                  <w:vAlign w:val="center"/>
                </w:tcPr>
                <w:p>
                  <w:pPr>
                    <w:pStyle w:val="143"/>
                    <w:spacing w:line="240" w:lineRule="auto"/>
                    <w:rPr>
                      <w:color w:val="auto"/>
                    </w:rPr>
                  </w:pPr>
                  <w:r>
                    <w:rPr>
                      <w:color w:val="auto"/>
                    </w:rPr>
                    <w:t>就诊、住院</w:t>
                  </w:r>
                </w:p>
              </w:tc>
              <w:tc>
                <w:tcPr>
                  <w:tcW w:w="902" w:type="dxa"/>
                  <w:tcBorders>
                    <w:tl2br w:val="nil"/>
                    <w:tr2bl w:val="nil"/>
                  </w:tcBorders>
                  <w:shd w:val="clear" w:color="auto" w:fill="auto"/>
                  <w:vAlign w:val="center"/>
                </w:tcPr>
                <w:p>
                  <w:pPr>
                    <w:pStyle w:val="143"/>
                    <w:spacing w:line="240" w:lineRule="auto"/>
                    <w:rPr>
                      <w:bCs/>
                      <w:color w:val="auto"/>
                    </w:rPr>
                  </w:pPr>
                  <w:r>
                    <w:rPr>
                      <w:bCs/>
                      <w:color w:val="auto"/>
                    </w:rPr>
                    <w:t>感染性废物</w:t>
                  </w:r>
                </w:p>
              </w:tc>
              <w:tc>
                <w:tcPr>
                  <w:tcW w:w="710" w:type="dxa"/>
                  <w:vMerge w:val="restart"/>
                  <w:tcBorders>
                    <w:tl2br w:val="nil"/>
                    <w:tr2bl w:val="nil"/>
                  </w:tcBorders>
                  <w:vAlign w:val="center"/>
                </w:tcPr>
                <w:p>
                  <w:pPr>
                    <w:pStyle w:val="143"/>
                    <w:spacing w:line="240" w:lineRule="auto"/>
                    <w:rPr>
                      <w:color w:val="auto"/>
                    </w:rPr>
                  </w:pPr>
                  <w:r>
                    <w:rPr>
                      <w:color w:val="auto"/>
                    </w:rPr>
                    <w:t>危险废物</w:t>
                  </w:r>
                </w:p>
              </w:tc>
              <w:tc>
                <w:tcPr>
                  <w:tcW w:w="652" w:type="dxa"/>
                  <w:tcBorders>
                    <w:tl2br w:val="nil"/>
                    <w:tr2bl w:val="nil"/>
                  </w:tcBorders>
                  <w:vAlign w:val="center"/>
                </w:tcPr>
                <w:p>
                  <w:pPr>
                    <w:pStyle w:val="143"/>
                    <w:spacing w:line="240" w:lineRule="auto"/>
                    <w:rPr>
                      <w:color w:val="auto"/>
                    </w:rPr>
                  </w:pPr>
                  <w:r>
                    <w:rPr>
                      <w:color w:val="auto"/>
                    </w:rPr>
                    <w:t>固废</w:t>
                  </w:r>
                </w:p>
              </w:tc>
              <w:tc>
                <w:tcPr>
                  <w:tcW w:w="835" w:type="dxa"/>
                  <w:tcBorders>
                    <w:tl2br w:val="nil"/>
                    <w:tr2bl w:val="nil"/>
                  </w:tcBorders>
                  <w:vAlign w:val="center"/>
                </w:tcPr>
                <w:p>
                  <w:pPr>
                    <w:pStyle w:val="143"/>
                    <w:spacing w:line="240" w:lineRule="auto"/>
                    <w:rPr>
                      <w:color w:val="auto"/>
                    </w:rPr>
                  </w:pPr>
                  <w:r>
                    <w:rPr>
                      <w:color w:val="auto"/>
                    </w:rPr>
                    <w:t>HW01</w:t>
                  </w:r>
                </w:p>
              </w:tc>
              <w:tc>
                <w:tcPr>
                  <w:tcW w:w="1363" w:type="dxa"/>
                  <w:tcBorders>
                    <w:tl2br w:val="nil"/>
                    <w:tr2bl w:val="nil"/>
                  </w:tcBorders>
                  <w:vAlign w:val="center"/>
                </w:tcPr>
                <w:p>
                  <w:pPr>
                    <w:pStyle w:val="143"/>
                    <w:spacing w:line="240" w:lineRule="auto"/>
                    <w:rPr>
                      <w:color w:val="auto"/>
                    </w:rPr>
                  </w:pPr>
                  <w:r>
                    <w:rPr>
                      <w:color w:val="auto"/>
                    </w:rPr>
                    <w:t>841-001-01</w:t>
                  </w:r>
                </w:p>
              </w:tc>
              <w:tc>
                <w:tcPr>
                  <w:tcW w:w="731" w:type="dxa"/>
                  <w:tcBorders>
                    <w:tl2br w:val="nil"/>
                    <w:tr2bl w:val="nil"/>
                  </w:tcBorders>
                  <w:vAlign w:val="center"/>
                </w:tcPr>
                <w:p>
                  <w:pPr>
                    <w:pStyle w:val="143"/>
                    <w:spacing w:line="240" w:lineRule="auto"/>
                    <w:rPr>
                      <w:color w:val="auto"/>
                    </w:rPr>
                  </w:pPr>
                  <w:r>
                    <w:rPr>
                      <w:color w:val="auto"/>
                    </w:rPr>
                    <w:t>In</w:t>
                  </w:r>
                </w:p>
              </w:tc>
              <w:tc>
                <w:tcPr>
                  <w:tcW w:w="721" w:type="dxa"/>
                  <w:vMerge w:val="restart"/>
                  <w:tcBorders>
                    <w:tl2br w:val="nil"/>
                    <w:tr2bl w:val="nil"/>
                  </w:tcBorders>
                  <w:shd w:val="clear" w:color="auto" w:fill="auto"/>
                  <w:vAlign w:val="center"/>
                </w:tcPr>
                <w:p>
                  <w:pPr>
                    <w:pStyle w:val="143"/>
                    <w:spacing w:line="240" w:lineRule="auto"/>
                    <w:rPr>
                      <w:color w:val="auto"/>
                    </w:rPr>
                  </w:pPr>
                  <w:r>
                    <w:rPr>
                      <w:rFonts w:hint="eastAsia"/>
                      <w:color w:val="auto"/>
                    </w:rPr>
                    <w:t>2.117</w:t>
                  </w:r>
                </w:p>
              </w:tc>
              <w:tc>
                <w:tcPr>
                  <w:tcW w:w="1098" w:type="dxa"/>
                  <w:vMerge w:val="restart"/>
                  <w:tcBorders>
                    <w:tl2br w:val="nil"/>
                    <w:tr2bl w:val="nil"/>
                  </w:tcBorders>
                  <w:vAlign w:val="center"/>
                </w:tcPr>
                <w:p>
                  <w:pPr>
                    <w:pStyle w:val="143"/>
                    <w:spacing w:line="240" w:lineRule="auto"/>
                    <w:jc w:val="both"/>
                    <w:rPr>
                      <w:color w:val="auto"/>
                    </w:rPr>
                  </w:pPr>
                  <w:r>
                    <w:rPr>
                      <w:color w:val="auto"/>
                    </w:rPr>
                    <w:t>采用医疗废物专用包装分类收集后暂存于</w:t>
                  </w:r>
                  <w:r>
                    <w:rPr>
                      <w:bCs/>
                      <w:color w:val="auto"/>
                    </w:rPr>
                    <w:t>危险废物贮存点</w:t>
                  </w:r>
                </w:p>
              </w:tc>
              <w:tc>
                <w:tcPr>
                  <w:tcW w:w="1290" w:type="dxa"/>
                  <w:vMerge w:val="restart"/>
                  <w:tcBorders>
                    <w:tl2br w:val="nil"/>
                    <w:tr2bl w:val="nil"/>
                  </w:tcBorders>
                  <w:vAlign w:val="center"/>
                </w:tcPr>
                <w:p>
                  <w:pPr>
                    <w:pStyle w:val="143"/>
                    <w:spacing w:line="240" w:lineRule="auto"/>
                    <w:rPr>
                      <w:bCs/>
                      <w:color w:val="auto"/>
                      <w:highlight w:val="none"/>
                    </w:rPr>
                  </w:pPr>
                  <w:r>
                    <w:rPr>
                      <w:bCs/>
                      <w:color w:val="auto"/>
                      <w:highlight w:val="none"/>
                    </w:rPr>
                    <w:t>交</w:t>
                  </w:r>
                  <w:r>
                    <w:rPr>
                      <w:rFonts w:hint="eastAsia"/>
                      <w:bCs/>
                      <w:color w:val="auto"/>
                      <w:highlight w:val="none"/>
                    </w:rPr>
                    <w:t>有</w:t>
                  </w:r>
                  <w:r>
                    <w:rPr>
                      <w:bCs/>
                      <w:color w:val="auto"/>
                      <w:highlight w:val="none"/>
                    </w:rPr>
                    <w:t>资质单位处置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73" w:type="dxa"/>
                  <w:tcBorders>
                    <w:tl2br w:val="nil"/>
                    <w:tr2bl w:val="nil"/>
                  </w:tcBorders>
                  <w:shd w:val="clear" w:color="auto" w:fill="auto"/>
                  <w:vAlign w:val="center"/>
                </w:tcPr>
                <w:p>
                  <w:pPr>
                    <w:pStyle w:val="143"/>
                    <w:spacing w:line="240" w:lineRule="auto"/>
                    <w:rPr>
                      <w:color w:val="auto"/>
                    </w:rPr>
                  </w:pPr>
                  <w:r>
                    <w:rPr>
                      <w:color w:val="auto"/>
                    </w:rPr>
                    <w:t>就诊、住院</w:t>
                  </w:r>
                </w:p>
              </w:tc>
              <w:tc>
                <w:tcPr>
                  <w:tcW w:w="902" w:type="dxa"/>
                  <w:tcBorders>
                    <w:tl2br w:val="nil"/>
                    <w:tr2bl w:val="nil"/>
                  </w:tcBorders>
                  <w:shd w:val="clear" w:color="auto" w:fill="auto"/>
                  <w:vAlign w:val="center"/>
                </w:tcPr>
                <w:p>
                  <w:pPr>
                    <w:pStyle w:val="143"/>
                    <w:spacing w:line="240" w:lineRule="auto"/>
                    <w:rPr>
                      <w:bCs/>
                      <w:color w:val="auto"/>
                    </w:rPr>
                  </w:pPr>
                  <w:r>
                    <w:rPr>
                      <w:bCs/>
                      <w:color w:val="auto"/>
                    </w:rPr>
                    <w:t>损伤性废物</w:t>
                  </w:r>
                </w:p>
              </w:tc>
              <w:tc>
                <w:tcPr>
                  <w:tcW w:w="710" w:type="dxa"/>
                  <w:vMerge w:val="continue"/>
                  <w:tcBorders>
                    <w:tl2br w:val="nil"/>
                    <w:tr2bl w:val="nil"/>
                  </w:tcBorders>
                  <w:vAlign w:val="center"/>
                </w:tcPr>
                <w:p>
                  <w:pPr>
                    <w:pStyle w:val="143"/>
                    <w:spacing w:line="240" w:lineRule="auto"/>
                    <w:rPr>
                      <w:color w:val="auto"/>
                    </w:rPr>
                  </w:pPr>
                </w:p>
              </w:tc>
              <w:tc>
                <w:tcPr>
                  <w:tcW w:w="652" w:type="dxa"/>
                  <w:tcBorders>
                    <w:tl2br w:val="nil"/>
                    <w:tr2bl w:val="nil"/>
                  </w:tcBorders>
                  <w:vAlign w:val="center"/>
                </w:tcPr>
                <w:p>
                  <w:pPr>
                    <w:pStyle w:val="143"/>
                    <w:spacing w:line="240" w:lineRule="auto"/>
                    <w:rPr>
                      <w:color w:val="auto"/>
                    </w:rPr>
                  </w:pPr>
                  <w:r>
                    <w:rPr>
                      <w:color w:val="auto"/>
                    </w:rPr>
                    <w:t>固态</w:t>
                  </w:r>
                </w:p>
              </w:tc>
              <w:tc>
                <w:tcPr>
                  <w:tcW w:w="835" w:type="dxa"/>
                  <w:tcBorders>
                    <w:tl2br w:val="nil"/>
                    <w:tr2bl w:val="nil"/>
                  </w:tcBorders>
                  <w:vAlign w:val="center"/>
                </w:tcPr>
                <w:p>
                  <w:pPr>
                    <w:pStyle w:val="143"/>
                    <w:spacing w:line="240" w:lineRule="auto"/>
                    <w:rPr>
                      <w:color w:val="auto"/>
                    </w:rPr>
                  </w:pPr>
                  <w:r>
                    <w:rPr>
                      <w:color w:val="auto"/>
                    </w:rPr>
                    <w:t>HW01</w:t>
                  </w:r>
                </w:p>
              </w:tc>
              <w:tc>
                <w:tcPr>
                  <w:tcW w:w="1363" w:type="dxa"/>
                  <w:tcBorders>
                    <w:tl2br w:val="nil"/>
                    <w:tr2bl w:val="nil"/>
                  </w:tcBorders>
                  <w:vAlign w:val="center"/>
                </w:tcPr>
                <w:p>
                  <w:pPr>
                    <w:pStyle w:val="143"/>
                    <w:spacing w:line="240" w:lineRule="auto"/>
                    <w:rPr>
                      <w:color w:val="auto"/>
                    </w:rPr>
                  </w:pPr>
                  <w:r>
                    <w:rPr>
                      <w:color w:val="auto"/>
                    </w:rPr>
                    <w:t>841-002-01</w:t>
                  </w:r>
                </w:p>
              </w:tc>
              <w:tc>
                <w:tcPr>
                  <w:tcW w:w="731" w:type="dxa"/>
                  <w:tcBorders>
                    <w:tl2br w:val="nil"/>
                    <w:tr2bl w:val="nil"/>
                  </w:tcBorders>
                  <w:vAlign w:val="center"/>
                </w:tcPr>
                <w:p>
                  <w:pPr>
                    <w:pStyle w:val="143"/>
                    <w:spacing w:line="240" w:lineRule="auto"/>
                    <w:rPr>
                      <w:color w:val="auto"/>
                    </w:rPr>
                  </w:pPr>
                  <w:r>
                    <w:rPr>
                      <w:color w:val="auto"/>
                    </w:rPr>
                    <w:t>In</w:t>
                  </w:r>
                </w:p>
              </w:tc>
              <w:tc>
                <w:tcPr>
                  <w:tcW w:w="721" w:type="dxa"/>
                  <w:vMerge w:val="continue"/>
                  <w:tcBorders>
                    <w:tl2br w:val="nil"/>
                    <w:tr2bl w:val="nil"/>
                  </w:tcBorders>
                  <w:shd w:val="clear" w:color="auto" w:fill="auto"/>
                  <w:vAlign w:val="center"/>
                </w:tcPr>
                <w:p>
                  <w:pPr>
                    <w:pStyle w:val="143"/>
                    <w:spacing w:line="240" w:lineRule="auto"/>
                    <w:rPr>
                      <w:bCs/>
                      <w:color w:val="auto"/>
                    </w:rPr>
                  </w:pPr>
                </w:p>
              </w:tc>
              <w:tc>
                <w:tcPr>
                  <w:tcW w:w="1098" w:type="dxa"/>
                  <w:vMerge w:val="continue"/>
                  <w:tcBorders>
                    <w:tl2br w:val="nil"/>
                    <w:tr2bl w:val="nil"/>
                  </w:tcBorders>
                  <w:vAlign w:val="center"/>
                </w:tcPr>
                <w:p>
                  <w:pPr>
                    <w:pStyle w:val="143"/>
                    <w:spacing w:line="240" w:lineRule="auto"/>
                    <w:rPr>
                      <w:color w:val="auto"/>
                    </w:rPr>
                  </w:pPr>
                </w:p>
              </w:tc>
              <w:tc>
                <w:tcPr>
                  <w:tcW w:w="1290" w:type="dxa"/>
                  <w:vMerge w:val="continue"/>
                  <w:tcBorders>
                    <w:tl2br w:val="nil"/>
                    <w:tr2bl w:val="nil"/>
                  </w:tcBorders>
                  <w:shd w:val="clear" w:color="auto" w:fill="auto"/>
                  <w:vAlign w:val="center"/>
                </w:tcPr>
                <w:p>
                  <w:pPr>
                    <w:pStyle w:val="143"/>
                    <w:spacing w:line="240" w:lineRule="auto"/>
                    <w:rPr>
                      <w:bCs/>
                      <w:color w:val="auto"/>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73" w:type="dxa"/>
                  <w:tcBorders>
                    <w:tl2br w:val="nil"/>
                    <w:tr2bl w:val="nil"/>
                  </w:tcBorders>
                  <w:shd w:val="clear" w:color="auto" w:fill="auto"/>
                  <w:vAlign w:val="center"/>
                </w:tcPr>
                <w:p>
                  <w:pPr>
                    <w:pStyle w:val="143"/>
                    <w:spacing w:line="240" w:lineRule="auto"/>
                    <w:rPr>
                      <w:color w:val="auto"/>
                    </w:rPr>
                  </w:pPr>
                  <w:r>
                    <w:rPr>
                      <w:color w:val="auto"/>
                    </w:rPr>
                    <w:t>就诊、住院</w:t>
                  </w:r>
                </w:p>
              </w:tc>
              <w:tc>
                <w:tcPr>
                  <w:tcW w:w="902" w:type="dxa"/>
                  <w:tcBorders>
                    <w:tl2br w:val="nil"/>
                    <w:tr2bl w:val="nil"/>
                  </w:tcBorders>
                  <w:shd w:val="clear" w:color="auto" w:fill="auto"/>
                  <w:vAlign w:val="center"/>
                </w:tcPr>
                <w:p>
                  <w:pPr>
                    <w:pStyle w:val="143"/>
                    <w:spacing w:line="240" w:lineRule="auto"/>
                    <w:rPr>
                      <w:bCs/>
                      <w:color w:val="auto"/>
                    </w:rPr>
                  </w:pPr>
                  <w:r>
                    <w:rPr>
                      <w:bCs/>
                      <w:color w:val="auto"/>
                    </w:rPr>
                    <w:t>病理性废物</w:t>
                  </w:r>
                </w:p>
              </w:tc>
              <w:tc>
                <w:tcPr>
                  <w:tcW w:w="710" w:type="dxa"/>
                  <w:vMerge w:val="continue"/>
                  <w:tcBorders>
                    <w:tl2br w:val="nil"/>
                    <w:tr2bl w:val="nil"/>
                  </w:tcBorders>
                  <w:vAlign w:val="center"/>
                </w:tcPr>
                <w:p>
                  <w:pPr>
                    <w:pStyle w:val="143"/>
                    <w:spacing w:line="240" w:lineRule="auto"/>
                    <w:rPr>
                      <w:color w:val="auto"/>
                    </w:rPr>
                  </w:pPr>
                </w:p>
              </w:tc>
              <w:tc>
                <w:tcPr>
                  <w:tcW w:w="652" w:type="dxa"/>
                  <w:tcBorders>
                    <w:tl2br w:val="nil"/>
                    <w:tr2bl w:val="nil"/>
                  </w:tcBorders>
                  <w:vAlign w:val="center"/>
                </w:tcPr>
                <w:p>
                  <w:pPr>
                    <w:pStyle w:val="143"/>
                    <w:spacing w:line="240" w:lineRule="auto"/>
                    <w:rPr>
                      <w:color w:val="auto"/>
                    </w:rPr>
                  </w:pPr>
                  <w:r>
                    <w:rPr>
                      <w:color w:val="auto"/>
                    </w:rPr>
                    <w:t>固态</w:t>
                  </w:r>
                </w:p>
              </w:tc>
              <w:tc>
                <w:tcPr>
                  <w:tcW w:w="835" w:type="dxa"/>
                  <w:tcBorders>
                    <w:tl2br w:val="nil"/>
                    <w:tr2bl w:val="nil"/>
                  </w:tcBorders>
                  <w:vAlign w:val="center"/>
                </w:tcPr>
                <w:p>
                  <w:pPr>
                    <w:pStyle w:val="143"/>
                    <w:spacing w:line="240" w:lineRule="auto"/>
                    <w:rPr>
                      <w:color w:val="auto"/>
                    </w:rPr>
                  </w:pPr>
                  <w:r>
                    <w:rPr>
                      <w:color w:val="auto"/>
                    </w:rPr>
                    <w:t>HW01</w:t>
                  </w:r>
                </w:p>
              </w:tc>
              <w:tc>
                <w:tcPr>
                  <w:tcW w:w="1363" w:type="dxa"/>
                  <w:tcBorders>
                    <w:tl2br w:val="nil"/>
                    <w:tr2bl w:val="nil"/>
                  </w:tcBorders>
                  <w:vAlign w:val="center"/>
                </w:tcPr>
                <w:p>
                  <w:pPr>
                    <w:pStyle w:val="143"/>
                    <w:spacing w:line="240" w:lineRule="auto"/>
                    <w:rPr>
                      <w:color w:val="auto"/>
                    </w:rPr>
                  </w:pPr>
                  <w:r>
                    <w:rPr>
                      <w:color w:val="auto"/>
                    </w:rPr>
                    <w:t>841-003-01</w:t>
                  </w:r>
                </w:p>
              </w:tc>
              <w:tc>
                <w:tcPr>
                  <w:tcW w:w="731" w:type="dxa"/>
                  <w:tcBorders>
                    <w:tl2br w:val="nil"/>
                    <w:tr2bl w:val="nil"/>
                  </w:tcBorders>
                  <w:vAlign w:val="center"/>
                </w:tcPr>
                <w:p>
                  <w:pPr>
                    <w:pStyle w:val="143"/>
                    <w:spacing w:line="240" w:lineRule="auto"/>
                    <w:rPr>
                      <w:color w:val="auto"/>
                    </w:rPr>
                  </w:pPr>
                  <w:r>
                    <w:rPr>
                      <w:color w:val="auto"/>
                    </w:rPr>
                    <w:t>In</w:t>
                  </w:r>
                </w:p>
              </w:tc>
              <w:tc>
                <w:tcPr>
                  <w:tcW w:w="721" w:type="dxa"/>
                  <w:vMerge w:val="continue"/>
                  <w:tcBorders>
                    <w:tl2br w:val="nil"/>
                    <w:tr2bl w:val="nil"/>
                  </w:tcBorders>
                  <w:shd w:val="clear" w:color="auto" w:fill="auto"/>
                  <w:vAlign w:val="center"/>
                </w:tcPr>
                <w:p>
                  <w:pPr>
                    <w:pStyle w:val="143"/>
                    <w:spacing w:line="240" w:lineRule="auto"/>
                    <w:rPr>
                      <w:bCs/>
                      <w:color w:val="auto"/>
                    </w:rPr>
                  </w:pPr>
                </w:p>
              </w:tc>
              <w:tc>
                <w:tcPr>
                  <w:tcW w:w="1098" w:type="dxa"/>
                  <w:vMerge w:val="continue"/>
                  <w:tcBorders>
                    <w:tl2br w:val="nil"/>
                    <w:tr2bl w:val="nil"/>
                  </w:tcBorders>
                  <w:vAlign w:val="center"/>
                </w:tcPr>
                <w:p>
                  <w:pPr>
                    <w:pStyle w:val="143"/>
                    <w:spacing w:line="240" w:lineRule="auto"/>
                    <w:rPr>
                      <w:color w:val="auto"/>
                    </w:rPr>
                  </w:pPr>
                </w:p>
              </w:tc>
              <w:tc>
                <w:tcPr>
                  <w:tcW w:w="1290" w:type="dxa"/>
                  <w:vMerge w:val="continue"/>
                  <w:tcBorders>
                    <w:tl2br w:val="nil"/>
                    <w:tr2bl w:val="nil"/>
                  </w:tcBorders>
                  <w:shd w:val="clear" w:color="auto" w:fill="auto"/>
                  <w:vAlign w:val="center"/>
                </w:tcPr>
                <w:p>
                  <w:pPr>
                    <w:pStyle w:val="143"/>
                    <w:spacing w:line="240" w:lineRule="auto"/>
                    <w:jc w:val="both"/>
                    <w:rPr>
                      <w:bCs/>
                      <w:color w:val="auto"/>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73" w:type="dxa"/>
                  <w:tcBorders>
                    <w:tl2br w:val="nil"/>
                    <w:tr2bl w:val="nil"/>
                  </w:tcBorders>
                  <w:shd w:val="clear" w:color="auto" w:fill="auto"/>
                  <w:vAlign w:val="center"/>
                </w:tcPr>
                <w:p>
                  <w:pPr>
                    <w:pStyle w:val="143"/>
                    <w:spacing w:line="240" w:lineRule="auto"/>
                    <w:rPr>
                      <w:color w:val="auto"/>
                    </w:rPr>
                  </w:pPr>
                  <w:r>
                    <w:rPr>
                      <w:color w:val="auto"/>
                    </w:rPr>
                    <w:t>就诊、住院</w:t>
                  </w:r>
                </w:p>
              </w:tc>
              <w:tc>
                <w:tcPr>
                  <w:tcW w:w="902" w:type="dxa"/>
                  <w:tcBorders>
                    <w:tl2br w:val="nil"/>
                    <w:tr2bl w:val="nil"/>
                  </w:tcBorders>
                  <w:shd w:val="clear" w:color="auto" w:fill="auto"/>
                  <w:vAlign w:val="center"/>
                </w:tcPr>
                <w:p>
                  <w:pPr>
                    <w:pStyle w:val="143"/>
                    <w:spacing w:line="240" w:lineRule="auto"/>
                    <w:rPr>
                      <w:bCs/>
                      <w:color w:val="auto"/>
                    </w:rPr>
                  </w:pPr>
                  <w:r>
                    <w:rPr>
                      <w:bCs/>
                      <w:color w:val="auto"/>
                    </w:rPr>
                    <w:t>化学性废物</w:t>
                  </w:r>
                </w:p>
              </w:tc>
              <w:tc>
                <w:tcPr>
                  <w:tcW w:w="710" w:type="dxa"/>
                  <w:vMerge w:val="continue"/>
                  <w:tcBorders>
                    <w:tl2br w:val="nil"/>
                    <w:tr2bl w:val="nil"/>
                  </w:tcBorders>
                  <w:vAlign w:val="center"/>
                </w:tcPr>
                <w:p>
                  <w:pPr>
                    <w:pStyle w:val="143"/>
                    <w:spacing w:line="240" w:lineRule="auto"/>
                    <w:rPr>
                      <w:color w:val="auto"/>
                    </w:rPr>
                  </w:pPr>
                </w:p>
              </w:tc>
              <w:tc>
                <w:tcPr>
                  <w:tcW w:w="652" w:type="dxa"/>
                  <w:tcBorders>
                    <w:tl2br w:val="nil"/>
                    <w:tr2bl w:val="nil"/>
                  </w:tcBorders>
                  <w:vAlign w:val="center"/>
                </w:tcPr>
                <w:p>
                  <w:pPr>
                    <w:pStyle w:val="143"/>
                    <w:spacing w:line="240" w:lineRule="auto"/>
                    <w:rPr>
                      <w:color w:val="auto"/>
                    </w:rPr>
                  </w:pPr>
                  <w:r>
                    <w:rPr>
                      <w:color w:val="auto"/>
                    </w:rPr>
                    <w:t>固态</w:t>
                  </w:r>
                </w:p>
              </w:tc>
              <w:tc>
                <w:tcPr>
                  <w:tcW w:w="835" w:type="dxa"/>
                  <w:tcBorders>
                    <w:tl2br w:val="nil"/>
                    <w:tr2bl w:val="nil"/>
                  </w:tcBorders>
                  <w:vAlign w:val="center"/>
                </w:tcPr>
                <w:p>
                  <w:pPr>
                    <w:pStyle w:val="143"/>
                    <w:spacing w:line="240" w:lineRule="auto"/>
                    <w:rPr>
                      <w:color w:val="auto"/>
                    </w:rPr>
                  </w:pPr>
                  <w:r>
                    <w:rPr>
                      <w:color w:val="auto"/>
                    </w:rPr>
                    <w:t>HW01</w:t>
                  </w:r>
                </w:p>
              </w:tc>
              <w:tc>
                <w:tcPr>
                  <w:tcW w:w="1363" w:type="dxa"/>
                  <w:tcBorders>
                    <w:tl2br w:val="nil"/>
                    <w:tr2bl w:val="nil"/>
                  </w:tcBorders>
                  <w:vAlign w:val="center"/>
                </w:tcPr>
                <w:p>
                  <w:pPr>
                    <w:pStyle w:val="143"/>
                    <w:spacing w:line="240" w:lineRule="auto"/>
                    <w:rPr>
                      <w:color w:val="auto"/>
                    </w:rPr>
                  </w:pPr>
                  <w:r>
                    <w:rPr>
                      <w:color w:val="auto"/>
                    </w:rPr>
                    <w:t>841-004-01</w:t>
                  </w:r>
                </w:p>
              </w:tc>
              <w:tc>
                <w:tcPr>
                  <w:tcW w:w="731" w:type="dxa"/>
                  <w:tcBorders>
                    <w:tl2br w:val="nil"/>
                    <w:tr2bl w:val="nil"/>
                  </w:tcBorders>
                  <w:vAlign w:val="center"/>
                </w:tcPr>
                <w:p>
                  <w:pPr>
                    <w:pStyle w:val="143"/>
                    <w:spacing w:line="240" w:lineRule="auto"/>
                    <w:rPr>
                      <w:color w:val="auto"/>
                    </w:rPr>
                  </w:pPr>
                  <w:r>
                    <w:rPr>
                      <w:color w:val="auto"/>
                    </w:rPr>
                    <w:t>T/C/I/R</w:t>
                  </w:r>
                </w:p>
              </w:tc>
              <w:tc>
                <w:tcPr>
                  <w:tcW w:w="721" w:type="dxa"/>
                  <w:vMerge w:val="continue"/>
                  <w:tcBorders>
                    <w:tl2br w:val="nil"/>
                    <w:tr2bl w:val="nil"/>
                  </w:tcBorders>
                  <w:shd w:val="clear" w:color="auto" w:fill="auto"/>
                  <w:vAlign w:val="center"/>
                </w:tcPr>
                <w:p>
                  <w:pPr>
                    <w:pStyle w:val="143"/>
                    <w:spacing w:line="240" w:lineRule="auto"/>
                    <w:rPr>
                      <w:bCs/>
                      <w:color w:val="auto"/>
                    </w:rPr>
                  </w:pPr>
                </w:p>
              </w:tc>
              <w:tc>
                <w:tcPr>
                  <w:tcW w:w="1098" w:type="dxa"/>
                  <w:vMerge w:val="continue"/>
                  <w:tcBorders>
                    <w:tl2br w:val="nil"/>
                    <w:tr2bl w:val="nil"/>
                  </w:tcBorders>
                  <w:vAlign w:val="center"/>
                </w:tcPr>
                <w:p>
                  <w:pPr>
                    <w:pStyle w:val="143"/>
                    <w:spacing w:line="240" w:lineRule="auto"/>
                    <w:rPr>
                      <w:color w:val="auto"/>
                    </w:rPr>
                  </w:pPr>
                </w:p>
              </w:tc>
              <w:tc>
                <w:tcPr>
                  <w:tcW w:w="1290" w:type="dxa"/>
                  <w:vMerge w:val="continue"/>
                  <w:tcBorders>
                    <w:tl2br w:val="nil"/>
                    <w:tr2bl w:val="nil"/>
                  </w:tcBorders>
                  <w:shd w:val="clear" w:color="auto" w:fill="auto"/>
                  <w:vAlign w:val="center"/>
                </w:tcPr>
                <w:p>
                  <w:pPr>
                    <w:pStyle w:val="143"/>
                    <w:spacing w:line="240" w:lineRule="auto"/>
                    <w:rPr>
                      <w:bCs/>
                      <w:color w:val="auto"/>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73" w:type="dxa"/>
                  <w:tcBorders>
                    <w:tl2br w:val="nil"/>
                    <w:tr2bl w:val="nil"/>
                  </w:tcBorders>
                  <w:shd w:val="clear" w:color="auto" w:fill="auto"/>
                  <w:vAlign w:val="center"/>
                </w:tcPr>
                <w:p>
                  <w:pPr>
                    <w:pStyle w:val="143"/>
                    <w:spacing w:line="240" w:lineRule="auto"/>
                    <w:rPr>
                      <w:color w:val="auto"/>
                    </w:rPr>
                  </w:pPr>
                  <w:r>
                    <w:rPr>
                      <w:color w:val="auto"/>
                    </w:rPr>
                    <w:t>就诊、住院</w:t>
                  </w:r>
                </w:p>
              </w:tc>
              <w:tc>
                <w:tcPr>
                  <w:tcW w:w="902" w:type="dxa"/>
                  <w:tcBorders>
                    <w:tl2br w:val="nil"/>
                    <w:tr2bl w:val="nil"/>
                  </w:tcBorders>
                  <w:shd w:val="clear" w:color="auto" w:fill="auto"/>
                  <w:vAlign w:val="center"/>
                </w:tcPr>
                <w:p>
                  <w:pPr>
                    <w:pStyle w:val="143"/>
                    <w:spacing w:line="240" w:lineRule="auto"/>
                    <w:rPr>
                      <w:bCs/>
                      <w:color w:val="auto"/>
                    </w:rPr>
                  </w:pPr>
                  <w:r>
                    <w:rPr>
                      <w:bCs/>
                      <w:color w:val="auto"/>
                    </w:rPr>
                    <w:t>药物性废物</w:t>
                  </w:r>
                </w:p>
              </w:tc>
              <w:tc>
                <w:tcPr>
                  <w:tcW w:w="710" w:type="dxa"/>
                  <w:vMerge w:val="continue"/>
                  <w:tcBorders>
                    <w:tl2br w:val="nil"/>
                    <w:tr2bl w:val="nil"/>
                  </w:tcBorders>
                  <w:vAlign w:val="center"/>
                </w:tcPr>
                <w:p>
                  <w:pPr>
                    <w:pStyle w:val="143"/>
                    <w:spacing w:line="240" w:lineRule="auto"/>
                    <w:rPr>
                      <w:color w:val="auto"/>
                    </w:rPr>
                  </w:pPr>
                </w:p>
              </w:tc>
              <w:tc>
                <w:tcPr>
                  <w:tcW w:w="652" w:type="dxa"/>
                  <w:tcBorders>
                    <w:tl2br w:val="nil"/>
                    <w:tr2bl w:val="nil"/>
                  </w:tcBorders>
                  <w:vAlign w:val="center"/>
                </w:tcPr>
                <w:p>
                  <w:pPr>
                    <w:pStyle w:val="143"/>
                    <w:spacing w:line="240" w:lineRule="auto"/>
                    <w:rPr>
                      <w:color w:val="auto"/>
                    </w:rPr>
                  </w:pPr>
                  <w:r>
                    <w:rPr>
                      <w:color w:val="auto"/>
                    </w:rPr>
                    <w:t>固态</w:t>
                  </w:r>
                </w:p>
              </w:tc>
              <w:tc>
                <w:tcPr>
                  <w:tcW w:w="835" w:type="dxa"/>
                  <w:tcBorders>
                    <w:tl2br w:val="nil"/>
                    <w:tr2bl w:val="nil"/>
                  </w:tcBorders>
                  <w:vAlign w:val="center"/>
                </w:tcPr>
                <w:p>
                  <w:pPr>
                    <w:pStyle w:val="143"/>
                    <w:spacing w:line="240" w:lineRule="auto"/>
                    <w:rPr>
                      <w:color w:val="auto"/>
                    </w:rPr>
                  </w:pPr>
                  <w:r>
                    <w:rPr>
                      <w:color w:val="auto"/>
                    </w:rPr>
                    <w:t>HW01</w:t>
                  </w:r>
                </w:p>
              </w:tc>
              <w:tc>
                <w:tcPr>
                  <w:tcW w:w="1363" w:type="dxa"/>
                  <w:tcBorders>
                    <w:tl2br w:val="nil"/>
                    <w:tr2bl w:val="nil"/>
                  </w:tcBorders>
                  <w:vAlign w:val="center"/>
                </w:tcPr>
                <w:p>
                  <w:pPr>
                    <w:pStyle w:val="143"/>
                    <w:spacing w:line="240" w:lineRule="auto"/>
                    <w:rPr>
                      <w:color w:val="auto"/>
                    </w:rPr>
                  </w:pPr>
                  <w:r>
                    <w:rPr>
                      <w:color w:val="auto"/>
                    </w:rPr>
                    <w:t>841-005-01</w:t>
                  </w:r>
                </w:p>
              </w:tc>
              <w:tc>
                <w:tcPr>
                  <w:tcW w:w="731" w:type="dxa"/>
                  <w:tcBorders>
                    <w:tl2br w:val="nil"/>
                    <w:tr2bl w:val="nil"/>
                  </w:tcBorders>
                  <w:vAlign w:val="center"/>
                </w:tcPr>
                <w:p>
                  <w:pPr>
                    <w:pStyle w:val="143"/>
                    <w:spacing w:line="240" w:lineRule="auto"/>
                    <w:rPr>
                      <w:color w:val="auto"/>
                    </w:rPr>
                  </w:pPr>
                  <w:r>
                    <w:rPr>
                      <w:color w:val="auto"/>
                    </w:rPr>
                    <w:t>T</w:t>
                  </w:r>
                </w:p>
              </w:tc>
              <w:tc>
                <w:tcPr>
                  <w:tcW w:w="721" w:type="dxa"/>
                  <w:vMerge w:val="continue"/>
                  <w:tcBorders>
                    <w:tl2br w:val="nil"/>
                    <w:tr2bl w:val="nil"/>
                  </w:tcBorders>
                  <w:shd w:val="clear" w:color="auto" w:fill="auto"/>
                  <w:vAlign w:val="center"/>
                </w:tcPr>
                <w:p>
                  <w:pPr>
                    <w:pStyle w:val="143"/>
                    <w:spacing w:line="240" w:lineRule="auto"/>
                    <w:rPr>
                      <w:bCs/>
                      <w:color w:val="auto"/>
                    </w:rPr>
                  </w:pPr>
                </w:p>
              </w:tc>
              <w:tc>
                <w:tcPr>
                  <w:tcW w:w="1098" w:type="dxa"/>
                  <w:vMerge w:val="continue"/>
                  <w:tcBorders>
                    <w:tl2br w:val="nil"/>
                    <w:tr2bl w:val="nil"/>
                  </w:tcBorders>
                  <w:vAlign w:val="center"/>
                </w:tcPr>
                <w:p>
                  <w:pPr>
                    <w:pStyle w:val="143"/>
                    <w:spacing w:line="240" w:lineRule="auto"/>
                    <w:rPr>
                      <w:color w:val="auto"/>
                    </w:rPr>
                  </w:pPr>
                </w:p>
              </w:tc>
              <w:tc>
                <w:tcPr>
                  <w:tcW w:w="1290" w:type="dxa"/>
                  <w:vMerge w:val="continue"/>
                  <w:tcBorders>
                    <w:tl2br w:val="nil"/>
                    <w:tr2bl w:val="nil"/>
                  </w:tcBorders>
                  <w:shd w:val="clear" w:color="auto" w:fill="auto"/>
                  <w:vAlign w:val="center"/>
                </w:tcPr>
                <w:p>
                  <w:pPr>
                    <w:pStyle w:val="143"/>
                    <w:spacing w:line="240" w:lineRule="auto"/>
                    <w:rPr>
                      <w:bCs/>
                      <w:color w:val="auto"/>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73" w:type="dxa"/>
                  <w:tcBorders>
                    <w:tl2br w:val="nil"/>
                    <w:tr2bl w:val="nil"/>
                  </w:tcBorders>
                  <w:shd w:val="clear" w:color="auto" w:fill="auto"/>
                  <w:vAlign w:val="center"/>
                </w:tcPr>
                <w:p>
                  <w:pPr>
                    <w:pStyle w:val="143"/>
                    <w:spacing w:line="240" w:lineRule="auto"/>
                    <w:rPr>
                      <w:color w:val="auto"/>
                    </w:rPr>
                  </w:pPr>
                  <w:r>
                    <w:rPr>
                      <w:color w:val="auto"/>
                    </w:rPr>
                    <w:t>就诊、住院</w:t>
                  </w:r>
                </w:p>
              </w:tc>
              <w:tc>
                <w:tcPr>
                  <w:tcW w:w="902" w:type="dxa"/>
                  <w:tcBorders>
                    <w:tl2br w:val="nil"/>
                    <w:tr2bl w:val="nil"/>
                  </w:tcBorders>
                  <w:shd w:val="clear" w:color="auto" w:fill="auto"/>
                  <w:vAlign w:val="center"/>
                </w:tcPr>
                <w:p>
                  <w:pPr>
                    <w:pStyle w:val="143"/>
                    <w:spacing w:line="240" w:lineRule="auto"/>
                    <w:rPr>
                      <w:color w:val="auto"/>
                    </w:rPr>
                  </w:pPr>
                  <w:r>
                    <w:rPr>
                      <w:color w:val="auto"/>
                    </w:rPr>
                    <w:t>动物尸体</w:t>
                  </w:r>
                </w:p>
              </w:tc>
              <w:tc>
                <w:tcPr>
                  <w:tcW w:w="710" w:type="dxa"/>
                  <w:tcBorders>
                    <w:tl2br w:val="nil"/>
                    <w:tr2bl w:val="nil"/>
                  </w:tcBorders>
                  <w:vAlign w:val="center"/>
                </w:tcPr>
                <w:p>
                  <w:pPr>
                    <w:pStyle w:val="143"/>
                    <w:spacing w:line="240" w:lineRule="auto"/>
                    <w:rPr>
                      <w:color w:val="auto"/>
                    </w:rPr>
                  </w:pPr>
                  <w:r>
                    <w:rPr>
                      <w:color w:val="auto"/>
                    </w:rPr>
                    <w:t>/</w:t>
                  </w:r>
                </w:p>
              </w:tc>
              <w:tc>
                <w:tcPr>
                  <w:tcW w:w="652" w:type="dxa"/>
                  <w:tcBorders>
                    <w:tl2br w:val="nil"/>
                    <w:tr2bl w:val="nil"/>
                  </w:tcBorders>
                  <w:shd w:val="clear" w:color="auto" w:fill="auto"/>
                  <w:vAlign w:val="center"/>
                </w:tcPr>
                <w:p>
                  <w:pPr>
                    <w:pStyle w:val="143"/>
                    <w:spacing w:line="240" w:lineRule="auto"/>
                    <w:rPr>
                      <w:color w:val="auto"/>
                    </w:rPr>
                  </w:pPr>
                  <w:r>
                    <w:rPr>
                      <w:color w:val="auto"/>
                    </w:rPr>
                    <w:t>固态</w:t>
                  </w:r>
                </w:p>
              </w:tc>
              <w:tc>
                <w:tcPr>
                  <w:tcW w:w="835" w:type="dxa"/>
                  <w:tcBorders>
                    <w:tl2br w:val="nil"/>
                    <w:tr2bl w:val="nil"/>
                  </w:tcBorders>
                  <w:vAlign w:val="center"/>
                </w:tcPr>
                <w:p>
                  <w:pPr>
                    <w:pStyle w:val="143"/>
                    <w:spacing w:line="240" w:lineRule="auto"/>
                    <w:rPr>
                      <w:color w:val="auto"/>
                    </w:rPr>
                  </w:pPr>
                  <w:r>
                    <w:rPr>
                      <w:color w:val="auto"/>
                    </w:rPr>
                    <w:t>/</w:t>
                  </w:r>
                </w:p>
              </w:tc>
              <w:tc>
                <w:tcPr>
                  <w:tcW w:w="1363" w:type="dxa"/>
                  <w:tcBorders>
                    <w:tl2br w:val="nil"/>
                    <w:tr2bl w:val="nil"/>
                  </w:tcBorders>
                  <w:vAlign w:val="center"/>
                </w:tcPr>
                <w:p>
                  <w:pPr>
                    <w:pStyle w:val="143"/>
                    <w:spacing w:line="240" w:lineRule="auto"/>
                    <w:rPr>
                      <w:color w:val="auto"/>
                    </w:rPr>
                  </w:pPr>
                  <w:r>
                    <w:rPr>
                      <w:color w:val="auto"/>
                    </w:rPr>
                    <w:t>/</w:t>
                  </w:r>
                </w:p>
              </w:tc>
              <w:tc>
                <w:tcPr>
                  <w:tcW w:w="731" w:type="dxa"/>
                  <w:tcBorders>
                    <w:tl2br w:val="nil"/>
                    <w:tr2bl w:val="nil"/>
                  </w:tcBorders>
                  <w:vAlign w:val="center"/>
                </w:tcPr>
                <w:p>
                  <w:pPr>
                    <w:pStyle w:val="143"/>
                    <w:spacing w:line="240" w:lineRule="auto"/>
                    <w:rPr>
                      <w:color w:val="auto"/>
                    </w:rPr>
                  </w:pPr>
                  <w:r>
                    <w:rPr>
                      <w:color w:val="auto"/>
                    </w:rPr>
                    <w:t>/</w:t>
                  </w:r>
                </w:p>
              </w:tc>
              <w:tc>
                <w:tcPr>
                  <w:tcW w:w="721" w:type="dxa"/>
                  <w:tcBorders>
                    <w:tl2br w:val="nil"/>
                    <w:tr2bl w:val="nil"/>
                  </w:tcBorders>
                  <w:vAlign w:val="center"/>
                </w:tcPr>
                <w:p>
                  <w:pPr>
                    <w:pStyle w:val="143"/>
                    <w:spacing w:line="240" w:lineRule="auto"/>
                    <w:rPr>
                      <w:color w:val="auto"/>
                    </w:rPr>
                  </w:pPr>
                  <w:r>
                    <w:rPr>
                      <w:color w:val="auto"/>
                    </w:rPr>
                    <w:t>少量</w:t>
                  </w:r>
                </w:p>
              </w:tc>
              <w:tc>
                <w:tcPr>
                  <w:tcW w:w="1098" w:type="dxa"/>
                  <w:tcBorders>
                    <w:tl2br w:val="nil"/>
                    <w:tr2bl w:val="nil"/>
                  </w:tcBorders>
                  <w:shd w:val="clear" w:color="auto" w:fill="auto"/>
                  <w:vAlign w:val="center"/>
                </w:tcPr>
                <w:p>
                  <w:pPr>
                    <w:pStyle w:val="143"/>
                    <w:spacing w:line="240" w:lineRule="auto"/>
                    <w:jc w:val="both"/>
                    <w:rPr>
                      <w:color w:val="auto"/>
                    </w:rPr>
                  </w:pPr>
                  <w:r>
                    <w:rPr>
                      <w:color w:val="auto"/>
                    </w:rPr>
                    <w:t>及时清运，经营场所不暂存</w:t>
                  </w:r>
                </w:p>
              </w:tc>
              <w:tc>
                <w:tcPr>
                  <w:tcW w:w="1290" w:type="dxa"/>
                  <w:tcBorders>
                    <w:tl2br w:val="nil"/>
                    <w:tr2bl w:val="nil"/>
                  </w:tcBorders>
                  <w:shd w:val="clear" w:color="auto" w:fill="auto"/>
                  <w:vAlign w:val="center"/>
                </w:tcPr>
                <w:p>
                  <w:pPr>
                    <w:pStyle w:val="143"/>
                    <w:spacing w:line="240" w:lineRule="auto"/>
                    <w:jc w:val="both"/>
                    <w:rPr>
                      <w:bCs/>
                      <w:color w:val="auto"/>
                    </w:rPr>
                  </w:pPr>
                  <w:r>
                    <w:rPr>
                      <w:bCs/>
                      <w:color w:val="auto"/>
                    </w:rPr>
                    <w:t>交</w:t>
                  </w:r>
                  <w:r>
                    <w:rPr>
                      <w:rFonts w:hint="eastAsia"/>
                      <w:bCs/>
                      <w:color w:val="auto"/>
                    </w:rPr>
                    <w:t>有</w:t>
                  </w:r>
                  <w:r>
                    <w:rPr>
                      <w:bCs/>
                      <w:color w:val="auto"/>
                    </w:rPr>
                    <w:t>资质单位</w:t>
                  </w:r>
                  <w:r>
                    <w:rPr>
                      <w:rFonts w:hint="eastAsia"/>
                      <w:bCs/>
                      <w:color w:val="auto"/>
                    </w:rPr>
                    <w:t>无害化</w:t>
                  </w:r>
                  <w:r>
                    <w:rPr>
                      <w:bCs/>
                      <w:color w:val="auto"/>
                    </w:rPr>
                    <w:t>处置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73" w:type="dxa"/>
                  <w:tcBorders>
                    <w:tl2br w:val="nil"/>
                    <w:tr2bl w:val="nil"/>
                  </w:tcBorders>
                  <w:shd w:val="clear" w:color="auto" w:fill="auto"/>
                  <w:vAlign w:val="center"/>
                </w:tcPr>
                <w:p>
                  <w:pPr>
                    <w:pStyle w:val="143"/>
                    <w:spacing w:line="240" w:lineRule="auto"/>
                    <w:rPr>
                      <w:color w:val="auto"/>
                    </w:rPr>
                  </w:pPr>
                  <w:r>
                    <w:rPr>
                      <w:color w:val="auto"/>
                    </w:rPr>
                    <w:t>消毒</w:t>
                  </w:r>
                </w:p>
              </w:tc>
              <w:tc>
                <w:tcPr>
                  <w:tcW w:w="902" w:type="dxa"/>
                  <w:tcBorders>
                    <w:tl2br w:val="nil"/>
                    <w:tr2bl w:val="nil"/>
                  </w:tcBorders>
                  <w:shd w:val="clear" w:color="auto" w:fill="auto"/>
                  <w:vAlign w:val="center"/>
                </w:tcPr>
                <w:p>
                  <w:pPr>
                    <w:pStyle w:val="143"/>
                    <w:spacing w:line="240" w:lineRule="auto"/>
                    <w:rPr>
                      <w:color w:val="auto"/>
                    </w:rPr>
                  </w:pPr>
                  <w:r>
                    <w:rPr>
                      <w:color w:val="auto"/>
                    </w:rPr>
                    <w:t>废紫外线灯管</w:t>
                  </w:r>
                </w:p>
              </w:tc>
              <w:tc>
                <w:tcPr>
                  <w:tcW w:w="710" w:type="dxa"/>
                  <w:tcBorders>
                    <w:tl2br w:val="nil"/>
                    <w:tr2bl w:val="nil"/>
                  </w:tcBorders>
                  <w:shd w:val="clear" w:color="auto" w:fill="auto"/>
                  <w:vAlign w:val="center"/>
                </w:tcPr>
                <w:p>
                  <w:pPr>
                    <w:pStyle w:val="143"/>
                    <w:spacing w:line="240" w:lineRule="auto"/>
                    <w:rPr>
                      <w:color w:val="auto"/>
                    </w:rPr>
                  </w:pPr>
                  <w:r>
                    <w:rPr>
                      <w:color w:val="auto"/>
                    </w:rPr>
                    <w:t>危险废物</w:t>
                  </w:r>
                </w:p>
              </w:tc>
              <w:tc>
                <w:tcPr>
                  <w:tcW w:w="652" w:type="dxa"/>
                  <w:tcBorders>
                    <w:tl2br w:val="nil"/>
                    <w:tr2bl w:val="nil"/>
                  </w:tcBorders>
                  <w:shd w:val="clear" w:color="auto" w:fill="auto"/>
                  <w:vAlign w:val="center"/>
                </w:tcPr>
                <w:p>
                  <w:pPr>
                    <w:pStyle w:val="143"/>
                    <w:spacing w:line="240" w:lineRule="auto"/>
                    <w:rPr>
                      <w:color w:val="auto"/>
                    </w:rPr>
                  </w:pPr>
                  <w:r>
                    <w:rPr>
                      <w:color w:val="auto"/>
                    </w:rPr>
                    <w:t>固态</w:t>
                  </w:r>
                </w:p>
              </w:tc>
              <w:tc>
                <w:tcPr>
                  <w:tcW w:w="835" w:type="dxa"/>
                  <w:tcBorders>
                    <w:tl2br w:val="nil"/>
                    <w:tr2bl w:val="nil"/>
                  </w:tcBorders>
                  <w:shd w:val="clear" w:color="auto" w:fill="auto"/>
                  <w:vAlign w:val="center"/>
                </w:tcPr>
                <w:p>
                  <w:pPr>
                    <w:pStyle w:val="143"/>
                    <w:spacing w:line="240" w:lineRule="auto"/>
                    <w:rPr>
                      <w:color w:val="auto"/>
                    </w:rPr>
                  </w:pPr>
                  <w:r>
                    <w:rPr>
                      <w:color w:val="auto"/>
                    </w:rPr>
                    <w:t>HW29</w:t>
                  </w:r>
                </w:p>
              </w:tc>
              <w:tc>
                <w:tcPr>
                  <w:tcW w:w="1363" w:type="dxa"/>
                  <w:tcBorders>
                    <w:tl2br w:val="nil"/>
                    <w:tr2bl w:val="nil"/>
                  </w:tcBorders>
                  <w:shd w:val="clear" w:color="auto" w:fill="auto"/>
                  <w:vAlign w:val="center"/>
                </w:tcPr>
                <w:p>
                  <w:pPr>
                    <w:pStyle w:val="143"/>
                    <w:spacing w:line="240" w:lineRule="auto"/>
                    <w:rPr>
                      <w:color w:val="auto"/>
                    </w:rPr>
                  </w:pPr>
                  <w:r>
                    <w:rPr>
                      <w:color w:val="auto"/>
                    </w:rPr>
                    <w:t>900-023-29</w:t>
                  </w:r>
                </w:p>
              </w:tc>
              <w:tc>
                <w:tcPr>
                  <w:tcW w:w="731" w:type="dxa"/>
                  <w:tcBorders>
                    <w:tl2br w:val="nil"/>
                    <w:tr2bl w:val="nil"/>
                  </w:tcBorders>
                  <w:shd w:val="clear" w:color="auto" w:fill="auto"/>
                  <w:vAlign w:val="center"/>
                </w:tcPr>
                <w:p>
                  <w:pPr>
                    <w:pStyle w:val="143"/>
                    <w:spacing w:line="240" w:lineRule="auto"/>
                    <w:rPr>
                      <w:color w:val="auto"/>
                    </w:rPr>
                  </w:pPr>
                  <w:r>
                    <w:rPr>
                      <w:color w:val="auto"/>
                    </w:rPr>
                    <w:t>T</w:t>
                  </w:r>
                </w:p>
              </w:tc>
              <w:tc>
                <w:tcPr>
                  <w:tcW w:w="721" w:type="dxa"/>
                  <w:tcBorders>
                    <w:tl2br w:val="nil"/>
                    <w:tr2bl w:val="nil"/>
                  </w:tcBorders>
                  <w:shd w:val="clear" w:color="auto" w:fill="auto"/>
                  <w:vAlign w:val="center"/>
                </w:tcPr>
                <w:p>
                  <w:pPr>
                    <w:pStyle w:val="143"/>
                    <w:spacing w:line="240" w:lineRule="auto"/>
                    <w:rPr>
                      <w:color w:val="auto"/>
                    </w:rPr>
                  </w:pPr>
                  <w:r>
                    <w:rPr>
                      <w:snapToGrid w:val="0"/>
                      <w:color w:val="auto"/>
                    </w:rPr>
                    <w:t>0.005</w:t>
                  </w:r>
                </w:p>
              </w:tc>
              <w:tc>
                <w:tcPr>
                  <w:tcW w:w="1098" w:type="dxa"/>
                  <w:tcBorders>
                    <w:tl2br w:val="nil"/>
                    <w:tr2bl w:val="nil"/>
                  </w:tcBorders>
                  <w:shd w:val="clear" w:color="auto" w:fill="auto"/>
                  <w:vAlign w:val="center"/>
                </w:tcPr>
                <w:p>
                  <w:pPr>
                    <w:pStyle w:val="143"/>
                    <w:jc w:val="both"/>
                    <w:rPr>
                      <w:color w:val="auto"/>
                    </w:rPr>
                  </w:pPr>
                  <w:r>
                    <w:rPr>
                      <w:color w:val="auto"/>
                    </w:rPr>
                    <w:t>暂存于</w:t>
                  </w:r>
                  <w:r>
                    <w:rPr>
                      <w:bCs/>
                      <w:color w:val="auto"/>
                    </w:rPr>
                    <w:t>危险废物贮存点</w:t>
                  </w:r>
                </w:p>
              </w:tc>
              <w:tc>
                <w:tcPr>
                  <w:tcW w:w="1290" w:type="dxa"/>
                  <w:tcBorders>
                    <w:tl2br w:val="nil"/>
                    <w:tr2bl w:val="nil"/>
                  </w:tcBorders>
                  <w:shd w:val="clear" w:color="auto" w:fill="auto"/>
                  <w:vAlign w:val="center"/>
                </w:tcPr>
                <w:p>
                  <w:pPr>
                    <w:pStyle w:val="143"/>
                    <w:spacing w:line="240" w:lineRule="auto"/>
                    <w:rPr>
                      <w:color w:val="auto"/>
                    </w:rPr>
                  </w:pPr>
                  <w:r>
                    <w:rPr>
                      <w:bCs/>
                      <w:color w:val="auto"/>
                    </w:rPr>
                    <w:t>交</w:t>
                  </w:r>
                  <w:r>
                    <w:rPr>
                      <w:rFonts w:hint="eastAsia"/>
                      <w:bCs/>
                      <w:color w:val="auto"/>
                    </w:rPr>
                    <w:t>有</w:t>
                  </w:r>
                  <w:r>
                    <w:rPr>
                      <w:bCs/>
                      <w:color w:val="auto"/>
                    </w:rPr>
                    <w:t>资质单位处置</w:t>
                  </w:r>
                </w:p>
              </w:tc>
            </w:tr>
          </w:tbl>
          <w:p>
            <w:pPr>
              <w:adjustRightInd/>
              <w:snapToGrid/>
              <w:spacing w:before="120" w:beforeLines="50"/>
              <w:ind w:firstLine="420"/>
              <w:rPr>
                <w:bCs/>
                <w:color w:val="auto"/>
                <w:szCs w:val="21"/>
              </w:rPr>
            </w:pPr>
            <w:r>
              <w:rPr>
                <w:bCs/>
                <w:color w:val="auto"/>
                <w:szCs w:val="21"/>
              </w:rPr>
              <w:t>危险废物汇总见表4-1</w:t>
            </w:r>
            <w:r>
              <w:rPr>
                <w:rFonts w:hint="eastAsia"/>
                <w:bCs/>
                <w:color w:val="auto"/>
                <w:szCs w:val="21"/>
              </w:rPr>
              <w:t>3</w:t>
            </w:r>
            <w:r>
              <w:rPr>
                <w:bCs/>
                <w:color w:val="auto"/>
                <w:szCs w:val="21"/>
              </w:rPr>
              <w:t>。</w:t>
            </w:r>
          </w:p>
          <w:p>
            <w:pPr>
              <w:pStyle w:val="234"/>
              <w:adjustRightInd/>
              <w:snapToGrid/>
              <w:spacing w:before="120"/>
              <w:ind w:firstLine="0" w:firstLineChars="0"/>
              <w:rPr>
                <w:bCs/>
                <w:color w:val="auto"/>
              </w:rPr>
            </w:pPr>
            <w:r>
              <w:rPr>
                <w:bCs/>
                <w:color w:val="auto"/>
              </w:rPr>
              <w:t>表4-1</w:t>
            </w:r>
            <w:r>
              <w:rPr>
                <w:rFonts w:hint="eastAsia"/>
                <w:bCs/>
                <w:color w:val="auto"/>
              </w:rPr>
              <w:t>3</w:t>
            </w:r>
            <w:r>
              <w:rPr>
                <w:bCs/>
                <w:color w:val="auto"/>
              </w:rPr>
              <w:t xml:space="preserve">   危险废物汇总表</w:t>
            </w:r>
          </w:p>
          <w:tbl>
            <w:tblPr>
              <w:tblStyle w:val="40"/>
              <w:tblW w:w="9070"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40"/>
              <w:gridCol w:w="755"/>
              <w:gridCol w:w="1220"/>
              <w:gridCol w:w="811"/>
              <w:gridCol w:w="804"/>
              <w:gridCol w:w="688"/>
              <w:gridCol w:w="878"/>
              <w:gridCol w:w="871"/>
              <w:gridCol w:w="1201"/>
              <w:gridCol w:w="120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0" w:type="dxa"/>
                  <w:tcBorders>
                    <w:tl2br w:val="nil"/>
                    <w:tr2bl w:val="nil"/>
                  </w:tcBorders>
                  <w:vAlign w:val="center"/>
                </w:tcPr>
                <w:p>
                  <w:pPr>
                    <w:pStyle w:val="143"/>
                    <w:rPr>
                      <w:color w:val="auto"/>
                    </w:rPr>
                  </w:pPr>
                  <w:r>
                    <w:rPr>
                      <w:color w:val="auto"/>
                    </w:rPr>
                    <w:t>危险废物名称</w:t>
                  </w:r>
                </w:p>
              </w:tc>
              <w:tc>
                <w:tcPr>
                  <w:tcW w:w="755" w:type="dxa"/>
                  <w:tcBorders>
                    <w:tl2br w:val="nil"/>
                    <w:tr2bl w:val="nil"/>
                  </w:tcBorders>
                  <w:vAlign w:val="center"/>
                </w:tcPr>
                <w:p>
                  <w:pPr>
                    <w:pStyle w:val="143"/>
                    <w:rPr>
                      <w:color w:val="auto"/>
                    </w:rPr>
                  </w:pPr>
                  <w:r>
                    <w:rPr>
                      <w:color w:val="auto"/>
                    </w:rPr>
                    <w:t>危险废物类别</w:t>
                  </w:r>
                </w:p>
              </w:tc>
              <w:tc>
                <w:tcPr>
                  <w:tcW w:w="1220" w:type="dxa"/>
                  <w:tcBorders>
                    <w:tl2br w:val="nil"/>
                    <w:tr2bl w:val="nil"/>
                  </w:tcBorders>
                  <w:vAlign w:val="center"/>
                </w:tcPr>
                <w:p>
                  <w:pPr>
                    <w:pStyle w:val="143"/>
                    <w:rPr>
                      <w:color w:val="auto"/>
                    </w:rPr>
                  </w:pPr>
                  <w:r>
                    <w:rPr>
                      <w:color w:val="auto"/>
                    </w:rPr>
                    <w:t>危险废物代码</w:t>
                  </w:r>
                </w:p>
              </w:tc>
              <w:tc>
                <w:tcPr>
                  <w:tcW w:w="811" w:type="dxa"/>
                  <w:tcBorders>
                    <w:tl2br w:val="nil"/>
                    <w:tr2bl w:val="nil"/>
                  </w:tcBorders>
                  <w:vAlign w:val="center"/>
                </w:tcPr>
                <w:p>
                  <w:pPr>
                    <w:pStyle w:val="143"/>
                    <w:rPr>
                      <w:color w:val="auto"/>
                    </w:rPr>
                  </w:pPr>
                  <w:r>
                    <w:rPr>
                      <w:color w:val="auto"/>
                    </w:rPr>
                    <w:t>产生量（t/a）</w:t>
                  </w:r>
                </w:p>
              </w:tc>
              <w:tc>
                <w:tcPr>
                  <w:tcW w:w="804" w:type="dxa"/>
                  <w:tcBorders>
                    <w:tl2br w:val="nil"/>
                    <w:tr2bl w:val="nil"/>
                  </w:tcBorders>
                  <w:vAlign w:val="center"/>
                </w:tcPr>
                <w:p>
                  <w:pPr>
                    <w:pStyle w:val="143"/>
                    <w:rPr>
                      <w:color w:val="auto"/>
                    </w:rPr>
                  </w:pPr>
                  <w:r>
                    <w:rPr>
                      <w:color w:val="auto"/>
                    </w:rPr>
                    <w:t>主要成分</w:t>
                  </w:r>
                </w:p>
              </w:tc>
              <w:tc>
                <w:tcPr>
                  <w:tcW w:w="688" w:type="dxa"/>
                  <w:tcBorders>
                    <w:tl2br w:val="nil"/>
                    <w:tr2bl w:val="nil"/>
                  </w:tcBorders>
                  <w:vAlign w:val="center"/>
                </w:tcPr>
                <w:p>
                  <w:pPr>
                    <w:pStyle w:val="143"/>
                    <w:rPr>
                      <w:color w:val="auto"/>
                    </w:rPr>
                  </w:pPr>
                  <w:r>
                    <w:rPr>
                      <w:color w:val="auto"/>
                    </w:rPr>
                    <w:t>有害成分</w:t>
                  </w:r>
                </w:p>
              </w:tc>
              <w:tc>
                <w:tcPr>
                  <w:tcW w:w="878" w:type="dxa"/>
                  <w:tcBorders>
                    <w:tl2br w:val="nil"/>
                    <w:tr2bl w:val="nil"/>
                  </w:tcBorders>
                  <w:vAlign w:val="center"/>
                </w:tcPr>
                <w:p>
                  <w:pPr>
                    <w:pStyle w:val="143"/>
                    <w:rPr>
                      <w:color w:val="auto"/>
                    </w:rPr>
                  </w:pPr>
                  <w:r>
                    <w:rPr>
                      <w:color w:val="auto"/>
                    </w:rPr>
                    <w:t>危险</w:t>
                  </w:r>
                </w:p>
                <w:p>
                  <w:pPr>
                    <w:pStyle w:val="143"/>
                    <w:rPr>
                      <w:color w:val="auto"/>
                    </w:rPr>
                  </w:pPr>
                  <w:r>
                    <w:rPr>
                      <w:color w:val="auto"/>
                    </w:rPr>
                    <w:t>特性</w:t>
                  </w:r>
                </w:p>
              </w:tc>
              <w:tc>
                <w:tcPr>
                  <w:tcW w:w="871" w:type="dxa"/>
                  <w:tcBorders>
                    <w:tl2br w:val="nil"/>
                    <w:tr2bl w:val="nil"/>
                  </w:tcBorders>
                  <w:vAlign w:val="center"/>
                </w:tcPr>
                <w:p>
                  <w:pPr>
                    <w:pStyle w:val="143"/>
                    <w:rPr>
                      <w:color w:val="auto"/>
                    </w:rPr>
                  </w:pPr>
                  <w:r>
                    <w:rPr>
                      <w:color w:val="auto"/>
                    </w:rPr>
                    <w:t>产废周期</w:t>
                  </w:r>
                </w:p>
              </w:tc>
              <w:tc>
                <w:tcPr>
                  <w:tcW w:w="1201" w:type="dxa"/>
                  <w:tcBorders>
                    <w:tl2br w:val="nil"/>
                    <w:tr2bl w:val="nil"/>
                  </w:tcBorders>
                  <w:vAlign w:val="center"/>
                </w:tcPr>
                <w:p>
                  <w:pPr>
                    <w:pStyle w:val="143"/>
                    <w:rPr>
                      <w:color w:val="auto"/>
                    </w:rPr>
                  </w:pPr>
                  <w:r>
                    <w:rPr>
                      <w:color w:val="auto"/>
                    </w:rPr>
                    <w:t>贮存方式</w:t>
                  </w:r>
                </w:p>
              </w:tc>
              <w:tc>
                <w:tcPr>
                  <w:tcW w:w="1202" w:type="dxa"/>
                  <w:tcBorders>
                    <w:tl2br w:val="nil"/>
                    <w:tr2bl w:val="nil"/>
                  </w:tcBorders>
                  <w:vAlign w:val="center"/>
                </w:tcPr>
                <w:p>
                  <w:pPr>
                    <w:pStyle w:val="143"/>
                    <w:rPr>
                      <w:color w:val="auto"/>
                    </w:rPr>
                  </w:pPr>
                  <w:r>
                    <w:rPr>
                      <w:color w:val="auto"/>
                    </w:rPr>
                    <w:t>处置去向</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0" w:type="dxa"/>
                  <w:vMerge w:val="restart"/>
                  <w:tcBorders>
                    <w:tl2br w:val="nil"/>
                    <w:tr2bl w:val="nil"/>
                  </w:tcBorders>
                  <w:vAlign w:val="center"/>
                </w:tcPr>
                <w:p>
                  <w:pPr>
                    <w:pStyle w:val="143"/>
                    <w:rPr>
                      <w:color w:val="auto"/>
                    </w:rPr>
                  </w:pPr>
                  <w:r>
                    <w:rPr>
                      <w:color w:val="auto"/>
                    </w:rPr>
                    <w:t>医疗废物</w:t>
                  </w:r>
                </w:p>
              </w:tc>
              <w:tc>
                <w:tcPr>
                  <w:tcW w:w="755" w:type="dxa"/>
                  <w:vMerge w:val="restart"/>
                  <w:tcBorders>
                    <w:tl2br w:val="nil"/>
                    <w:tr2bl w:val="nil"/>
                  </w:tcBorders>
                  <w:vAlign w:val="center"/>
                </w:tcPr>
                <w:p>
                  <w:pPr>
                    <w:pStyle w:val="143"/>
                    <w:rPr>
                      <w:color w:val="auto"/>
                    </w:rPr>
                  </w:pPr>
                  <w:r>
                    <w:rPr>
                      <w:color w:val="auto"/>
                    </w:rPr>
                    <w:t>HW01</w:t>
                  </w:r>
                </w:p>
              </w:tc>
              <w:tc>
                <w:tcPr>
                  <w:tcW w:w="1220" w:type="dxa"/>
                  <w:tcBorders>
                    <w:tl2br w:val="nil"/>
                    <w:tr2bl w:val="nil"/>
                  </w:tcBorders>
                  <w:vAlign w:val="center"/>
                </w:tcPr>
                <w:p>
                  <w:pPr>
                    <w:pStyle w:val="143"/>
                    <w:rPr>
                      <w:color w:val="auto"/>
                    </w:rPr>
                  </w:pPr>
                  <w:r>
                    <w:rPr>
                      <w:color w:val="auto"/>
                    </w:rPr>
                    <w:t>841-001-01</w:t>
                  </w:r>
                </w:p>
              </w:tc>
              <w:tc>
                <w:tcPr>
                  <w:tcW w:w="811" w:type="dxa"/>
                  <w:vMerge w:val="restart"/>
                  <w:tcBorders>
                    <w:tl2br w:val="nil"/>
                    <w:tr2bl w:val="nil"/>
                  </w:tcBorders>
                  <w:vAlign w:val="center"/>
                </w:tcPr>
                <w:p>
                  <w:pPr>
                    <w:pStyle w:val="143"/>
                    <w:rPr>
                      <w:color w:val="auto"/>
                    </w:rPr>
                  </w:pPr>
                  <w:r>
                    <w:rPr>
                      <w:rFonts w:hint="eastAsia"/>
                      <w:color w:val="auto"/>
                    </w:rPr>
                    <w:t>2.117</w:t>
                  </w:r>
                </w:p>
              </w:tc>
              <w:tc>
                <w:tcPr>
                  <w:tcW w:w="804" w:type="dxa"/>
                  <w:vMerge w:val="restart"/>
                  <w:tcBorders>
                    <w:tl2br w:val="nil"/>
                    <w:tr2bl w:val="nil"/>
                  </w:tcBorders>
                  <w:vAlign w:val="center"/>
                </w:tcPr>
                <w:p>
                  <w:pPr>
                    <w:pStyle w:val="143"/>
                    <w:rPr>
                      <w:color w:val="auto"/>
                    </w:rPr>
                  </w:pPr>
                  <w:r>
                    <w:rPr>
                      <w:color w:val="auto"/>
                    </w:rPr>
                    <w:t>玻璃、金属、棉花、塑料等</w:t>
                  </w:r>
                </w:p>
              </w:tc>
              <w:tc>
                <w:tcPr>
                  <w:tcW w:w="688" w:type="dxa"/>
                  <w:vMerge w:val="restart"/>
                  <w:tcBorders>
                    <w:tl2br w:val="nil"/>
                    <w:tr2bl w:val="nil"/>
                  </w:tcBorders>
                  <w:vAlign w:val="center"/>
                </w:tcPr>
                <w:p>
                  <w:pPr>
                    <w:pStyle w:val="143"/>
                    <w:rPr>
                      <w:color w:val="auto"/>
                    </w:rPr>
                  </w:pPr>
                  <w:r>
                    <w:rPr>
                      <w:color w:val="auto"/>
                    </w:rPr>
                    <w:t>体液、血液、</w:t>
                  </w:r>
                  <w:r>
                    <w:rPr>
                      <w:bCs/>
                      <w:color w:val="auto"/>
                    </w:rPr>
                    <w:t>排泄物等</w:t>
                  </w:r>
                </w:p>
              </w:tc>
              <w:tc>
                <w:tcPr>
                  <w:tcW w:w="878" w:type="dxa"/>
                  <w:tcBorders>
                    <w:tl2br w:val="nil"/>
                    <w:tr2bl w:val="nil"/>
                  </w:tcBorders>
                  <w:vAlign w:val="center"/>
                </w:tcPr>
                <w:p>
                  <w:pPr>
                    <w:pStyle w:val="143"/>
                    <w:rPr>
                      <w:color w:val="auto"/>
                    </w:rPr>
                  </w:pPr>
                  <w:r>
                    <w:rPr>
                      <w:color w:val="auto"/>
                    </w:rPr>
                    <w:t>In</w:t>
                  </w:r>
                </w:p>
              </w:tc>
              <w:tc>
                <w:tcPr>
                  <w:tcW w:w="871" w:type="dxa"/>
                  <w:tcBorders>
                    <w:tl2br w:val="nil"/>
                    <w:tr2bl w:val="nil"/>
                  </w:tcBorders>
                  <w:vAlign w:val="center"/>
                </w:tcPr>
                <w:p>
                  <w:pPr>
                    <w:pStyle w:val="143"/>
                    <w:rPr>
                      <w:color w:val="auto"/>
                    </w:rPr>
                  </w:pPr>
                  <w:r>
                    <w:rPr>
                      <w:color w:val="auto"/>
                    </w:rPr>
                    <w:t>每天</w:t>
                  </w:r>
                </w:p>
              </w:tc>
              <w:tc>
                <w:tcPr>
                  <w:tcW w:w="1201" w:type="dxa"/>
                  <w:vMerge w:val="restart"/>
                  <w:tcBorders>
                    <w:tl2br w:val="nil"/>
                    <w:tr2bl w:val="nil"/>
                  </w:tcBorders>
                  <w:vAlign w:val="center"/>
                </w:tcPr>
                <w:p>
                  <w:pPr>
                    <w:pStyle w:val="143"/>
                    <w:jc w:val="both"/>
                    <w:rPr>
                      <w:color w:val="auto"/>
                    </w:rPr>
                  </w:pPr>
                  <w:r>
                    <w:rPr>
                      <w:color w:val="auto"/>
                    </w:rPr>
                    <w:t>采用医疗废物专用包装分类收集后暂存于</w:t>
                  </w:r>
                  <w:r>
                    <w:rPr>
                      <w:bCs/>
                      <w:color w:val="auto"/>
                    </w:rPr>
                    <w:t>危险废物贮存点</w:t>
                  </w:r>
                </w:p>
              </w:tc>
              <w:tc>
                <w:tcPr>
                  <w:tcW w:w="1202" w:type="dxa"/>
                  <w:vMerge w:val="restart"/>
                  <w:tcBorders>
                    <w:tl2br w:val="nil"/>
                    <w:tr2bl w:val="nil"/>
                  </w:tcBorders>
                  <w:vAlign w:val="center"/>
                </w:tcPr>
                <w:p>
                  <w:pPr>
                    <w:pStyle w:val="143"/>
                    <w:spacing w:line="240" w:lineRule="auto"/>
                    <w:rPr>
                      <w:color w:val="auto"/>
                      <w:highlight w:val="none"/>
                    </w:rPr>
                  </w:pPr>
                  <w:r>
                    <w:rPr>
                      <w:bCs/>
                      <w:color w:val="auto"/>
                      <w:highlight w:val="none"/>
                    </w:rPr>
                    <w:t>交</w:t>
                  </w:r>
                  <w:r>
                    <w:rPr>
                      <w:rFonts w:hint="eastAsia"/>
                      <w:bCs/>
                      <w:color w:val="auto"/>
                      <w:highlight w:val="none"/>
                    </w:rPr>
                    <w:t>有</w:t>
                  </w:r>
                  <w:r>
                    <w:rPr>
                      <w:bCs/>
                      <w:color w:val="auto"/>
                      <w:highlight w:val="none"/>
                    </w:rPr>
                    <w:t>资质单位处置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640" w:type="dxa"/>
                  <w:vMerge w:val="continue"/>
                  <w:tcBorders>
                    <w:tl2br w:val="nil"/>
                    <w:tr2bl w:val="nil"/>
                  </w:tcBorders>
                  <w:vAlign w:val="center"/>
                </w:tcPr>
                <w:p>
                  <w:pPr>
                    <w:pStyle w:val="143"/>
                    <w:rPr>
                      <w:color w:val="auto"/>
                    </w:rPr>
                  </w:pPr>
                </w:p>
              </w:tc>
              <w:tc>
                <w:tcPr>
                  <w:tcW w:w="755" w:type="dxa"/>
                  <w:vMerge w:val="continue"/>
                  <w:tcBorders>
                    <w:tl2br w:val="nil"/>
                    <w:tr2bl w:val="nil"/>
                  </w:tcBorders>
                  <w:vAlign w:val="center"/>
                </w:tcPr>
                <w:p>
                  <w:pPr>
                    <w:pStyle w:val="143"/>
                    <w:rPr>
                      <w:color w:val="auto"/>
                    </w:rPr>
                  </w:pPr>
                </w:p>
              </w:tc>
              <w:tc>
                <w:tcPr>
                  <w:tcW w:w="1220" w:type="dxa"/>
                  <w:tcBorders>
                    <w:tl2br w:val="nil"/>
                    <w:tr2bl w:val="nil"/>
                  </w:tcBorders>
                  <w:vAlign w:val="center"/>
                </w:tcPr>
                <w:p>
                  <w:pPr>
                    <w:pStyle w:val="143"/>
                    <w:rPr>
                      <w:color w:val="auto"/>
                    </w:rPr>
                  </w:pPr>
                  <w:r>
                    <w:rPr>
                      <w:color w:val="auto"/>
                    </w:rPr>
                    <w:t>841-002-01</w:t>
                  </w:r>
                </w:p>
              </w:tc>
              <w:tc>
                <w:tcPr>
                  <w:tcW w:w="811" w:type="dxa"/>
                  <w:vMerge w:val="continue"/>
                  <w:tcBorders>
                    <w:tl2br w:val="nil"/>
                    <w:tr2bl w:val="nil"/>
                  </w:tcBorders>
                  <w:vAlign w:val="center"/>
                </w:tcPr>
                <w:p>
                  <w:pPr>
                    <w:pStyle w:val="143"/>
                    <w:rPr>
                      <w:color w:val="auto"/>
                    </w:rPr>
                  </w:pPr>
                </w:p>
              </w:tc>
              <w:tc>
                <w:tcPr>
                  <w:tcW w:w="804" w:type="dxa"/>
                  <w:vMerge w:val="continue"/>
                  <w:tcBorders>
                    <w:tl2br w:val="nil"/>
                    <w:tr2bl w:val="nil"/>
                  </w:tcBorders>
                  <w:vAlign w:val="center"/>
                </w:tcPr>
                <w:p>
                  <w:pPr>
                    <w:pStyle w:val="143"/>
                    <w:rPr>
                      <w:color w:val="auto"/>
                    </w:rPr>
                  </w:pPr>
                </w:p>
              </w:tc>
              <w:tc>
                <w:tcPr>
                  <w:tcW w:w="688" w:type="dxa"/>
                  <w:vMerge w:val="continue"/>
                  <w:tcBorders>
                    <w:tl2br w:val="nil"/>
                    <w:tr2bl w:val="nil"/>
                  </w:tcBorders>
                  <w:vAlign w:val="center"/>
                </w:tcPr>
                <w:p>
                  <w:pPr>
                    <w:pStyle w:val="143"/>
                    <w:rPr>
                      <w:color w:val="auto"/>
                    </w:rPr>
                  </w:pPr>
                </w:p>
              </w:tc>
              <w:tc>
                <w:tcPr>
                  <w:tcW w:w="878" w:type="dxa"/>
                  <w:tcBorders>
                    <w:tl2br w:val="nil"/>
                    <w:tr2bl w:val="nil"/>
                  </w:tcBorders>
                  <w:vAlign w:val="center"/>
                </w:tcPr>
                <w:p>
                  <w:pPr>
                    <w:pStyle w:val="143"/>
                    <w:rPr>
                      <w:color w:val="auto"/>
                    </w:rPr>
                  </w:pPr>
                  <w:r>
                    <w:rPr>
                      <w:color w:val="auto"/>
                    </w:rPr>
                    <w:t>In</w:t>
                  </w:r>
                </w:p>
              </w:tc>
              <w:tc>
                <w:tcPr>
                  <w:tcW w:w="871" w:type="dxa"/>
                  <w:tcBorders>
                    <w:tl2br w:val="nil"/>
                    <w:tr2bl w:val="nil"/>
                  </w:tcBorders>
                  <w:vAlign w:val="center"/>
                </w:tcPr>
                <w:p>
                  <w:pPr>
                    <w:pStyle w:val="143"/>
                    <w:rPr>
                      <w:color w:val="auto"/>
                    </w:rPr>
                  </w:pPr>
                  <w:r>
                    <w:rPr>
                      <w:color w:val="auto"/>
                    </w:rPr>
                    <w:t>每天</w:t>
                  </w:r>
                </w:p>
              </w:tc>
              <w:tc>
                <w:tcPr>
                  <w:tcW w:w="1201" w:type="dxa"/>
                  <w:vMerge w:val="continue"/>
                  <w:tcBorders>
                    <w:tl2br w:val="nil"/>
                    <w:tr2bl w:val="nil"/>
                  </w:tcBorders>
                  <w:vAlign w:val="center"/>
                </w:tcPr>
                <w:p>
                  <w:pPr>
                    <w:pStyle w:val="143"/>
                    <w:rPr>
                      <w:color w:val="auto"/>
                    </w:rPr>
                  </w:pPr>
                </w:p>
              </w:tc>
              <w:tc>
                <w:tcPr>
                  <w:tcW w:w="1202" w:type="dxa"/>
                  <w:vMerge w:val="continue"/>
                  <w:tcBorders>
                    <w:tl2br w:val="nil"/>
                    <w:tr2bl w:val="nil"/>
                  </w:tcBorders>
                  <w:vAlign w:val="center"/>
                </w:tcPr>
                <w:p>
                  <w:pPr>
                    <w:pStyle w:val="143"/>
                    <w:spacing w:line="240" w:lineRule="auto"/>
                    <w:rPr>
                      <w:color w:val="auto"/>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640" w:type="dxa"/>
                  <w:vMerge w:val="continue"/>
                  <w:tcBorders>
                    <w:tl2br w:val="nil"/>
                    <w:tr2bl w:val="nil"/>
                  </w:tcBorders>
                  <w:vAlign w:val="center"/>
                </w:tcPr>
                <w:p>
                  <w:pPr>
                    <w:pStyle w:val="143"/>
                    <w:rPr>
                      <w:color w:val="auto"/>
                    </w:rPr>
                  </w:pPr>
                </w:p>
              </w:tc>
              <w:tc>
                <w:tcPr>
                  <w:tcW w:w="755" w:type="dxa"/>
                  <w:vMerge w:val="continue"/>
                  <w:tcBorders>
                    <w:tl2br w:val="nil"/>
                    <w:tr2bl w:val="nil"/>
                  </w:tcBorders>
                  <w:vAlign w:val="center"/>
                </w:tcPr>
                <w:p>
                  <w:pPr>
                    <w:pStyle w:val="143"/>
                    <w:rPr>
                      <w:color w:val="auto"/>
                    </w:rPr>
                  </w:pPr>
                </w:p>
              </w:tc>
              <w:tc>
                <w:tcPr>
                  <w:tcW w:w="1220" w:type="dxa"/>
                  <w:tcBorders>
                    <w:tl2br w:val="nil"/>
                    <w:tr2bl w:val="nil"/>
                  </w:tcBorders>
                  <w:vAlign w:val="center"/>
                </w:tcPr>
                <w:p>
                  <w:pPr>
                    <w:pStyle w:val="143"/>
                    <w:rPr>
                      <w:color w:val="auto"/>
                    </w:rPr>
                  </w:pPr>
                  <w:r>
                    <w:rPr>
                      <w:color w:val="auto"/>
                    </w:rPr>
                    <w:t>841-003-01</w:t>
                  </w:r>
                </w:p>
              </w:tc>
              <w:tc>
                <w:tcPr>
                  <w:tcW w:w="811" w:type="dxa"/>
                  <w:vMerge w:val="continue"/>
                  <w:tcBorders>
                    <w:tl2br w:val="nil"/>
                    <w:tr2bl w:val="nil"/>
                  </w:tcBorders>
                  <w:vAlign w:val="center"/>
                </w:tcPr>
                <w:p>
                  <w:pPr>
                    <w:pStyle w:val="143"/>
                    <w:rPr>
                      <w:bCs/>
                      <w:color w:val="auto"/>
                    </w:rPr>
                  </w:pPr>
                </w:p>
              </w:tc>
              <w:tc>
                <w:tcPr>
                  <w:tcW w:w="804" w:type="dxa"/>
                  <w:vMerge w:val="continue"/>
                  <w:tcBorders>
                    <w:tl2br w:val="nil"/>
                    <w:tr2bl w:val="nil"/>
                  </w:tcBorders>
                  <w:vAlign w:val="center"/>
                </w:tcPr>
                <w:p>
                  <w:pPr>
                    <w:pStyle w:val="143"/>
                    <w:rPr>
                      <w:color w:val="auto"/>
                    </w:rPr>
                  </w:pPr>
                </w:p>
              </w:tc>
              <w:tc>
                <w:tcPr>
                  <w:tcW w:w="688" w:type="dxa"/>
                  <w:vMerge w:val="continue"/>
                  <w:tcBorders>
                    <w:tl2br w:val="nil"/>
                    <w:tr2bl w:val="nil"/>
                  </w:tcBorders>
                  <w:vAlign w:val="center"/>
                </w:tcPr>
                <w:p>
                  <w:pPr>
                    <w:pStyle w:val="143"/>
                    <w:rPr>
                      <w:color w:val="auto"/>
                    </w:rPr>
                  </w:pPr>
                </w:p>
              </w:tc>
              <w:tc>
                <w:tcPr>
                  <w:tcW w:w="878" w:type="dxa"/>
                  <w:tcBorders>
                    <w:tl2br w:val="nil"/>
                    <w:tr2bl w:val="nil"/>
                  </w:tcBorders>
                  <w:vAlign w:val="center"/>
                </w:tcPr>
                <w:p>
                  <w:pPr>
                    <w:pStyle w:val="143"/>
                    <w:rPr>
                      <w:color w:val="auto"/>
                    </w:rPr>
                  </w:pPr>
                  <w:r>
                    <w:rPr>
                      <w:color w:val="auto"/>
                    </w:rPr>
                    <w:t>In</w:t>
                  </w:r>
                </w:p>
              </w:tc>
              <w:tc>
                <w:tcPr>
                  <w:tcW w:w="871" w:type="dxa"/>
                  <w:tcBorders>
                    <w:tl2br w:val="nil"/>
                    <w:tr2bl w:val="nil"/>
                  </w:tcBorders>
                  <w:vAlign w:val="center"/>
                </w:tcPr>
                <w:p>
                  <w:pPr>
                    <w:pStyle w:val="143"/>
                    <w:rPr>
                      <w:color w:val="auto"/>
                    </w:rPr>
                  </w:pPr>
                  <w:r>
                    <w:rPr>
                      <w:color w:val="auto"/>
                    </w:rPr>
                    <w:t>每天</w:t>
                  </w:r>
                </w:p>
              </w:tc>
              <w:tc>
                <w:tcPr>
                  <w:tcW w:w="1201" w:type="dxa"/>
                  <w:vMerge w:val="continue"/>
                  <w:tcBorders>
                    <w:tl2br w:val="nil"/>
                    <w:tr2bl w:val="nil"/>
                  </w:tcBorders>
                  <w:vAlign w:val="center"/>
                </w:tcPr>
                <w:p>
                  <w:pPr>
                    <w:pStyle w:val="143"/>
                    <w:rPr>
                      <w:color w:val="auto"/>
                    </w:rPr>
                  </w:pPr>
                </w:p>
              </w:tc>
              <w:tc>
                <w:tcPr>
                  <w:tcW w:w="1202" w:type="dxa"/>
                  <w:vMerge w:val="continue"/>
                  <w:tcBorders>
                    <w:tl2br w:val="nil"/>
                    <w:tr2bl w:val="nil"/>
                  </w:tcBorders>
                  <w:vAlign w:val="center"/>
                </w:tcPr>
                <w:p>
                  <w:pPr>
                    <w:pStyle w:val="143"/>
                    <w:spacing w:line="240" w:lineRule="auto"/>
                    <w:jc w:val="both"/>
                    <w:rPr>
                      <w:color w:val="auto"/>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640" w:type="dxa"/>
                  <w:vMerge w:val="continue"/>
                  <w:tcBorders>
                    <w:tl2br w:val="nil"/>
                    <w:tr2bl w:val="nil"/>
                  </w:tcBorders>
                  <w:vAlign w:val="center"/>
                </w:tcPr>
                <w:p>
                  <w:pPr>
                    <w:pStyle w:val="143"/>
                    <w:rPr>
                      <w:color w:val="auto"/>
                    </w:rPr>
                  </w:pPr>
                </w:p>
              </w:tc>
              <w:tc>
                <w:tcPr>
                  <w:tcW w:w="755" w:type="dxa"/>
                  <w:vMerge w:val="continue"/>
                  <w:tcBorders>
                    <w:tl2br w:val="nil"/>
                    <w:tr2bl w:val="nil"/>
                  </w:tcBorders>
                  <w:vAlign w:val="center"/>
                </w:tcPr>
                <w:p>
                  <w:pPr>
                    <w:pStyle w:val="143"/>
                    <w:rPr>
                      <w:color w:val="auto"/>
                    </w:rPr>
                  </w:pPr>
                </w:p>
              </w:tc>
              <w:tc>
                <w:tcPr>
                  <w:tcW w:w="1220" w:type="dxa"/>
                  <w:tcBorders>
                    <w:tl2br w:val="nil"/>
                    <w:tr2bl w:val="nil"/>
                  </w:tcBorders>
                  <w:vAlign w:val="center"/>
                </w:tcPr>
                <w:p>
                  <w:pPr>
                    <w:pStyle w:val="143"/>
                    <w:rPr>
                      <w:color w:val="auto"/>
                    </w:rPr>
                  </w:pPr>
                  <w:r>
                    <w:rPr>
                      <w:color w:val="auto"/>
                    </w:rPr>
                    <w:t>841-004-01</w:t>
                  </w:r>
                </w:p>
              </w:tc>
              <w:tc>
                <w:tcPr>
                  <w:tcW w:w="811" w:type="dxa"/>
                  <w:vMerge w:val="continue"/>
                  <w:tcBorders>
                    <w:tl2br w:val="nil"/>
                    <w:tr2bl w:val="nil"/>
                  </w:tcBorders>
                  <w:vAlign w:val="center"/>
                </w:tcPr>
                <w:p>
                  <w:pPr>
                    <w:pStyle w:val="143"/>
                    <w:rPr>
                      <w:bCs/>
                      <w:color w:val="auto"/>
                    </w:rPr>
                  </w:pPr>
                </w:p>
              </w:tc>
              <w:tc>
                <w:tcPr>
                  <w:tcW w:w="804" w:type="dxa"/>
                  <w:vMerge w:val="continue"/>
                  <w:tcBorders>
                    <w:tl2br w:val="nil"/>
                    <w:tr2bl w:val="nil"/>
                  </w:tcBorders>
                  <w:vAlign w:val="center"/>
                </w:tcPr>
                <w:p>
                  <w:pPr>
                    <w:pStyle w:val="143"/>
                    <w:rPr>
                      <w:color w:val="auto"/>
                    </w:rPr>
                  </w:pPr>
                </w:p>
              </w:tc>
              <w:tc>
                <w:tcPr>
                  <w:tcW w:w="688" w:type="dxa"/>
                  <w:vMerge w:val="continue"/>
                  <w:tcBorders>
                    <w:tl2br w:val="nil"/>
                    <w:tr2bl w:val="nil"/>
                  </w:tcBorders>
                  <w:vAlign w:val="center"/>
                </w:tcPr>
                <w:p>
                  <w:pPr>
                    <w:pStyle w:val="143"/>
                    <w:rPr>
                      <w:color w:val="auto"/>
                    </w:rPr>
                  </w:pPr>
                </w:p>
              </w:tc>
              <w:tc>
                <w:tcPr>
                  <w:tcW w:w="878" w:type="dxa"/>
                  <w:tcBorders>
                    <w:tl2br w:val="nil"/>
                    <w:tr2bl w:val="nil"/>
                  </w:tcBorders>
                  <w:vAlign w:val="center"/>
                </w:tcPr>
                <w:p>
                  <w:pPr>
                    <w:pStyle w:val="143"/>
                    <w:rPr>
                      <w:color w:val="auto"/>
                    </w:rPr>
                  </w:pPr>
                  <w:r>
                    <w:rPr>
                      <w:color w:val="auto"/>
                    </w:rPr>
                    <w:t>T/C/I/R</w:t>
                  </w:r>
                </w:p>
              </w:tc>
              <w:tc>
                <w:tcPr>
                  <w:tcW w:w="871" w:type="dxa"/>
                  <w:tcBorders>
                    <w:tl2br w:val="nil"/>
                    <w:tr2bl w:val="nil"/>
                  </w:tcBorders>
                  <w:vAlign w:val="center"/>
                </w:tcPr>
                <w:p>
                  <w:pPr>
                    <w:pStyle w:val="143"/>
                    <w:rPr>
                      <w:color w:val="auto"/>
                    </w:rPr>
                  </w:pPr>
                  <w:r>
                    <w:rPr>
                      <w:color w:val="auto"/>
                    </w:rPr>
                    <w:t>每</w:t>
                  </w:r>
                  <w:r>
                    <w:rPr>
                      <w:rFonts w:hint="eastAsia"/>
                      <w:color w:val="auto"/>
                      <w:lang w:val="en-US" w:eastAsia="zh-CN"/>
                    </w:rPr>
                    <w:t>2年</w:t>
                  </w:r>
                </w:p>
              </w:tc>
              <w:tc>
                <w:tcPr>
                  <w:tcW w:w="1201" w:type="dxa"/>
                  <w:vMerge w:val="continue"/>
                  <w:tcBorders>
                    <w:tl2br w:val="nil"/>
                    <w:tr2bl w:val="nil"/>
                  </w:tcBorders>
                  <w:vAlign w:val="center"/>
                </w:tcPr>
                <w:p>
                  <w:pPr>
                    <w:pStyle w:val="143"/>
                    <w:rPr>
                      <w:color w:val="auto"/>
                    </w:rPr>
                  </w:pPr>
                </w:p>
              </w:tc>
              <w:tc>
                <w:tcPr>
                  <w:tcW w:w="1202" w:type="dxa"/>
                  <w:vMerge w:val="continue"/>
                  <w:tcBorders>
                    <w:tl2br w:val="nil"/>
                    <w:tr2bl w:val="nil"/>
                  </w:tcBorders>
                  <w:vAlign w:val="center"/>
                </w:tcPr>
                <w:p>
                  <w:pPr>
                    <w:pStyle w:val="143"/>
                    <w:spacing w:line="240" w:lineRule="auto"/>
                    <w:rPr>
                      <w:color w:val="auto"/>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continue"/>
                  <w:tcBorders>
                    <w:tl2br w:val="nil"/>
                    <w:tr2bl w:val="nil"/>
                  </w:tcBorders>
                  <w:vAlign w:val="center"/>
                </w:tcPr>
                <w:p>
                  <w:pPr>
                    <w:pStyle w:val="143"/>
                    <w:rPr>
                      <w:color w:val="auto"/>
                    </w:rPr>
                  </w:pPr>
                </w:p>
              </w:tc>
              <w:tc>
                <w:tcPr>
                  <w:tcW w:w="755" w:type="dxa"/>
                  <w:vMerge w:val="continue"/>
                  <w:tcBorders>
                    <w:tl2br w:val="nil"/>
                    <w:tr2bl w:val="nil"/>
                  </w:tcBorders>
                  <w:vAlign w:val="center"/>
                </w:tcPr>
                <w:p>
                  <w:pPr>
                    <w:pStyle w:val="143"/>
                    <w:rPr>
                      <w:color w:val="auto"/>
                    </w:rPr>
                  </w:pPr>
                </w:p>
              </w:tc>
              <w:tc>
                <w:tcPr>
                  <w:tcW w:w="1220" w:type="dxa"/>
                  <w:tcBorders>
                    <w:tl2br w:val="nil"/>
                    <w:tr2bl w:val="nil"/>
                  </w:tcBorders>
                  <w:vAlign w:val="center"/>
                </w:tcPr>
                <w:p>
                  <w:pPr>
                    <w:pStyle w:val="143"/>
                    <w:rPr>
                      <w:color w:val="auto"/>
                    </w:rPr>
                  </w:pPr>
                  <w:r>
                    <w:rPr>
                      <w:color w:val="auto"/>
                    </w:rPr>
                    <w:t>841-005-01</w:t>
                  </w:r>
                </w:p>
              </w:tc>
              <w:tc>
                <w:tcPr>
                  <w:tcW w:w="811" w:type="dxa"/>
                  <w:vMerge w:val="continue"/>
                  <w:tcBorders>
                    <w:tl2br w:val="nil"/>
                    <w:tr2bl w:val="nil"/>
                  </w:tcBorders>
                  <w:vAlign w:val="center"/>
                </w:tcPr>
                <w:p>
                  <w:pPr>
                    <w:pStyle w:val="143"/>
                    <w:rPr>
                      <w:color w:val="auto"/>
                    </w:rPr>
                  </w:pPr>
                </w:p>
              </w:tc>
              <w:tc>
                <w:tcPr>
                  <w:tcW w:w="804" w:type="dxa"/>
                  <w:vMerge w:val="continue"/>
                  <w:tcBorders>
                    <w:tl2br w:val="nil"/>
                    <w:tr2bl w:val="nil"/>
                  </w:tcBorders>
                  <w:vAlign w:val="center"/>
                </w:tcPr>
                <w:p>
                  <w:pPr>
                    <w:pStyle w:val="143"/>
                    <w:rPr>
                      <w:color w:val="auto"/>
                    </w:rPr>
                  </w:pPr>
                </w:p>
              </w:tc>
              <w:tc>
                <w:tcPr>
                  <w:tcW w:w="688" w:type="dxa"/>
                  <w:vMerge w:val="continue"/>
                  <w:tcBorders>
                    <w:tl2br w:val="nil"/>
                    <w:tr2bl w:val="nil"/>
                  </w:tcBorders>
                  <w:vAlign w:val="center"/>
                </w:tcPr>
                <w:p>
                  <w:pPr>
                    <w:pStyle w:val="143"/>
                    <w:rPr>
                      <w:color w:val="auto"/>
                    </w:rPr>
                  </w:pPr>
                </w:p>
              </w:tc>
              <w:tc>
                <w:tcPr>
                  <w:tcW w:w="878" w:type="dxa"/>
                  <w:tcBorders>
                    <w:tl2br w:val="nil"/>
                    <w:tr2bl w:val="nil"/>
                  </w:tcBorders>
                  <w:vAlign w:val="center"/>
                </w:tcPr>
                <w:p>
                  <w:pPr>
                    <w:pStyle w:val="143"/>
                    <w:rPr>
                      <w:color w:val="auto"/>
                    </w:rPr>
                  </w:pPr>
                  <w:r>
                    <w:rPr>
                      <w:color w:val="auto"/>
                    </w:rPr>
                    <w:t>T</w:t>
                  </w:r>
                </w:p>
              </w:tc>
              <w:tc>
                <w:tcPr>
                  <w:tcW w:w="871" w:type="dxa"/>
                  <w:tcBorders>
                    <w:tl2br w:val="nil"/>
                    <w:tr2bl w:val="nil"/>
                  </w:tcBorders>
                  <w:shd w:val="clear" w:color="auto" w:fill="auto"/>
                  <w:vAlign w:val="center"/>
                </w:tcPr>
                <w:p>
                  <w:pPr>
                    <w:pStyle w:val="143"/>
                    <w:rPr>
                      <w:rFonts w:ascii="Times New Roman" w:hAnsi="Times New Roman" w:eastAsia="宋体" w:cs="Times New Roman"/>
                      <w:color w:val="auto"/>
                      <w:sz w:val="21"/>
                      <w:szCs w:val="21"/>
                      <w:lang w:val="en-US" w:eastAsia="zh-CN" w:bidi="ar-SA"/>
                    </w:rPr>
                  </w:pPr>
                  <w:r>
                    <w:rPr>
                      <w:color w:val="auto"/>
                    </w:rPr>
                    <w:t>每</w:t>
                  </w:r>
                  <w:r>
                    <w:rPr>
                      <w:rFonts w:hint="eastAsia"/>
                      <w:color w:val="auto"/>
                      <w:lang w:val="en-US" w:eastAsia="zh-CN"/>
                    </w:rPr>
                    <w:t>2年</w:t>
                  </w:r>
                </w:p>
              </w:tc>
              <w:tc>
                <w:tcPr>
                  <w:tcW w:w="1201" w:type="dxa"/>
                  <w:vMerge w:val="continue"/>
                  <w:tcBorders>
                    <w:tl2br w:val="nil"/>
                    <w:tr2bl w:val="nil"/>
                  </w:tcBorders>
                  <w:vAlign w:val="center"/>
                </w:tcPr>
                <w:p>
                  <w:pPr>
                    <w:pStyle w:val="143"/>
                    <w:rPr>
                      <w:color w:val="auto"/>
                    </w:rPr>
                  </w:pPr>
                </w:p>
              </w:tc>
              <w:tc>
                <w:tcPr>
                  <w:tcW w:w="1202" w:type="dxa"/>
                  <w:vMerge w:val="continue"/>
                  <w:tcBorders>
                    <w:tl2br w:val="nil"/>
                    <w:tr2bl w:val="nil"/>
                  </w:tcBorders>
                  <w:vAlign w:val="center"/>
                </w:tcPr>
                <w:p>
                  <w:pPr>
                    <w:pStyle w:val="143"/>
                    <w:spacing w:line="240" w:lineRule="auto"/>
                    <w:rPr>
                      <w:color w:val="auto"/>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tcBorders>
                    <w:tl2br w:val="nil"/>
                    <w:tr2bl w:val="nil"/>
                  </w:tcBorders>
                  <w:shd w:val="clear" w:color="auto" w:fill="auto"/>
                  <w:vAlign w:val="center"/>
                </w:tcPr>
                <w:p>
                  <w:pPr>
                    <w:pStyle w:val="143"/>
                    <w:rPr>
                      <w:color w:val="auto"/>
                    </w:rPr>
                  </w:pPr>
                  <w:r>
                    <w:rPr>
                      <w:color w:val="auto"/>
                    </w:rPr>
                    <w:t>废紫外线灯管</w:t>
                  </w:r>
                </w:p>
              </w:tc>
              <w:tc>
                <w:tcPr>
                  <w:tcW w:w="755" w:type="dxa"/>
                  <w:tcBorders>
                    <w:tl2br w:val="nil"/>
                    <w:tr2bl w:val="nil"/>
                  </w:tcBorders>
                  <w:vAlign w:val="center"/>
                </w:tcPr>
                <w:p>
                  <w:pPr>
                    <w:pStyle w:val="143"/>
                    <w:rPr>
                      <w:color w:val="auto"/>
                    </w:rPr>
                  </w:pPr>
                  <w:r>
                    <w:rPr>
                      <w:color w:val="auto"/>
                    </w:rPr>
                    <w:t>HW29</w:t>
                  </w:r>
                </w:p>
              </w:tc>
              <w:tc>
                <w:tcPr>
                  <w:tcW w:w="1220" w:type="dxa"/>
                  <w:tcBorders>
                    <w:tl2br w:val="nil"/>
                    <w:tr2bl w:val="nil"/>
                  </w:tcBorders>
                  <w:vAlign w:val="center"/>
                </w:tcPr>
                <w:p>
                  <w:pPr>
                    <w:pStyle w:val="143"/>
                    <w:rPr>
                      <w:color w:val="auto"/>
                    </w:rPr>
                  </w:pPr>
                  <w:r>
                    <w:rPr>
                      <w:color w:val="auto"/>
                    </w:rPr>
                    <w:t>900-023-29</w:t>
                  </w:r>
                </w:p>
              </w:tc>
              <w:tc>
                <w:tcPr>
                  <w:tcW w:w="811" w:type="dxa"/>
                  <w:tcBorders>
                    <w:tl2br w:val="nil"/>
                    <w:tr2bl w:val="nil"/>
                  </w:tcBorders>
                  <w:vAlign w:val="center"/>
                </w:tcPr>
                <w:p>
                  <w:pPr>
                    <w:pStyle w:val="143"/>
                    <w:rPr>
                      <w:bCs/>
                      <w:color w:val="auto"/>
                    </w:rPr>
                  </w:pPr>
                  <w:r>
                    <w:rPr>
                      <w:bCs/>
                      <w:color w:val="auto"/>
                    </w:rPr>
                    <w:t>0.005</w:t>
                  </w:r>
                </w:p>
              </w:tc>
              <w:tc>
                <w:tcPr>
                  <w:tcW w:w="804" w:type="dxa"/>
                  <w:tcBorders>
                    <w:tl2br w:val="nil"/>
                    <w:tr2bl w:val="nil"/>
                  </w:tcBorders>
                  <w:vAlign w:val="center"/>
                </w:tcPr>
                <w:p>
                  <w:pPr>
                    <w:pStyle w:val="143"/>
                    <w:rPr>
                      <w:color w:val="auto"/>
                    </w:rPr>
                  </w:pPr>
                  <w:r>
                    <w:rPr>
                      <w:color w:val="auto"/>
                    </w:rPr>
                    <w:t>玻璃、汞</w:t>
                  </w:r>
                </w:p>
              </w:tc>
              <w:tc>
                <w:tcPr>
                  <w:tcW w:w="688" w:type="dxa"/>
                  <w:tcBorders>
                    <w:tl2br w:val="nil"/>
                    <w:tr2bl w:val="nil"/>
                  </w:tcBorders>
                  <w:vAlign w:val="center"/>
                </w:tcPr>
                <w:p>
                  <w:pPr>
                    <w:pStyle w:val="143"/>
                    <w:rPr>
                      <w:color w:val="auto"/>
                    </w:rPr>
                  </w:pPr>
                  <w:r>
                    <w:rPr>
                      <w:color w:val="auto"/>
                    </w:rPr>
                    <w:t>汞</w:t>
                  </w:r>
                </w:p>
              </w:tc>
              <w:tc>
                <w:tcPr>
                  <w:tcW w:w="878" w:type="dxa"/>
                  <w:tcBorders>
                    <w:tl2br w:val="nil"/>
                    <w:tr2bl w:val="nil"/>
                  </w:tcBorders>
                  <w:vAlign w:val="center"/>
                </w:tcPr>
                <w:p>
                  <w:pPr>
                    <w:pStyle w:val="143"/>
                    <w:rPr>
                      <w:color w:val="auto"/>
                    </w:rPr>
                  </w:pPr>
                  <w:r>
                    <w:rPr>
                      <w:color w:val="auto"/>
                    </w:rPr>
                    <w:t>T</w:t>
                  </w:r>
                </w:p>
              </w:tc>
              <w:tc>
                <w:tcPr>
                  <w:tcW w:w="871" w:type="dxa"/>
                  <w:tcBorders>
                    <w:tl2br w:val="nil"/>
                    <w:tr2bl w:val="nil"/>
                  </w:tcBorders>
                  <w:vAlign w:val="center"/>
                </w:tcPr>
                <w:p>
                  <w:pPr>
                    <w:pStyle w:val="143"/>
                    <w:rPr>
                      <w:color w:val="auto"/>
                    </w:rPr>
                  </w:pPr>
                  <w:r>
                    <w:rPr>
                      <w:color w:val="auto"/>
                    </w:rPr>
                    <w:t>每2</w:t>
                  </w:r>
                  <w:r>
                    <w:rPr>
                      <w:rFonts w:hint="eastAsia"/>
                      <w:color w:val="auto"/>
                      <w:lang w:val="en-US" w:eastAsia="zh-CN"/>
                    </w:rPr>
                    <w:t>~3年</w:t>
                  </w:r>
                </w:p>
              </w:tc>
              <w:tc>
                <w:tcPr>
                  <w:tcW w:w="1201" w:type="dxa"/>
                  <w:tcBorders>
                    <w:tl2br w:val="nil"/>
                    <w:tr2bl w:val="nil"/>
                  </w:tcBorders>
                  <w:vAlign w:val="center"/>
                </w:tcPr>
                <w:p>
                  <w:pPr>
                    <w:pStyle w:val="143"/>
                    <w:jc w:val="both"/>
                    <w:rPr>
                      <w:color w:val="auto"/>
                    </w:rPr>
                  </w:pPr>
                  <w:r>
                    <w:rPr>
                      <w:color w:val="auto"/>
                    </w:rPr>
                    <w:t>暂存于</w:t>
                  </w:r>
                  <w:r>
                    <w:rPr>
                      <w:bCs/>
                      <w:color w:val="auto"/>
                    </w:rPr>
                    <w:t>危险废物贮存点</w:t>
                  </w:r>
                </w:p>
              </w:tc>
              <w:tc>
                <w:tcPr>
                  <w:tcW w:w="1202" w:type="dxa"/>
                  <w:tcBorders>
                    <w:tl2br w:val="nil"/>
                    <w:tr2bl w:val="nil"/>
                  </w:tcBorders>
                  <w:vAlign w:val="center"/>
                </w:tcPr>
                <w:p>
                  <w:pPr>
                    <w:pStyle w:val="143"/>
                    <w:rPr>
                      <w:color w:val="auto"/>
                    </w:rPr>
                  </w:pPr>
                  <w:r>
                    <w:rPr>
                      <w:bCs/>
                      <w:color w:val="auto"/>
                    </w:rPr>
                    <w:t>交</w:t>
                  </w:r>
                  <w:r>
                    <w:rPr>
                      <w:rFonts w:hint="eastAsia"/>
                      <w:bCs/>
                      <w:color w:val="auto"/>
                      <w:lang w:val="en-US" w:eastAsia="zh-CN"/>
                    </w:rPr>
                    <w:t>有</w:t>
                  </w:r>
                  <w:r>
                    <w:rPr>
                      <w:bCs/>
                      <w:color w:val="auto"/>
                    </w:rPr>
                    <w:t>资质单位处置</w:t>
                  </w:r>
                </w:p>
              </w:tc>
            </w:tr>
          </w:tbl>
          <w:p>
            <w:pPr>
              <w:spacing w:before="120" w:beforeLines="50"/>
              <w:ind w:firstLine="422"/>
              <w:rPr>
                <w:b/>
                <w:bCs/>
                <w:color w:val="auto"/>
                <w:szCs w:val="21"/>
              </w:rPr>
            </w:pPr>
            <w:r>
              <w:rPr>
                <w:b/>
                <w:bCs/>
                <w:color w:val="auto"/>
                <w:szCs w:val="21"/>
              </w:rPr>
              <w:t>（2）管理要求</w:t>
            </w:r>
          </w:p>
          <w:p>
            <w:pPr>
              <w:ind w:firstLine="420"/>
              <w:rPr>
                <w:bCs/>
                <w:color w:val="auto"/>
                <w:szCs w:val="21"/>
                <w:highlight w:val="none"/>
              </w:rPr>
            </w:pPr>
            <w:r>
              <w:rPr>
                <w:bCs/>
                <w:color w:val="auto"/>
                <w:szCs w:val="21"/>
                <w:highlight w:val="none"/>
              </w:rPr>
              <w:t>1）危险废物贮存点</w:t>
            </w:r>
          </w:p>
          <w:p>
            <w:pPr>
              <w:ind w:firstLine="420"/>
              <w:rPr>
                <w:bCs/>
                <w:color w:val="auto"/>
                <w:szCs w:val="21"/>
              </w:rPr>
            </w:pPr>
            <w:r>
              <w:rPr>
                <w:rFonts w:hint="eastAsia"/>
                <w:color w:val="auto"/>
                <w:kern w:val="0"/>
                <w:szCs w:val="21"/>
                <w:highlight w:val="none"/>
                <w:lang w:bidi="ar"/>
              </w:rPr>
              <w:t>现有</w:t>
            </w:r>
            <w:r>
              <w:rPr>
                <w:color w:val="auto"/>
                <w:kern w:val="0"/>
                <w:szCs w:val="21"/>
                <w:highlight w:val="none"/>
                <w:lang w:bidi="ar"/>
              </w:rPr>
              <w:t>项目仅</w:t>
            </w:r>
            <w:r>
              <w:rPr>
                <w:rFonts w:hint="eastAsia"/>
                <w:color w:val="auto"/>
                <w:kern w:val="0"/>
                <w:szCs w:val="21"/>
                <w:highlight w:val="none"/>
                <w:lang w:bidi="ar"/>
              </w:rPr>
              <w:t>在</w:t>
            </w:r>
            <w:r>
              <w:rPr>
                <w:color w:val="auto"/>
                <w:kern w:val="0"/>
                <w:highlight w:val="none"/>
              </w:rPr>
              <w:t>诊室、</w:t>
            </w:r>
            <w:r>
              <w:rPr>
                <w:color w:val="auto"/>
                <w:highlight w:val="none"/>
              </w:rPr>
              <w:t>手术室、住院部等</w:t>
            </w:r>
            <w:r>
              <w:rPr>
                <w:rFonts w:hint="eastAsia"/>
                <w:color w:val="auto"/>
                <w:highlight w:val="none"/>
              </w:rPr>
              <w:t>产生点</w:t>
            </w:r>
            <w:r>
              <w:rPr>
                <w:rFonts w:hint="eastAsia"/>
                <w:color w:val="auto"/>
                <w:kern w:val="0"/>
                <w:szCs w:val="21"/>
                <w:highlight w:val="none"/>
                <w:lang w:bidi="ar"/>
              </w:rPr>
              <w:t>设置医疗废物专用收集桶分类收集</w:t>
            </w:r>
            <w:r>
              <w:rPr>
                <w:color w:val="auto"/>
                <w:kern w:val="0"/>
                <w:szCs w:val="21"/>
                <w:highlight w:val="none"/>
                <w:lang w:bidi="ar"/>
              </w:rPr>
              <w:t>医疗废物</w:t>
            </w:r>
            <w:r>
              <w:rPr>
                <w:rFonts w:hint="eastAsia"/>
                <w:color w:val="auto"/>
                <w:kern w:val="0"/>
                <w:szCs w:val="21"/>
                <w:highlight w:val="none"/>
                <w:lang w:bidi="ar"/>
              </w:rPr>
              <w:t>，未设置危险废物集中贮存点，</w:t>
            </w:r>
            <w:r>
              <w:rPr>
                <w:rFonts w:hint="eastAsia"/>
                <w:bCs/>
                <w:color w:val="auto"/>
                <w:szCs w:val="21"/>
                <w:highlight w:val="none"/>
              </w:rPr>
              <w:t>故本次评</w:t>
            </w:r>
            <w:r>
              <w:rPr>
                <w:rFonts w:hint="eastAsia"/>
                <w:bCs/>
                <w:color w:val="auto"/>
                <w:szCs w:val="21"/>
              </w:rPr>
              <w:t>价要求建设单位</w:t>
            </w:r>
            <w:r>
              <w:rPr>
                <w:bCs/>
                <w:color w:val="auto"/>
                <w:szCs w:val="21"/>
              </w:rPr>
              <w:t>根据《国家危险废物名录》（2025年版）、《医疗废物分类目录》（2021 年版）</w:t>
            </w:r>
            <w:r>
              <w:rPr>
                <w:rFonts w:hint="eastAsia"/>
                <w:bCs/>
                <w:color w:val="auto"/>
                <w:szCs w:val="21"/>
              </w:rPr>
              <w:t>、</w:t>
            </w:r>
            <w:r>
              <w:rPr>
                <w:bCs/>
                <w:color w:val="auto"/>
                <w:szCs w:val="21"/>
              </w:rPr>
              <w:t>《危险废物贮存污染控制标准》（GB 18597-2023）、《危险废物识别标志设置技术规范》（HJ 1276-2022）</w:t>
            </w:r>
            <w:r>
              <w:rPr>
                <w:rFonts w:hint="eastAsia"/>
                <w:bCs/>
                <w:color w:val="auto"/>
                <w:szCs w:val="21"/>
              </w:rPr>
              <w:t>相关要求</w:t>
            </w:r>
            <w:r>
              <w:rPr>
                <w:bCs/>
                <w:color w:val="auto"/>
                <w:szCs w:val="21"/>
              </w:rPr>
              <w:t>设置危险废物贮存点及标识牌。</w:t>
            </w:r>
          </w:p>
          <w:p>
            <w:pPr>
              <w:ind w:firstLine="420"/>
              <w:rPr>
                <w:bCs/>
                <w:color w:val="auto"/>
                <w:szCs w:val="21"/>
              </w:rPr>
            </w:pPr>
            <w:r>
              <w:rPr>
                <w:bCs/>
                <w:color w:val="auto"/>
                <w:szCs w:val="21"/>
              </w:rPr>
              <w:t>本项目危险废物贮存点设置具体要求如下：</w:t>
            </w:r>
          </w:p>
          <w:p>
            <w:pPr>
              <w:ind w:firstLine="420"/>
              <w:rPr>
                <w:bCs/>
                <w:color w:val="auto"/>
                <w:szCs w:val="21"/>
              </w:rPr>
            </w:pPr>
            <w:r>
              <w:rPr>
                <w:rFonts w:hint="eastAsia" w:ascii="宋体" w:hAnsi="宋体" w:cs="宋体"/>
                <w:bCs/>
                <w:color w:val="auto"/>
                <w:szCs w:val="21"/>
              </w:rPr>
              <w:t>①</w:t>
            </w:r>
            <w:r>
              <w:rPr>
                <w:bCs/>
                <w:color w:val="auto"/>
                <w:szCs w:val="21"/>
              </w:rPr>
              <w:t>贮存点应具有固定的区域边界，并应采取与其他区域进行隔离的措施。</w:t>
            </w:r>
          </w:p>
          <w:p>
            <w:pPr>
              <w:ind w:firstLine="420"/>
              <w:rPr>
                <w:bCs/>
                <w:color w:val="auto"/>
                <w:szCs w:val="21"/>
              </w:rPr>
            </w:pPr>
            <w:r>
              <w:rPr>
                <w:rFonts w:hint="eastAsia" w:ascii="宋体" w:hAnsi="宋体" w:cs="宋体"/>
                <w:bCs/>
                <w:color w:val="auto"/>
                <w:szCs w:val="21"/>
              </w:rPr>
              <w:t>②</w:t>
            </w:r>
            <w:r>
              <w:rPr>
                <w:bCs/>
                <w:color w:val="auto"/>
                <w:szCs w:val="21"/>
              </w:rPr>
              <w:t>贮存点应采取防风、防雨、防晒和防止危险废物流失、扬散等措施。</w:t>
            </w:r>
          </w:p>
          <w:p>
            <w:pPr>
              <w:ind w:firstLine="420"/>
              <w:rPr>
                <w:bCs/>
                <w:color w:val="auto"/>
                <w:szCs w:val="21"/>
              </w:rPr>
            </w:pPr>
            <w:r>
              <w:rPr>
                <w:rFonts w:hint="eastAsia" w:ascii="宋体" w:hAnsi="宋体" w:cs="宋体"/>
                <w:bCs/>
                <w:color w:val="auto"/>
                <w:szCs w:val="21"/>
              </w:rPr>
              <w:t>③</w:t>
            </w:r>
            <w:r>
              <w:rPr>
                <w:bCs/>
                <w:color w:val="auto"/>
                <w:szCs w:val="21"/>
              </w:rPr>
              <w:t>贮存点贮存的危险废物应置于容器或包装物中，不应直接散堆。</w:t>
            </w:r>
          </w:p>
          <w:p>
            <w:pPr>
              <w:ind w:firstLine="420"/>
              <w:rPr>
                <w:bCs/>
                <w:color w:val="auto"/>
                <w:szCs w:val="21"/>
              </w:rPr>
            </w:pPr>
            <w:r>
              <w:rPr>
                <w:rFonts w:hint="eastAsia" w:ascii="宋体" w:hAnsi="宋体" w:cs="宋体"/>
                <w:bCs/>
                <w:color w:val="auto"/>
                <w:szCs w:val="21"/>
              </w:rPr>
              <w:t>④</w:t>
            </w:r>
            <w:r>
              <w:rPr>
                <w:bCs/>
                <w:color w:val="auto"/>
                <w:szCs w:val="21"/>
              </w:rPr>
              <w:t>贮存点应根据危险废物的形态、物理化学性质、包装形式等，采取防渗、防漏等污染防治措施或采用具有相应功能的装置。</w:t>
            </w:r>
          </w:p>
          <w:p>
            <w:pPr>
              <w:ind w:firstLine="420"/>
              <w:rPr>
                <w:bCs/>
                <w:color w:val="auto"/>
                <w:szCs w:val="21"/>
              </w:rPr>
            </w:pPr>
            <w:r>
              <w:rPr>
                <w:rFonts w:hint="eastAsia" w:ascii="宋体" w:hAnsi="宋体" w:cs="宋体"/>
                <w:bCs/>
                <w:color w:val="auto"/>
                <w:szCs w:val="21"/>
              </w:rPr>
              <w:t>⑤</w:t>
            </w:r>
            <w:r>
              <w:rPr>
                <w:bCs/>
                <w:color w:val="auto"/>
                <w:szCs w:val="21"/>
              </w:rPr>
              <w:t>贮存点应及时清运贮存的危险废物，实时贮存量不应超过3吨。</w:t>
            </w:r>
          </w:p>
          <w:p>
            <w:pPr>
              <w:ind w:firstLine="420"/>
              <w:rPr>
                <w:bCs/>
                <w:color w:val="auto"/>
                <w:szCs w:val="21"/>
              </w:rPr>
            </w:pPr>
            <w:r>
              <w:rPr>
                <w:bCs/>
                <w:color w:val="auto"/>
                <w:szCs w:val="21"/>
              </w:rPr>
              <w:fldChar w:fldCharType="begin"/>
            </w:r>
            <w:r>
              <w:rPr>
                <w:bCs/>
                <w:color w:val="auto"/>
                <w:szCs w:val="21"/>
              </w:rPr>
              <w:instrText xml:space="preserve"> = 6 \* GB3 </w:instrText>
            </w:r>
            <w:r>
              <w:rPr>
                <w:bCs/>
                <w:color w:val="auto"/>
                <w:szCs w:val="21"/>
              </w:rPr>
              <w:fldChar w:fldCharType="separate"/>
            </w:r>
            <w:r>
              <w:rPr>
                <w:rFonts w:hint="eastAsia" w:ascii="宋体" w:hAnsi="宋体" w:cs="宋体"/>
                <w:bCs/>
                <w:color w:val="auto"/>
                <w:szCs w:val="21"/>
              </w:rPr>
              <w:t>⑥</w:t>
            </w:r>
            <w:r>
              <w:rPr>
                <w:bCs/>
                <w:color w:val="auto"/>
                <w:szCs w:val="21"/>
              </w:rPr>
              <w:fldChar w:fldCharType="end"/>
            </w:r>
            <w:r>
              <w:rPr>
                <w:bCs/>
                <w:color w:val="auto"/>
                <w:szCs w:val="21"/>
              </w:rPr>
              <w:t>设置相应标识牌。</w:t>
            </w:r>
          </w:p>
          <w:p>
            <w:pPr>
              <w:ind w:firstLine="408"/>
              <w:rPr>
                <w:color w:val="auto"/>
                <w:spacing w:val="-3"/>
              </w:rPr>
            </w:pPr>
            <w:r>
              <w:rPr>
                <w:color w:val="auto"/>
                <w:spacing w:val="-3"/>
              </w:rPr>
              <w:t>本项目危险废物贮存点基本情况详见表4-1</w:t>
            </w:r>
            <w:r>
              <w:rPr>
                <w:rFonts w:hint="eastAsia"/>
                <w:color w:val="auto"/>
                <w:spacing w:val="-3"/>
              </w:rPr>
              <w:t>4</w:t>
            </w:r>
            <w:r>
              <w:rPr>
                <w:color w:val="auto"/>
                <w:spacing w:val="-3"/>
              </w:rPr>
              <w:t>。</w:t>
            </w:r>
          </w:p>
          <w:p>
            <w:pPr>
              <w:pStyle w:val="21"/>
              <w:spacing w:before="120" w:beforeLines="50" w:after="0" w:line="240" w:lineRule="auto"/>
              <w:ind w:firstLine="0" w:firstLineChars="0"/>
              <w:jc w:val="center"/>
              <w:rPr>
                <w:b/>
                <w:color w:val="auto"/>
                <w:sz w:val="21"/>
                <w:szCs w:val="21"/>
              </w:rPr>
            </w:pPr>
            <w:r>
              <w:rPr>
                <w:b/>
                <w:color w:val="auto"/>
                <w:sz w:val="21"/>
                <w:szCs w:val="21"/>
              </w:rPr>
              <w:t>表 4-1</w:t>
            </w:r>
            <w:r>
              <w:rPr>
                <w:rFonts w:hint="eastAsia"/>
                <w:b/>
                <w:color w:val="auto"/>
                <w:sz w:val="21"/>
                <w:szCs w:val="21"/>
              </w:rPr>
              <w:t>4</w:t>
            </w:r>
            <w:r>
              <w:rPr>
                <w:b/>
                <w:color w:val="auto"/>
                <w:sz w:val="21"/>
                <w:szCs w:val="21"/>
              </w:rPr>
              <w:t xml:space="preserve">  危险废物贮存点基本情况一览表</w:t>
            </w:r>
          </w:p>
          <w:tbl>
            <w:tblPr>
              <w:tblStyle w:val="40"/>
              <w:tblW w:w="9074"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24"/>
              <w:gridCol w:w="459"/>
              <w:gridCol w:w="1292"/>
              <w:gridCol w:w="720"/>
              <w:gridCol w:w="1214"/>
              <w:gridCol w:w="709"/>
              <w:gridCol w:w="733"/>
              <w:gridCol w:w="1822"/>
              <w:gridCol w:w="650"/>
              <w:gridCol w:w="65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824"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贮存场所名称</w:t>
                  </w:r>
                </w:p>
              </w:tc>
              <w:tc>
                <w:tcPr>
                  <w:tcW w:w="1751" w:type="dxa"/>
                  <w:gridSpan w:val="2"/>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危险废物名称</w:t>
                  </w:r>
                </w:p>
              </w:tc>
              <w:tc>
                <w:tcPr>
                  <w:tcW w:w="720"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危险废物类别</w:t>
                  </w:r>
                </w:p>
              </w:tc>
              <w:tc>
                <w:tcPr>
                  <w:tcW w:w="1214"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危险废物代码</w:t>
                  </w:r>
                </w:p>
              </w:tc>
              <w:tc>
                <w:tcPr>
                  <w:tcW w:w="709"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位置</w:t>
                  </w:r>
                </w:p>
              </w:tc>
              <w:tc>
                <w:tcPr>
                  <w:tcW w:w="733"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占地面积</w:t>
                  </w:r>
                </w:p>
              </w:tc>
              <w:tc>
                <w:tcPr>
                  <w:tcW w:w="1822"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贮存方式</w:t>
                  </w:r>
                </w:p>
              </w:tc>
              <w:tc>
                <w:tcPr>
                  <w:tcW w:w="650"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总贮存能力</w:t>
                  </w:r>
                </w:p>
              </w:tc>
              <w:tc>
                <w:tcPr>
                  <w:tcW w:w="651"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贮存周期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824" w:type="dxa"/>
                  <w:vMerge w:val="restart"/>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危险废物贮存点</w:t>
                  </w:r>
                </w:p>
              </w:tc>
              <w:tc>
                <w:tcPr>
                  <w:tcW w:w="459" w:type="dxa"/>
                  <w:vMerge w:val="restart"/>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医疗废物</w:t>
                  </w:r>
                </w:p>
              </w:tc>
              <w:tc>
                <w:tcPr>
                  <w:tcW w:w="1292"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感染性废物</w:t>
                  </w:r>
                </w:p>
              </w:tc>
              <w:tc>
                <w:tcPr>
                  <w:tcW w:w="720" w:type="dxa"/>
                  <w:vMerge w:val="restart"/>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HW01</w:t>
                  </w:r>
                </w:p>
              </w:tc>
              <w:tc>
                <w:tcPr>
                  <w:tcW w:w="1214"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841-001-01</w:t>
                  </w:r>
                </w:p>
              </w:tc>
              <w:tc>
                <w:tcPr>
                  <w:tcW w:w="709" w:type="dxa"/>
                  <w:vMerge w:val="restart"/>
                  <w:tcBorders>
                    <w:tl2br w:val="nil"/>
                    <w:tr2bl w:val="nil"/>
                  </w:tcBorders>
                  <w:vAlign w:val="center"/>
                </w:tcPr>
                <w:p>
                  <w:pPr>
                    <w:adjustRightInd/>
                    <w:snapToGrid/>
                    <w:spacing w:line="240" w:lineRule="auto"/>
                    <w:ind w:firstLine="0" w:firstLineChars="0"/>
                    <w:jc w:val="center"/>
                    <w:rPr>
                      <w:color w:val="auto"/>
                      <w:szCs w:val="21"/>
                    </w:rPr>
                  </w:pPr>
                  <w:r>
                    <w:rPr>
                      <w:rFonts w:hint="eastAsia"/>
                      <w:color w:val="auto"/>
                      <w:kern w:val="0"/>
                      <w:szCs w:val="21"/>
                    </w:rPr>
                    <w:t>东侧</w:t>
                  </w:r>
                </w:p>
              </w:tc>
              <w:tc>
                <w:tcPr>
                  <w:tcW w:w="733" w:type="dxa"/>
                  <w:vMerge w:val="restart"/>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2m</w:t>
                  </w:r>
                  <w:r>
                    <w:rPr>
                      <w:color w:val="auto"/>
                      <w:szCs w:val="21"/>
                      <w:vertAlign w:val="superscript"/>
                    </w:rPr>
                    <w:t>2</w:t>
                  </w:r>
                </w:p>
              </w:tc>
              <w:tc>
                <w:tcPr>
                  <w:tcW w:w="1822" w:type="dxa"/>
                  <w:vMerge w:val="restart"/>
                  <w:tcBorders>
                    <w:tl2br w:val="nil"/>
                    <w:tr2bl w:val="nil"/>
                  </w:tcBorders>
                  <w:vAlign w:val="center"/>
                </w:tcPr>
                <w:p>
                  <w:pPr>
                    <w:adjustRightInd/>
                    <w:snapToGrid/>
                    <w:spacing w:line="240" w:lineRule="auto"/>
                    <w:ind w:firstLine="0" w:firstLineChars="0"/>
                    <w:rPr>
                      <w:color w:val="auto"/>
                      <w:szCs w:val="21"/>
                    </w:rPr>
                  </w:pPr>
                  <w:r>
                    <w:rPr>
                      <w:color w:val="auto"/>
                      <w:szCs w:val="21"/>
                    </w:rPr>
                    <w:t>采用医疗废物专用包装分类收集后暂存于</w:t>
                  </w:r>
                  <w:r>
                    <w:rPr>
                      <w:bCs/>
                      <w:color w:val="auto"/>
                      <w:szCs w:val="21"/>
                    </w:rPr>
                    <w:t>危险废物贮存点</w:t>
                  </w:r>
                </w:p>
              </w:tc>
              <w:tc>
                <w:tcPr>
                  <w:tcW w:w="650" w:type="dxa"/>
                  <w:vMerge w:val="restart"/>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1t</w:t>
                  </w:r>
                </w:p>
              </w:tc>
              <w:tc>
                <w:tcPr>
                  <w:tcW w:w="651" w:type="dxa"/>
                  <w:vMerge w:val="restart"/>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2d</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824"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45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292"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损伤性废物</w:t>
                  </w:r>
                </w:p>
              </w:tc>
              <w:tc>
                <w:tcPr>
                  <w:tcW w:w="720"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214"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841-002-01</w:t>
                  </w:r>
                </w:p>
              </w:tc>
              <w:tc>
                <w:tcPr>
                  <w:tcW w:w="70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733"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822"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50"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51" w:type="dxa"/>
                  <w:vMerge w:val="continue"/>
                  <w:tcBorders>
                    <w:tl2br w:val="nil"/>
                    <w:tr2bl w:val="nil"/>
                  </w:tcBorders>
                  <w:vAlign w:val="center"/>
                </w:tcPr>
                <w:p>
                  <w:pPr>
                    <w:adjustRightInd/>
                    <w:snapToGrid/>
                    <w:spacing w:line="240" w:lineRule="auto"/>
                    <w:ind w:firstLine="0" w:firstLineChars="0"/>
                    <w:jc w:val="center"/>
                    <w:rPr>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824"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45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292"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病理性废物</w:t>
                  </w:r>
                </w:p>
              </w:tc>
              <w:tc>
                <w:tcPr>
                  <w:tcW w:w="720"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214"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841-003-01</w:t>
                  </w:r>
                </w:p>
              </w:tc>
              <w:tc>
                <w:tcPr>
                  <w:tcW w:w="70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733"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822"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50"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51" w:type="dxa"/>
                  <w:vMerge w:val="continue"/>
                  <w:tcBorders>
                    <w:tl2br w:val="nil"/>
                    <w:tr2bl w:val="nil"/>
                  </w:tcBorders>
                  <w:vAlign w:val="center"/>
                </w:tcPr>
                <w:p>
                  <w:pPr>
                    <w:adjustRightInd/>
                    <w:snapToGrid/>
                    <w:spacing w:line="240" w:lineRule="auto"/>
                    <w:ind w:firstLine="0" w:firstLineChars="0"/>
                    <w:jc w:val="center"/>
                    <w:rPr>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824"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45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292" w:type="dxa"/>
                  <w:tcBorders>
                    <w:tl2br w:val="nil"/>
                    <w:tr2bl w:val="nil"/>
                  </w:tcBorders>
                  <w:vAlign w:val="center"/>
                </w:tcPr>
                <w:p>
                  <w:pPr>
                    <w:adjustRightInd/>
                    <w:snapToGrid/>
                    <w:spacing w:line="240" w:lineRule="auto"/>
                    <w:ind w:firstLine="0" w:firstLineChars="0"/>
                    <w:jc w:val="center"/>
                    <w:rPr>
                      <w:color w:val="auto"/>
                      <w:szCs w:val="21"/>
                    </w:rPr>
                  </w:pPr>
                  <w:r>
                    <w:rPr>
                      <w:bCs/>
                      <w:color w:val="auto"/>
                      <w:szCs w:val="21"/>
                    </w:rPr>
                    <w:t>化学性废物</w:t>
                  </w:r>
                </w:p>
              </w:tc>
              <w:tc>
                <w:tcPr>
                  <w:tcW w:w="720"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214"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841-004-01</w:t>
                  </w:r>
                </w:p>
              </w:tc>
              <w:tc>
                <w:tcPr>
                  <w:tcW w:w="70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733"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822"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50"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51" w:type="dxa"/>
                  <w:vMerge w:val="continue"/>
                  <w:tcBorders>
                    <w:tl2br w:val="nil"/>
                    <w:tr2bl w:val="nil"/>
                  </w:tcBorders>
                  <w:vAlign w:val="center"/>
                </w:tcPr>
                <w:p>
                  <w:pPr>
                    <w:adjustRightInd/>
                    <w:snapToGrid/>
                    <w:spacing w:line="240" w:lineRule="auto"/>
                    <w:ind w:firstLine="0" w:firstLineChars="0"/>
                    <w:jc w:val="center"/>
                    <w:rPr>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824"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45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292" w:type="dxa"/>
                  <w:tcBorders>
                    <w:tl2br w:val="nil"/>
                    <w:tr2bl w:val="nil"/>
                  </w:tcBorders>
                  <w:vAlign w:val="center"/>
                </w:tcPr>
                <w:p>
                  <w:pPr>
                    <w:adjustRightInd/>
                    <w:snapToGrid/>
                    <w:spacing w:line="240" w:lineRule="auto"/>
                    <w:ind w:firstLine="0" w:firstLineChars="0"/>
                    <w:jc w:val="center"/>
                    <w:rPr>
                      <w:color w:val="auto"/>
                      <w:szCs w:val="21"/>
                    </w:rPr>
                  </w:pPr>
                  <w:r>
                    <w:rPr>
                      <w:bCs/>
                      <w:color w:val="auto"/>
                      <w:szCs w:val="21"/>
                    </w:rPr>
                    <w:t>药物性废物</w:t>
                  </w:r>
                </w:p>
              </w:tc>
              <w:tc>
                <w:tcPr>
                  <w:tcW w:w="720"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214"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841-005-01</w:t>
                  </w:r>
                </w:p>
              </w:tc>
              <w:tc>
                <w:tcPr>
                  <w:tcW w:w="70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733"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822"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50"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51" w:type="dxa"/>
                  <w:vMerge w:val="continue"/>
                  <w:tcBorders>
                    <w:tl2br w:val="nil"/>
                    <w:tr2bl w:val="nil"/>
                  </w:tcBorders>
                  <w:vAlign w:val="center"/>
                </w:tcPr>
                <w:p>
                  <w:pPr>
                    <w:adjustRightInd/>
                    <w:snapToGrid/>
                    <w:spacing w:line="240" w:lineRule="auto"/>
                    <w:ind w:firstLine="0" w:firstLineChars="0"/>
                    <w:jc w:val="center"/>
                    <w:rPr>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824"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751" w:type="dxa"/>
                  <w:gridSpan w:val="2"/>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废紫外线灯管</w:t>
                  </w:r>
                </w:p>
              </w:tc>
              <w:tc>
                <w:tcPr>
                  <w:tcW w:w="720"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HW29</w:t>
                  </w:r>
                </w:p>
              </w:tc>
              <w:tc>
                <w:tcPr>
                  <w:tcW w:w="1214"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900-023-29</w:t>
                  </w:r>
                </w:p>
              </w:tc>
              <w:tc>
                <w:tcPr>
                  <w:tcW w:w="709"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733"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1822" w:type="dxa"/>
                  <w:tcBorders>
                    <w:tl2br w:val="nil"/>
                    <w:tr2bl w:val="nil"/>
                  </w:tcBorders>
                  <w:vAlign w:val="center"/>
                </w:tcPr>
                <w:p>
                  <w:pPr>
                    <w:adjustRightInd/>
                    <w:snapToGrid/>
                    <w:spacing w:line="240" w:lineRule="auto"/>
                    <w:ind w:firstLine="0" w:firstLineChars="0"/>
                    <w:rPr>
                      <w:color w:val="auto"/>
                      <w:szCs w:val="21"/>
                      <w:highlight w:val="none"/>
                    </w:rPr>
                  </w:pPr>
                  <w:r>
                    <w:rPr>
                      <w:rFonts w:hint="eastAsia"/>
                      <w:color w:val="auto"/>
                      <w:szCs w:val="21"/>
                      <w:highlight w:val="none"/>
                    </w:rPr>
                    <w:t>采用包装桶收集后暂</w:t>
                  </w:r>
                  <w:r>
                    <w:rPr>
                      <w:color w:val="auto"/>
                      <w:szCs w:val="21"/>
                      <w:highlight w:val="none"/>
                    </w:rPr>
                    <w:t>存</w:t>
                  </w:r>
                  <w:r>
                    <w:rPr>
                      <w:bCs/>
                      <w:color w:val="auto"/>
                      <w:szCs w:val="21"/>
                      <w:highlight w:val="none"/>
                    </w:rPr>
                    <w:t>危险废物贮存点</w:t>
                  </w:r>
                </w:p>
              </w:tc>
              <w:tc>
                <w:tcPr>
                  <w:tcW w:w="650" w:type="dxa"/>
                  <w:vMerge w:val="continue"/>
                  <w:tcBorders>
                    <w:tl2br w:val="nil"/>
                    <w:tr2bl w:val="nil"/>
                  </w:tcBorders>
                  <w:vAlign w:val="center"/>
                </w:tcPr>
                <w:p>
                  <w:pPr>
                    <w:adjustRightInd/>
                    <w:snapToGrid/>
                    <w:spacing w:line="240" w:lineRule="auto"/>
                    <w:ind w:firstLine="0" w:firstLineChars="0"/>
                    <w:jc w:val="center"/>
                    <w:rPr>
                      <w:color w:val="auto"/>
                      <w:szCs w:val="21"/>
                    </w:rPr>
                  </w:pPr>
                </w:p>
              </w:tc>
              <w:tc>
                <w:tcPr>
                  <w:tcW w:w="651" w:type="dxa"/>
                  <w:vMerge w:val="continue"/>
                  <w:tcBorders>
                    <w:tl2br w:val="nil"/>
                    <w:tr2bl w:val="nil"/>
                  </w:tcBorders>
                  <w:vAlign w:val="center"/>
                </w:tcPr>
                <w:p>
                  <w:pPr>
                    <w:adjustRightInd/>
                    <w:snapToGrid/>
                    <w:spacing w:line="240" w:lineRule="auto"/>
                    <w:ind w:firstLine="0" w:firstLineChars="0"/>
                    <w:jc w:val="center"/>
                    <w:rPr>
                      <w:color w:val="auto"/>
                      <w:szCs w:val="21"/>
                    </w:rPr>
                  </w:pPr>
                </w:p>
              </w:tc>
            </w:tr>
          </w:tbl>
          <w:p>
            <w:pPr>
              <w:numPr>
                <w:ilvl w:val="0"/>
                <w:numId w:val="2"/>
              </w:numPr>
              <w:adjustRightInd/>
              <w:snapToGrid/>
              <w:spacing w:before="120" w:beforeLines="50"/>
              <w:ind w:firstLine="420"/>
              <w:rPr>
                <w:bCs/>
                <w:color w:val="auto"/>
                <w:szCs w:val="21"/>
              </w:rPr>
            </w:pPr>
            <w:r>
              <w:rPr>
                <w:bCs/>
                <w:color w:val="auto"/>
                <w:szCs w:val="21"/>
              </w:rPr>
              <w:t>医疗废物</w:t>
            </w:r>
          </w:p>
          <w:p>
            <w:pPr>
              <w:ind w:firstLine="420"/>
              <w:rPr>
                <w:bCs/>
                <w:color w:val="auto"/>
                <w:szCs w:val="21"/>
              </w:rPr>
            </w:pPr>
            <w:r>
              <w:rPr>
                <w:rFonts w:hint="eastAsia" w:ascii="宋体" w:hAnsi="宋体" w:cs="宋体"/>
                <w:bCs/>
                <w:color w:val="auto"/>
                <w:szCs w:val="21"/>
              </w:rPr>
              <w:t>①</w:t>
            </w:r>
            <w:r>
              <w:rPr>
                <w:bCs/>
                <w:color w:val="auto"/>
                <w:szCs w:val="21"/>
              </w:rPr>
              <w:t>医疗废物的收集</w:t>
            </w:r>
          </w:p>
          <w:p>
            <w:pPr>
              <w:ind w:firstLine="420"/>
              <w:rPr>
                <w:bCs/>
                <w:color w:val="auto"/>
                <w:szCs w:val="21"/>
              </w:rPr>
            </w:pPr>
            <w:r>
              <w:rPr>
                <w:bCs/>
                <w:color w:val="auto"/>
                <w:szCs w:val="21"/>
              </w:rPr>
              <w:t>医疗废物应按照《危险废物收集贮存运输技术规范》（HJ2025-2012）、《医疗废物专用包装袋、容器和警示标志标准》（HJ421-2008）等要求采用专用容器进行收集，明确各类废弃物标识，分类包装，并本着即时、方便、安全、快捷的原则进行收集。感染性废物、病理性废物、损伤性废物、化学性废物、药物性废物不能混合收集；放入存放容器包装物内的各类废物不得取出；当盛装的医疗废物达到存储容器的3/4 时，应当使用有效的封口方法对包装进行封口密封；医疗废物中的锐利物必须单独存放，并统一按照医学废物处理；收集锐利物的包装容器应使用硬质、防漏、放刺破的材料。</w:t>
            </w:r>
          </w:p>
          <w:p>
            <w:pPr>
              <w:ind w:firstLine="420"/>
              <w:rPr>
                <w:bCs/>
                <w:color w:val="auto"/>
                <w:szCs w:val="21"/>
              </w:rPr>
            </w:pPr>
            <w:r>
              <w:rPr>
                <w:rFonts w:hint="eastAsia" w:ascii="宋体" w:hAnsi="宋体" w:cs="宋体"/>
                <w:bCs/>
                <w:color w:val="auto"/>
                <w:szCs w:val="21"/>
              </w:rPr>
              <w:t>②</w:t>
            </w:r>
            <w:r>
              <w:rPr>
                <w:bCs/>
                <w:color w:val="auto"/>
                <w:szCs w:val="21"/>
              </w:rPr>
              <w:t>医疗废物包装</w:t>
            </w:r>
          </w:p>
          <w:p>
            <w:pPr>
              <w:ind w:firstLine="420"/>
              <w:rPr>
                <w:bCs/>
                <w:color w:val="auto"/>
                <w:szCs w:val="21"/>
              </w:rPr>
            </w:pPr>
            <w:r>
              <w:rPr>
                <w:bCs/>
                <w:color w:val="auto"/>
                <w:szCs w:val="21"/>
              </w:rPr>
              <w:t>医疗废物包装应符合《医疗废物专用包装袋、容器和警示标志标准》（HJ421-2008），除损伤性废物之外的医疗废物采用非聚氯乙烯原料制作，且符合一定防渗和撕裂强度性能要求的软质口袋进行包装。包装袋的颜色为黄色，并有盛装医疗废物类型的文字说明，如盛装感染性废物，应在包装袋上加注“感染性废物”字样。包装袋上印刷医疗废物警示标志。利器盒整体以硬质材料制成，其盛装的针头、碎玻璃等锐器不能刺穿利器盒。已装满的利器盒连续3 次从1.5m 高处垂直落至水泥地面后不能出现破裂、被刺穿等情况。利器盒易于焚烧，不得使用聚氯乙烯（PVC）塑料为制造原料。利器盒整体颜色为黄色，在盒体侧面注明“损伤性物质”，利器盒上应印刷医疗废物警示标志。</w:t>
            </w:r>
          </w:p>
          <w:p>
            <w:pPr>
              <w:ind w:firstLine="420"/>
              <w:rPr>
                <w:bCs/>
                <w:color w:val="auto"/>
                <w:szCs w:val="21"/>
              </w:rPr>
            </w:pPr>
            <w:r>
              <w:rPr>
                <w:rFonts w:hint="eastAsia" w:ascii="宋体" w:hAnsi="宋体" w:cs="宋体"/>
                <w:bCs/>
                <w:color w:val="auto"/>
                <w:szCs w:val="21"/>
              </w:rPr>
              <w:t>③</w:t>
            </w:r>
            <w:r>
              <w:rPr>
                <w:bCs/>
                <w:color w:val="auto"/>
                <w:szCs w:val="21"/>
              </w:rPr>
              <w:t>医疗废物暂存</w:t>
            </w:r>
          </w:p>
          <w:p>
            <w:pPr>
              <w:ind w:firstLine="420"/>
              <w:rPr>
                <w:bCs/>
                <w:color w:val="auto"/>
                <w:szCs w:val="21"/>
              </w:rPr>
            </w:pPr>
            <w:r>
              <w:rPr>
                <w:bCs/>
                <w:color w:val="auto"/>
                <w:szCs w:val="21"/>
              </w:rPr>
              <w:t>本项目设置1处危废贮存点分区暂存废紫外线灯管及医疗废物，设明显的警示标识，设置防渗漏、防鼠、防蚊蝇、防蟑螂、防盗以及预防儿童接触等安全措施，定期进行消毒和清洁。</w:t>
            </w:r>
          </w:p>
          <w:p>
            <w:pPr>
              <w:ind w:firstLine="420"/>
              <w:rPr>
                <w:bCs/>
                <w:color w:val="auto"/>
                <w:szCs w:val="21"/>
              </w:rPr>
            </w:pPr>
            <w:r>
              <w:rPr>
                <w:bCs/>
                <w:color w:val="auto"/>
                <w:szCs w:val="21"/>
              </w:rPr>
              <w:t>由院内各收集点收集的医疗废物采用防渗漏、防遗撒、防锐器穿透的专用包装物或者密闭的容器，按照本单位确定的内部医疗废物运送时间、路线，将医疗废物收集、运送至贮存点贮存，然后运往有资质单位处理。运送工具使用后应当在医疗卫生机构内指定的地点及时消毒和清洁。</w:t>
            </w:r>
          </w:p>
          <w:p>
            <w:pPr>
              <w:ind w:firstLine="420"/>
              <w:rPr>
                <w:bCs/>
                <w:color w:val="auto"/>
                <w:szCs w:val="21"/>
              </w:rPr>
            </w:pPr>
            <w:r>
              <w:rPr>
                <w:rFonts w:hint="eastAsia" w:ascii="宋体" w:hAnsi="宋体" w:cs="宋体"/>
                <w:bCs/>
                <w:color w:val="auto"/>
                <w:szCs w:val="21"/>
              </w:rPr>
              <w:t>④</w:t>
            </w:r>
            <w:r>
              <w:rPr>
                <w:bCs/>
                <w:color w:val="auto"/>
                <w:szCs w:val="21"/>
              </w:rPr>
              <w:t>医疗废物交接、转移</w:t>
            </w:r>
          </w:p>
          <w:p>
            <w:pPr>
              <w:ind w:firstLine="420"/>
              <w:rPr>
                <w:bCs/>
                <w:color w:val="auto"/>
                <w:szCs w:val="21"/>
              </w:rPr>
            </w:pPr>
            <w:r>
              <w:rPr>
                <w:bCs/>
                <w:color w:val="auto"/>
                <w:szCs w:val="21"/>
              </w:rPr>
              <w:t>医疗废物定期由有明显医疗废物标识的专用车辆运至有资质的单位处理。医疗废物转移必须按照《危险废物转移管理办法》（生态环境部、公安部、交通运输部令第23号公布）的规定，执行危险废物转移联单制度。宠物医院禁止转让、买卖医疗废物，禁止在运输过程中丢弃医疗废物，禁止随意倾倒、堆放医疗废物或者医疗废物混入其他废物或生活垃圾中。</w:t>
            </w:r>
          </w:p>
          <w:p>
            <w:pPr>
              <w:ind w:firstLine="420"/>
              <w:rPr>
                <w:bCs/>
                <w:color w:val="auto"/>
                <w:szCs w:val="21"/>
              </w:rPr>
            </w:pPr>
            <w:r>
              <w:rPr>
                <w:bCs/>
                <w:color w:val="auto"/>
                <w:szCs w:val="21"/>
              </w:rPr>
              <w:t>宠物医院应对交接的医疗废物如实计量，严格按照有关规定进行交接登记，并将记录保存备查。转移医疗废物时按《登记表》要求逐项填写相应内容，交付有资质单位处理核实无误后双方签字确认。并依据《登记表》每月汇总医疗废物数量填写《医废联单》，一并交付处置单位。</w:t>
            </w:r>
          </w:p>
          <w:p>
            <w:pPr>
              <w:ind w:firstLine="420"/>
              <w:rPr>
                <w:bCs/>
                <w:color w:val="auto"/>
                <w:szCs w:val="21"/>
              </w:rPr>
            </w:pPr>
            <w:r>
              <w:rPr>
                <w:bCs/>
                <w:color w:val="auto"/>
                <w:szCs w:val="21"/>
              </w:rPr>
              <w:t>医疗废物处理单位应对医疗废物的来源、种类、数量、交接时间、处置方法等情况进行登记，登记资料保存时间不少于3 年，定期接受环保、卫生部门检查。</w:t>
            </w:r>
          </w:p>
          <w:p>
            <w:pPr>
              <w:ind w:firstLine="420"/>
              <w:rPr>
                <w:bCs/>
                <w:color w:val="auto"/>
                <w:szCs w:val="21"/>
              </w:rPr>
            </w:pPr>
            <w:r>
              <w:rPr>
                <w:rFonts w:hint="eastAsia" w:ascii="宋体" w:hAnsi="宋体" w:cs="宋体"/>
                <w:bCs/>
                <w:color w:val="auto"/>
                <w:szCs w:val="21"/>
              </w:rPr>
              <w:t>⑤</w:t>
            </w:r>
            <w:r>
              <w:rPr>
                <w:bCs/>
                <w:color w:val="auto"/>
                <w:szCs w:val="21"/>
              </w:rPr>
              <w:t>医疗废物处置</w:t>
            </w:r>
          </w:p>
          <w:p>
            <w:pPr>
              <w:ind w:firstLine="420"/>
              <w:rPr>
                <w:bCs/>
                <w:color w:val="auto"/>
                <w:szCs w:val="21"/>
              </w:rPr>
            </w:pPr>
            <w:r>
              <w:rPr>
                <w:bCs/>
                <w:color w:val="auto"/>
                <w:szCs w:val="21"/>
              </w:rPr>
              <w:t>本项目产生医疗废物分类收集后暂存在危废贮存点，定期送资质单位处置。</w:t>
            </w:r>
          </w:p>
          <w:p>
            <w:pPr>
              <w:ind w:firstLine="422"/>
              <w:rPr>
                <w:b/>
                <w:bCs/>
                <w:color w:val="auto"/>
                <w:szCs w:val="21"/>
              </w:rPr>
            </w:pPr>
            <w:r>
              <w:rPr>
                <w:b/>
                <w:bCs/>
                <w:color w:val="auto"/>
                <w:szCs w:val="21"/>
              </w:rPr>
              <w:t>（2）其他固体废物处置措施</w:t>
            </w:r>
          </w:p>
          <w:p>
            <w:pPr>
              <w:ind w:firstLine="420"/>
              <w:rPr>
                <w:bCs/>
                <w:color w:val="auto"/>
                <w:szCs w:val="21"/>
              </w:rPr>
            </w:pPr>
            <w:r>
              <w:rPr>
                <w:bCs/>
                <w:color w:val="auto"/>
                <w:szCs w:val="21"/>
              </w:rPr>
              <w:t>猫、宠物住院、诊疗产生的动物粪便经消毒处理后，交市政环卫部门统一处置；生活垃圾、动物毛发交市政环卫部门统一处置；动物尸体交资质单位进行</w:t>
            </w:r>
            <w:r>
              <w:rPr>
                <w:color w:val="auto"/>
              </w:rPr>
              <w:t>无害化处置</w:t>
            </w:r>
            <w:r>
              <w:rPr>
                <w:bCs/>
                <w:color w:val="auto"/>
                <w:szCs w:val="21"/>
              </w:rPr>
              <w:t>。</w:t>
            </w:r>
          </w:p>
          <w:p>
            <w:pPr>
              <w:ind w:firstLine="420"/>
              <w:rPr>
                <w:bCs/>
                <w:color w:val="auto"/>
                <w:szCs w:val="21"/>
              </w:rPr>
            </w:pPr>
            <w:r>
              <w:rPr>
                <w:bCs/>
                <w:color w:val="auto"/>
                <w:szCs w:val="21"/>
              </w:rPr>
              <w:t>综上所述，本项目营运期产生的固体废物能得到合理处置，不会对周边环境造成影响。</w:t>
            </w:r>
          </w:p>
          <w:p>
            <w:pPr>
              <w:ind w:firstLine="422"/>
              <w:rPr>
                <w:color w:val="auto"/>
                <w:sz w:val="28"/>
                <w:szCs w:val="28"/>
              </w:rPr>
            </w:pPr>
            <w:r>
              <w:rPr>
                <w:b/>
                <w:color w:val="auto"/>
                <w:kern w:val="0"/>
                <w:szCs w:val="21"/>
              </w:rPr>
              <w:t>5、地下水及土壤</w:t>
            </w:r>
          </w:p>
          <w:p>
            <w:pPr>
              <w:ind w:firstLine="420"/>
              <w:rPr>
                <w:bCs/>
                <w:color w:val="auto"/>
                <w:szCs w:val="21"/>
              </w:rPr>
            </w:pPr>
            <w:r>
              <w:rPr>
                <w:bCs/>
                <w:color w:val="auto"/>
                <w:szCs w:val="21"/>
              </w:rPr>
              <w:t>项目运营期间排放的废气污染物主要为</w:t>
            </w:r>
            <w:r>
              <w:rPr>
                <w:rFonts w:hint="eastAsia"/>
                <w:bCs/>
                <w:color w:val="auto"/>
                <w:szCs w:val="21"/>
              </w:rPr>
              <w:t>异味</w:t>
            </w:r>
            <w:r>
              <w:rPr>
                <w:bCs/>
                <w:color w:val="auto"/>
                <w:szCs w:val="21"/>
              </w:rPr>
              <w:t>，排放量较小，且项目位于城市建成区，周边地面均进行了硬化处理，无污染地下水和土壤的途径，废气不会对其产生影响；项目废水主要是医疗废水、生活污水、洗浴废水，废水污染物主要包括pH、COD、BOD</w:t>
            </w:r>
            <w:r>
              <w:rPr>
                <w:bCs/>
                <w:color w:val="auto"/>
                <w:szCs w:val="21"/>
                <w:vertAlign w:val="subscript"/>
              </w:rPr>
              <w:t>5</w:t>
            </w:r>
            <w:r>
              <w:rPr>
                <w:bCs/>
                <w:color w:val="auto"/>
                <w:szCs w:val="21"/>
              </w:rPr>
              <w:t>、SS、NH</w:t>
            </w:r>
            <w:r>
              <w:rPr>
                <w:bCs/>
                <w:color w:val="auto"/>
                <w:szCs w:val="21"/>
                <w:vertAlign w:val="subscript"/>
              </w:rPr>
              <w:t>3</w:t>
            </w:r>
            <w:r>
              <w:rPr>
                <w:bCs/>
                <w:color w:val="auto"/>
                <w:szCs w:val="21"/>
              </w:rPr>
              <w:t>-N、LAS、粪大肠菌群、总余氯等，不涉及重金属及持久性污染物；危废贮存点（含医疗废物暂存）等区域均进行了防渗处理，且项目所在区域无地下水集中式饮用水源和热水、矿泉水、温泉等特殊地下水资源，地下水环境不敏感，项目排放的污染物不会对地下水及土壤产生影响。</w:t>
            </w:r>
          </w:p>
          <w:p>
            <w:pPr>
              <w:ind w:firstLine="422"/>
              <w:rPr>
                <w:b/>
                <w:color w:val="auto"/>
                <w:kern w:val="0"/>
                <w:szCs w:val="21"/>
              </w:rPr>
            </w:pPr>
            <w:r>
              <w:rPr>
                <w:b/>
                <w:color w:val="auto"/>
                <w:kern w:val="0"/>
                <w:szCs w:val="21"/>
              </w:rPr>
              <w:t>6、环境风险</w:t>
            </w:r>
          </w:p>
          <w:p>
            <w:pPr>
              <w:ind w:firstLine="422"/>
              <w:rPr>
                <w:b/>
                <w:color w:val="auto"/>
                <w:kern w:val="0"/>
                <w:szCs w:val="21"/>
              </w:rPr>
            </w:pPr>
            <w:r>
              <w:rPr>
                <w:b/>
                <w:color w:val="auto"/>
                <w:kern w:val="0"/>
                <w:szCs w:val="21"/>
              </w:rPr>
              <w:t>（1）风险物质识别</w:t>
            </w:r>
          </w:p>
          <w:p>
            <w:pPr>
              <w:ind w:firstLine="420"/>
              <w:rPr>
                <w:color w:val="auto"/>
              </w:rPr>
            </w:pPr>
            <w:r>
              <w:rPr>
                <w:color w:val="auto"/>
              </w:rPr>
              <w:t>将项目使用的原辅材料与《建设项目环境风险评价技术导则》（HJ 169-2018）附录B、《危险化学品重大危险源辨识》（GB18218-2018）进行对比可知，项目涉及的环境风险物质主要为医用酒精、二氧化氯消毒片、84消毒液，环境风险物质储存情况见表4-1</w:t>
            </w:r>
            <w:r>
              <w:rPr>
                <w:rFonts w:hint="eastAsia"/>
                <w:color w:val="auto"/>
              </w:rPr>
              <w:t>5</w:t>
            </w:r>
            <w:r>
              <w:rPr>
                <w:color w:val="auto"/>
              </w:rPr>
              <w:t>。</w:t>
            </w:r>
          </w:p>
          <w:p>
            <w:pPr>
              <w:pStyle w:val="234"/>
              <w:adjustRightInd/>
              <w:snapToGrid/>
              <w:spacing w:before="120"/>
              <w:ind w:firstLine="0" w:firstLineChars="0"/>
              <w:rPr>
                <w:bCs/>
                <w:color w:val="auto"/>
              </w:rPr>
            </w:pPr>
            <w:r>
              <w:rPr>
                <w:bCs/>
                <w:color w:val="auto"/>
              </w:rPr>
              <w:t>表4-1</w:t>
            </w:r>
            <w:r>
              <w:rPr>
                <w:rFonts w:hint="eastAsia"/>
                <w:bCs/>
                <w:color w:val="auto"/>
              </w:rPr>
              <w:t>5</w:t>
            </w:r>
            <w:r>
              <w:rPr>
                <w:bCs/>
                <w:color w:val="auto"/>
              </w:rPr>
              <w:t xml:space="preserve">   风险物质储存情况</w:t>
            </w:r>
          </w:p>
          <w:tbl>
            <w:tblPr>
              <w:tblStyle w:val="40"/>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0"/>
              <w:gridCol w:w="1277"/>
              <w:gridCol w:w="1716"/>
              <w:gridCol w:w="1359"/>
              <w:gridCol w:w="1067"/>
              <w:gridCol w:w="1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00" w:type="dxa"/>
                  <w:tcBorders>
                    <w:tl2br w:val="nil"/>
                    <w:tr2bl w:val="nil"/>
                  </w:tcBorders>
                  <w:vAlign w:val="center"/>
                </w:tcPr>
                <w:p>
                  <w:pPr>
                    <w:pStyle w:val="185"/>
                    <w:rPr>
                      <w:color w:val="auto"/>
                      <w:sz w:val="21"/>
                      <w:szCs w:val="21"/>
                    </w:rPr>
                  </w:pPr>
                  <w:r>
                    <w:rPr>
                      <w:color w:val="auto"/>
                      <w:sz w:val="21"/>
                      <w:szCs w:val="21"/>
                    </w:rPr>
                    <w:t>物料名称</w:t>
                  </w:r>
                </w:p>
              </w:tc>
              <w:tc>
                <w:tcPr>
                  <w:tcW w:w="1277" w:type="dxa"/>
                  <w:tcBorders>
                    <w:tl2br w:val="nil"/>
                    <w:tr2bl w:val="nil"/>
                  </w:tcBorders>
                  <w:vAlign w:val="center"/>
                </w:tcPr>
                <w:p>
                  <w:pPr>
                    <w:pStyle w:val="185"/>
                    <w:rPr>
                      <w:color w:val="auto"/>
                      <w:sz w:val="21"/>
                      <w:szCs w:val="21"/>
                    </w:rPr>
                  </w:pPr>
                  <w:r>
                    <w:rPr>
                      <w:color w:val="auto"/>
                      <w:sz w:val="21"/>
                      <w:szCs w:val="21"/>
                    </w:rPr>
                    <w:t>年用量（t）</w:t>
                  </w:r>
                </w:p>
              </w:tc>
              <w:tc>
                <w:tcPr>
                  <w:tcW w:w="1716" w:type="dxa"/>
                  <w:tcBorders>
                    <w:tl2br w:val="nil"/>
                    <w:tr2bl w:val="nil"/>
                  </w:tcBorders>
                  <w:vAlign w:val="center"/>
                </w:tcPr>
                <w:p>
                  <w:pPr>
                    <w:pStyle w:val="185"/>
                    <w:rPr>
                      <w:color w:val="auto"/>
                      <w:sz w:val="21"/>
                      <w:szCs w:val="21"/>
                    </w:rPr>
                  </w:pPr>
                  <w:r>
                    <w:rPr>
                      <w:color w:val="auto"/>
                      <w:sz w:val="21"/>
                      <w:szCs w:val="21"/>
                    </w:rPr>
                    <w:t>仓库储存量（t）</w:t>
                  </w:r>
                </w:p>
              </w:tc>
              <w:tc>
                <w:tcPr>
                  <w:tcW w:w="1359" w:type="dxa"/>
                  <w:tcBorders>
                    <w:tl2br w:val="nil"/>
                    <w:tr2bl w:val="nil"/>
                  </w:tcBorders>
                  <w:vAlign w:val="center"/>
                </w:tcPr>
                <w:p>
                  <w:pPr>
                    <w:pStyle w:val="185"/>
                    <w:rPr>
                      <w:color w:val="auto"/>
                      <w:sz w:val="21"/>
                      <w:szCs w:val="21"/>
                    </w:rPr>
                  </w:pPr>
                  <w:r>
                    <w:rPr>
                      <w:color w:val="auto"/>
                      <w:sz w:val="21"/>
                      <w:szCs w:val="21"/>
                    </w:rPr>
                    <w:t>包装形式</w:t>
                  </w:r>
                </w:p>
              </w:tc>
              <w:tc>
                <w:tcPr>
                  <w:tcW w:w="1067" w:type="dxa"/>
                  <w:tcBorders>
                    <w:tl2br w:val="nil"/>
                    <w:tr2bl w:val="nil"/>
                  </w:tcBorders>
                  <w:vAlign w:val="center"/>
                </w:tcPr>
                <w:p>
                  <w:pPr>
                    <w:pStyle w:val="185"/>
                    <w:rPr>
                      <w:color w:val="auto"/>
                      <w:sz w:val="21"/>
                      <w:szCs w:val="21"/>
                    </w:rPr>
                  </w:pPr>
                  <w:r>
                    <w:rPr>
                      <w:color w:val="auto"/>
                      <w:sz w:val="21"/>
                      <w:szCs w:val="21"/>
                    </w:rPr>
                    <w:t>储存位置</w:t>
                  </w:r>
                </w:p>
              </w:tc>
              <w:tc>
                <w:tcPr>
                  <w:tcW w:w="1352" w:type="dxa"/>
                  <w:tcBorders>
                    <w:tl2br w:val="nil"/>
                    <w:tr2bl w:val="nil"/>
                  </w:tcBorders>
                  <w:vAlign w:val="center"/>
                </w:tcPr>
                <w:p>
                  <w:pPr>
                    <w:pStyle w:val="185"/>
                    <w:rPr>
                      <w:color w:val="auto"/>
                      <w:sz w:val="21"/>
                      <w:szCs w:val="21"/>
                    </w:rPr>
                  </w:pPr>
                  <w:r>
                    <w:rPr>
                      <w:color w:val="auto"/>
                      <w:sz w:val="21"/>
                      <w:szCs w:val="21"/>
                    </w:rPr>
                    <w:t>储存条件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00" w:type="dxa"/>
                  <w:tcBorders>
                    <w:tl2br w:val="nil"/>
                    <w:tr2bl w:val="nil"/>
                  </w:tcBorders>
                  <w:vAlign w:val="center"/>
                </w:tcPr>
                <w:p>
                  <w:pPr>
                    <w:pStyle w:val="185"/>
                    <w:rPr>
                      <w:color w:val="auto"/>
                      <w:kern w:val="0"/>
                      <w:sz w:val="21"/>
                      <w:szCs w:val="21"/>
                    </w:rPr>
                  </w:pPr>
                  <w:r>
                    <w:rPr>
                      <w:color w:val="auto"/>
                      <w:kern w:val="0"/>
                      <w:sz w:val="21"/>
                      <w:szCs w:val="21"/>
                    </w:rPr>
                    <w:t>医用酒精</w:t>
                  </w:r>
                </w:p>
              </w:tc>
              <w:tc>
                <w:tcPr>
                  <w:tcW w:w="1277" w:type="dxa"/>
                  <w:tcBorders>
                    <w:tl2br w:val="nil"/>
                    <w:tr2bl w:val="nil"/>
                  </w:tcBorders>
                  <w:vAlign w:val="center"/>
                </w:tcPr>
                <w:p>
                  <w:pPr>
                    <w:pStyle w:val="185"/>
                    <w:rPr>
                      <w:color w:val="auto"/>
                      <w:sz w:val="21"/>
                      <w:szCs w:val="21"/>
                    </w:rPr>
                  </w:pPr>
                  <w:r>
                    <w:rPr>
                      <w:rFonts w:hint="eastAsia"/>
                      <w:color w:val="auto"/>
                      <w:sz w:val="21"/>
                      <w:szCs w:val="21"/>
                    </w:rPr>
                    <w:t>0.0474</w:t>
                  </w:r>
                </w:p>
              </w:tc>
              <w:tc>
                <w:tcPr>
                  <w:tcW w:w="1716" w:type="dxa"/>
                  <w:tcBorders>
                    <w:tl2br w:val="nil"/>
                    <w:tr2bl w:val="nil"/>
                  </w:tcBorders>
                  <w:vAlign w:val="center"/>
                </w:tcPr>
                <w:p>
                  <w:pPr>
                    <w:pStyle w:val="185"/>
                    <w:rPr>
                      <w:color w:val="auto"/>
                      <w:sz w:val="21"/>
                      <w:szCs w:val="21"/>
                    </w:rPr>
                  </w:pPr>
                  <w:r>
                    <w:rPr>
                      <w:color w:val="auto"/>
                      <w:sz w:val="21"/>
                      <w:szCs w:val="21"/>
                    </w:rPr>
                    <w:t>0.00237</w:t>
                  </w:r>
                </w:p>
              </w:tc>
              <w:tc>
                <w:tcPr>
                  <w:tcW w:w="1359" w:type="dxa"/>
                  <w:tcBorders>
                    <w:tl2br w:val="nil"/>
                    <w:tr2bl w:val="nil"/>
                  </w:tcBorders>
                  <w:vAlign w:val="center"/>
                </w:tcPr>
                <w:p>
                  <w:pPr>
                    <w:pStyle w:val="185"/>
                    <w:rPr>
                      <w:color w:val="auto"/>
                      <w:sz w:val="21"/>
                      <w:szCs w:val="21"/>
                    </w:rPr>
                  </w:pPr>
                  <w:r>
                    <w:rPr>
                      <w:color w:val="auto"/>
                      <w:sz w:val="21"/>
                      <w:szCs w:val="21"/>
                    </w:rPr>
                    <w:t>500ml/瓶</w:t>
                  </w:r>
                </w:p>
              </w:tc>
              <w:tc>
                <w:tcPr>
                  <w:tcW w:w="1067" w:type="dxa"/>
                  <w:vMerge w:val="restart"/>
                  <w:tcBorders>
                    <w:tl2br w:val="nil"/>
                    <w:tr2bl w:val="nil"/>
                  </w:tcBorders>
                  <w:vAlign w:val="center"/>
                </w:tcPr>
                <w:p>
                  <w:pPr>
                    <w:pStyle w:val="185"/>
                    <w:rPr>
                      <w:color w:val="auto"/>
                      <w:sz w:val="21"/>
                      <w:szCs w:val="21"/>
                    </w:rPr>
                  </w:pPr>
                  <w:r>
                    <w:rPr>
                      <w:color w:val="auto"/>
                      <w:sz w:val="21"/>
                      <w:szCs w:val="21"/>
                    </w:rPr>
                    <w:t>化验室</w:t>
                  </w:r>
                </w:p>
              </w:tc>
              <w:tc>
                <w:tcPr>
                  <w:tcW w:w="1352" w:type="dxa"/>
                  <w:vMerge w:val="restart"/>
                  <w:tcBorders>
                    <w:tl2br w:val="nil"/>
                    <w:tr2bl w:val="nil"/>
                  </w:tcBorders>
                  <w:vAlign w:val="center"/>
                </w:tcPr>
                <w:p>
                  <w:pPr>
                    <w:pStyle w:val="185"/>
                    <w:rPr>
                      <w:color w:val="auto"/>
                      <w:sz w:val="21"/>
                      <w:szCs w:val="21"/>
                    </w:rPr>
                  </w:pPr>
                  <w:r>
                    <w:rPr>
                      <w:color w:val="auto"/>
                      <w:sz w:val="21"/>
                      <w:szCs w:val="21"/>
                    </w:rPr>
                    <w:t>常温、阴凉、干燥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00" w:type="dxa"/>
                  <w:tcBorders>
                    <w:tl2br w:val="nil"/>
                    <w:tr2bl w:val="nil"/>
                  </w:tcBorders>
                  <w:vAlign w:val="center"/>
                </w:tcPr>
                <w:p>
                  <w:pPr>
                    <w:pStyle w:val="185"/>
                    <w:rPr>
                      <w:bCs/>
                      <w:color w:val="auto"/>
                      <w:sz w:val="21"/>
                      <w:szCs w:val="21"/>
                    </w:rPr>
                  </w:pPr>
                  <w:r>
                    <w:rPr>
                      <w:bCs/>
                      <w:color w:val="auto"/>
                      <w:sz w:val="21"/>
                      <w:szCs w:val="21"/>
                    </w:rPr>
                    <w:t>二氧化氯消毒片</w:t>
                  </w:r>
                </w:p>
              </w:tc>
              <w:tc>
                <w:tcPr>
                  <w:tcW w:w="1277" w:type="dxa"/>
                  <w:tcBorders>
                    <w:tl2br w:val="nil"/>
                    <w:tr2bl w:val="nil"/>
                  </w:tcBorders>
                  <w:vAlign w:val="center"/>
                </w:tcPr>
                <w:p>
                  <w:pPr>
                    <w:pStyle w:val="185"/>
                    <w:rPr>
                      <w:bCs/>
                      <w:color w:val="auto"/>
                      <w:sz w:val="21"/>
                      <w:szCs w:val="21"/>
                    </w:rPr>
                  </w:pPr>
                  <w:r>
                    <w:rPr>
                      <w:color w:val="auto"/>
                      <w:kern w:val="0"/>
                      <w:sz w:val="21"/>
                      <w:szCs w:val="21"/>
                    </w:rPr>
                    <w:t>0.02</w:t>
                  </w:r>
                </w:p>
              </w:tc>
              <w:tc>
                <w:tcPr>
                  <w:tcW w:w="1716" w:type="dxa"/>
                  <w:tcBorders>
                    <w:tl2br w:val="nil"/>
                    <w:tr2bl w:val="nil"/>
                  </w:tcBorders>
                  <w:vAlign w:val="center"/>
                </w:tcPr>
                <w:p>
                  <w:pPr>
                    <w:pStyle w:val="185"/>
                    <w:rPr>
                      <w:color w:val="auto"/>
                      <w:sz w:val="21"/>
                      <w:szCs w:val="21"/>
                    </w:rPr>
                  </w:pPr>
                  <w:r>
                    <w:rPr>
                      <w:rFonts w:hint="eastAsia"/>
                      <w:color w:val="auto"/>
                      <w:sz w:val="21"/>
                      <w:szCs w:val="21"/>
                    </w:rPr>
                    <w:t>0.01</w:t>
                  </w:r>
                </w:p>
              </w:tc>
              <w:tc>
                <w:tcPr>
                  <w:tcW w:w="1359" w:type="dxa"/>
                  <w:tcBorders>
                    <w:tl2br w:val="nil"/>
                    <w:tr2bl w:val="nil"/>
                  </w:tcBorders>
                  <w:vAlign w:val="center"/>
                </w:tcPr>
                <w:p>
                  <w:pPr>
                    <w:pStyle w:val="185"/>
                    <w:rPr>
                      <w:color w:val="auto"/>
                      <w:sz w:val="21"/>
                      <w:szCs w:val="21"/>
                    </w:rPr>
                  </w:pPr>
                  <w:r>
                    <w:rPr>
                      <w:color w:val="auto"/>
                      <w:sz w:val="21"/>
                      <w:szCs w:val="21"/>
                    </w:rPr>
                    <w:t>袋装</w:t>
                  </w:r>
                </w:p>
              </w:tc>
              <w:tc>
                <w:tcPr>
                  <w:tcW w:w="1067" w:type="dxa"/>
                  <w:vMerge w:val="continue"/>
                  <w:tcBorders>
                    <w:tl2br w:val="nil"/>
                    <w:tr2bl w:val="nil"/>
                  </w:tcBorders>
                  <w:vAlign w:val="center"/>
                </w:tcPr>
                <w:p>
                  <w:pPr>
                    <w:pStyle w:val="185"/>
                    <w:rPr>
                      <w:color w:val="auto"/>
                      <w:sz w:val="21"/>
                      <w:szCs w:val="21"/>
                    </w:rPr>
                  </w:pPr>
                </w:p>
              </w:tc>
              <w:tc>
                <w:tcPr>
                  <w:tcW w:w="1352" w:type="dxa"/>
                  <w:vMerge w:val="continue"/>
                  <w:tcBorders>
                    <w:tl2br w:val="nil"/>
                    <w:tr2bl w:val="nil"/>
                  </w:tcBorders>
                  <w:vAlign w:val="center"/>
                </w:tcPr>
                <w:p>
                  <w:pPr>
                    <w:pStyle w:val="185"/>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00" w:type="dxa"/>
                  <w:tcBorders>
                    <w:tl2br w:val="nil"/>
                    <w:tr2bl w:val="nil"/>
                  </w:tcBorders>
                  <w:vAlign w:val="center"/>
                </w:tcPr>
                <w:p>
                  <w:pPr>
                    <w:pStyle w:val="185"/>
                    <w:rPr>
                      <w:bCs/>
                      <w:color w:val="auto"/>
                      <w:sz w:val="21"/>
                      <w:szCs w:val="21"/>
                    </w:rPr>
                  </w:pPr>
                  <w:r>
                    <w:rPr>
                      <w:bCs/>
                      <w:color w:val="auto"/>
                      <w:sz w:val="21"/>
                      <w:szCs w:val="21"/>
                    </w:rPr>
                    <w:t>84消毒液（次氯酸钠）</w:t>
                  </w:r>
                </w:p>
              </w:tc>
              <w:tc>
                <w:tcPr>
                  <w:tcW w:w="1277" w:type="dxa"/>
                  <w:tcBorders>
                    <w:tl2br w:val="nil"/>
                    <w:tr2bl w:val="nil"/>
                  </w:tcBorders>
                  <w:vAlign w:val="center"/>
                </w:tcPr>
                <w:p>
                  <w:pPr>
                    <w:pStyle w:val="185"/>
                    <w:rPr>
                      <w:rFonts w:hint="default" w:eastAsia="宋体"/>
                      <w:color w:val="auto"/>
                      <w:kern w:val="0"/>
                      <w:sz w:val="21"/>
                      <w:szCs w:val="21"/>
                      <w:lang w:val="en-US" w:eastAsia="zh-CN"/>
                    </w:rPr>
                  </w:pPr>
                  <w:r>
                    <w:rPr>
                      <w:rFonts w:hint="eastAsia"/>
                      <w:color w:val="auto"/>
                      <w:kern w:val="0"/>
                      <w:sz w:val="21"/>
                      <w:szCs w:val="21"/>
                      <w:lang w:val="en-US" w:eastAsia="zh-CN"/>
                    </w:rPr>
                    <w:t>0.0135</w:t>
                  </w:r>
                </w:p>
              </w:tc>
              <w:tc>
                <w:tcPr>
                  <w:tcW w:w="1716" w:type="dxa"/>
                  <w:tcBorders>
                    <w:tl2br w:val="nil"/>
                    <w:tr2bl w:val="nil"/>
                  </w:tcBorders>
                  <w:vAlign w:val="center"/>
                </w:tcPr>
                <w:p>
                  <w:pPr>
                    <w:pStyle w:val="185"/>
                    <w:rPr>
                      <w:color w:val="auto"/>
                      <w:sz w:val="21"/>
                      <w:szCs w:val="21"/>
                    </w:rPr>
                  </w:pPr>
                  <w:r>
                    <w:rPr>
                      <w:rFonts w:hint="eastAsia"/>
                      <w:color w:val="auto"/>
                      <w:sz w:val="21"/>
                      <w:szCs w:val="21"/>
                    </w:rPr>
                    <w:t>0.00113</w:t>
                  </w:r>
                </w:p>
              </w:tc>
              <w:tc>
                <w:tcPr>
                  <w:tcW w:w="1359" w:type="dxa"/>
                  <w:tcBorders>
                    <w:tl2br w:val="nil"/>
                    <w:tr2bl w:val="nil"/>
                  </w:tcBorders>
                  <w:vAlign w:val="center"/>
                </w:tcPr>
                <w:p>
                  <w:pPr>
                    <w:pStyle w:val="185"/>
                    <w:rPr>
                      <w:color w:val="auto"/>
                      <w:sz w:val="21"/>
                      <w:szCs w:val="21"/>
                    </w:rPr>
                  </w:pPr>
                  <w:r>
                    <w:rPr>
                      <w:color w:val="auto"/>
                      <w:sz w:val="21"/>
                      <w:szCs w:val="21"/>
                    </w:rPr>
                    <w:t>480ml/瓶</w:t>
                  </w:r>
                </w:p>
              </w:tc>
              <w:tc>
                <w:tcPr>
                  <w:tcW w:w="1067" w:type="dxa"/>
                  <w:vMerge w:val="continue"/>
                  <w:tcBorders>
                    <w:tl2br w:val="nil"/>
                    <w:tr2bl w:val="nil"/>
                  </w:tcBorders>
                  <w:vAlign w:val="center"/>
                </w:tcPr>
                <w:p>
                  <w:pPr>
                    <w:pStyle w:val="185"/>
                    <w:rPr>
                      <w:color w:val="auto"/>
                      <w:sz w:val="21"/>
                      <w:szCs w:val="21"/>
                    </w:rPr>
                  </w:pPr>
                </w:p>
              </w:tc>
              <w:tc>
                <w:tcPr>
                  <w:tcW w:w="1352" w:type="dxa"/>
                  <w:vMerge w:val="continue"/>
                  <w:tcBorders>
                    <w:tl2br w:val="nil"/>
                    <w:tr2bl w:val="nil"/>
                  </w:tcBorders>
                  <w:vAlign w:val="center"/>
                </w:tcPr>
                <w:p>
                  <w:pPr>
                    <w:pStyle w:val="185"/>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71" w:type="dxa"/>
                  <w:gridSpan w:val="6"/>
                  <w:tcBorders>
                    <w:tl2br w:val="nil"/>
                    <w:tr2bl w:val="nil"/>
                  </w:tcBorders>
                  <w:vAlign w:val="center"/>
                </w:tcPr>
                <w:p>
                  <w:pPr>
                    <w:pStyle w:val="185"/>
                    <w:jc w:val="both"/>
                    <w:rPr>
                      <w:color w:val="auto"/>
                      <w:sz w:val="21"/>
                      <w:szCs w:val="21"/>
                    </w:rPr>
                  </w:pPr>
                  <w:r>
                    <w:rPr>
                      <w:color w:val="auto"/>
                      <w:sz w:val="21"/>
                      <w:szCs w:val="21"/>
                    </w:rPr>
                    <w:t>注：医用酒精密度为0.79g/cm</w:t>
                  </w:r>
                  <w:r>
                    <w:rPr>
                      <w:color w:val="auto"/>
                      <w:sz w:val="21"/>
                      <w:szCs w:val="21"/>
                      <w:vertAlign w:val="superscript"/>
                    </w:rPr>
                    <w:t>3</w:t>
                  </w:r>
                  <w:r>
                    <w:rPr>
                      <w:color w:val="auto"/>
                      <w:sz w:val="21"/>
                      <w:szCs w:val="21"/>
                    </w:rPr>
                    <w:t>；84消毒液密度约为1.1742g/cm</w:t>
                  </w:r>
                  <w:r>
                    <w:rPr>
                      <w:color w:val="auto"/>
                      <w:sz w:val="21"/>
                      <w:szCs w:val="21"/>
                      <w:vertAlign w:val="superscript"/>
                    </w:rPr>
                    <w:t>3</w:t>
                  </w:r>
                  <w:r>
                    <w:rPr>
                      <w:color w:val="auto"/>
                      <w:sz w:val="21"/>
                      <w:szCs w:val="21"/>
                    </w:rPr>
                    <w:t>。</w:t>
                  </w:r>
                </w:p>
              </w:tc>
            </w:tr>
          </w:tbl>
          <w:p>
            <w:pPr>
              <w:spacing w:before="120" w:beforeLines="50"/>
              <w:ind w:firstLine="420"/>
              <w:rPr>
                <w:color w:val="auto"/>
                <w:kern w:val="0"/>
                <w:szCs w:val="21"/>
              </w:rPr>
            </w:pPr>
            <w:r>
              <w:rPr>
                <w:color w:val="auto"/>
                <w:kern w:val="0"/>
                <w:szCs w:val="21"/>
              </w:rPr>
              <w:t>风险物质危险性分级见表4-1</w:t>
            </w:r>
            <w:r>
              <w:rPr>
                <w:rFonts w:hint="eastAsia"/>
                <w:color w:val="auto"/>
                <w:kern w:val="0"/>
                <w:szCs w:val="21"/>
              </w:rPr>
              <w:t>6</w:t>
            </w:r>
            <w:r>
              <w:rPr>
                <w:color w:val="auto"/>
                <w:kern w:val="0"/>
                <w:szCs w:val="21"/>
              </w:rPr>
              <w:t>。</w:t>
            </w:r>
          </w:p>
          <w:p>
            <w:pPr>
              <w:pStyle w:val="234"/>
              <w:adjustRightInd/>
              <w:snapToGrid/>
              <w:spacing w:before="120"/>
              <w:ind w:firstLine="0" w:firstLineChars="0"/>
              <w:rPr>
                <w:bCs/>
                <w:color w:val="auto"/>
              </w:rPr>
            </w:pPr>
            <w:r>
              <w:rPr>
                <w:bCs/>
                <w:color w:val="auto"/>
              </w:rPr>
              <w:t>表4-1</w:t>
            </w:r>
            <w:r>
              <w:rPr>
                <w:rFonts w:hint="eastAsia"/>
                <w:bCs/>
                <w:color w:val="auto"/>
              </w:rPr>
              <w:t>6</w:t>
            </w:r>
            <w:r>
              <w:rPr>
                <w:bCs/>
                <w:color w:val="auto"/>
              </w:rPr>
              <w:t xml:space="preserve">   风险物质危险性分级表</w:t>
            </w:r>
          </w:p>
          <w:tbl>
            <w:tblPr>
              <w:tblStyle w:val="40"/>
              <w:tblW w:w="9055"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83"/>
              <w:gridCol w:w="2162"/>
              <w:gridCol w:w="1381"/>
              <w:gridCol w:w="1509"/>
              <w:gridCol w:w="1510"/>
              <w:gridCol w:w="151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81" w:hRule="atLeast"/>
                <w:jc w:val="center"/>
              </w:trPr>
              <w:tc>
                <w:tcPr>
                  <w:tcW w:w="983" w:type="dxa"/>
                  <w:tcBorders>
                    <w:tl2br w:val="nil"/>
                    <w:tr2bl w:val="nil"/>
                  </w:tcBorders>
                  <w:vAlign w:val="center"/>
                </w:tcPr>
                <w:p>
                  <w:pPr>
                    <w:pStyle w:val="185"/>
                    <w:rPr>
                      <w:color w:val="auto"/>
                      <w:sz w:val="21"/>
                      <w:szCs w:val="21"/>
                    </w:rPr>
                  </w:pPr>
                  <w:r>
                    <w:rPr>
                      <w:color w:val="auto"/>
                      <w:sz w:val="21"/>
                      <w:szCs w:val="21"/>
                    </w:rPr>
                    <w:t>序号</w:t>
                  </w:r>
                </w:p>
              </w:tc>
              <w:tc>
                <w:tcPr>
                  <w:tcW w:w="2162" w:type="dxa"/>
                  <w:tcBorders>
                    <w:tl2br w:val="nil"/>
                    <w:tr2bl w:val="nil"/>
                  </w:tcBorders>
                  <w:vAlign w:val="center"/>
                </w:tcPr>
                <w:p>
                  <w:pPr>
                    <w:pStyle w:val="185"/>
                    <w:rPr>
                      <w:color w:val="auto"/>
                      <w:sz w:val="21"/>
                      <w:szCs w:val="21"/>
                    </w:rPr>
                  </w:pPr>
                  <w:r>
                    <w:rPr>
                      <w:color w:val="auto"/>
                      <w:sz w:val="21"/>
                      <w:szCs w:val="21"/>
                    </w:rPr>
                    <w:t>物质名称</w:t>
                  </w:r>
                </w:p>
              </w:tc>
              <w:tc>
                <w:tcPr>
                  <w:tcW w:w="1381" w:type="dxa"/>
                  <w:tcBorders>
                    <w:tl2br w:val="nil"/>
                    <w:tr2bl w:val="nil"/>
                  </w:tcBorders>
                  <w:vAlign w:val="center"/>
                </w:tcPr>
                <w:p>
                  <w:pPr>
                    <w:pStyle w:val="185"/>
                    <w:rPr>
                      <w:color w:val="auto"/>
                      <w:sz w:val="21"/>
                      <w:szCs w:val="21"/>
                    </w:rPr>
                  </w:pPr>
                  <w:r>
                    <w:rPr>
                      <w:color w:val="auto"/>
                      <w:sz w:val="21"/>
                      <w:szCs w:val="21"/>
                    </w:rPr>
                    <w:t>q（t）</w:t>
                  </w:r>
                </w:p>
              </w:tc>
              <w:tc>
                <w:tcPr>
                  <w:tcW w:w="1509" w:type="dxa"/>
                  <w:tcBorders>
                    <w:tl2br w:val="nil"/>
                    <w:tr2bl w:val="nil"/>
                  </w:tcBorders>
                  <w:vAlign w:val="center"/>
                </w:tcPr>
                <w:p>
                  <w:pPr>
                    <w:pStyle w:val="185"/>
                    <w:rPr>
                      <w:color w:val="auto"/>
                      <w:sz w:val="21"/>
                      <w:szCs w:val="21"/>
                    </w:rPr>
                  </w:pPr>
                  <w:r>
                    <w:rPr>
                      <w:color w:val="auto"/>
                      <w:sz w:val="21"/>
                      <w:szCs w:val="21"/>
                    </w:rPr>
                    <w:t>Q（t）</w:t>
                  </w:r>
                </w:p>
              </w:tc>
              <w:tc>
                <w:tcPr>
                  <w:tcW w:w="1510" w:type="dxa"/>
                  <w:tcBorders>
                    <w:tl2br w:val="nil"/>
                    <w:tr2bl w:val="nil"/>
                  </w:tcBorders>
                  <w:vAlign w:val="center"/>
                </w:tcPr>
                <w:p>
                  <w:pPr>
                    <w:pStyle w:val="185"/>
                    <w:rPr>
                      <w:color w:val="auto"/>
                      <w:sz w:val="21"/>
                      <w:szCs w:val="21"/>
                    </w:rPr>
                  </w:pPr>
                  <w:r>
                    <w:rPr>
                      <w:color w:val="auto"/>
                      <w:sz w:val="21"/>
                      <w:szCs w:val="21"/>
                    </w:rPr>
                    <w:t>q/Q</w:t>
                  </w:r>
                </w:p>
              </w:tc>
              <w:tc>
                <w:tcPr>
                  <w:tcW w:w="1510" w:type="dxa"/>
                  <w:tcBorders>
                    <w:tl2br w:val="nil"/>
                    <w:tr2bl w:val="nil"/>
                  </w:tcBorders>
                  <w:vAlign w:val="center"/>
                </w:tcPr>
                <w:p>
                  <w:pPr>
                    <w:pStyle w:val="185"/>
                    <w:rPr>
                      <w:color w:val="auto"/>
                      <w:sz w:val="21"/>
                      <w:szCs w:val="21"/>
                    </w:rPr>
                  </w:pPr>
                  <w:r>
                    <w:rPr>
                      <w:color w:val="auto"/>
                      <w:sz w:val="21"/>
                      <w:szCs w:val="21"/>
                    </w:rPr>
                    <w:t>临界量取值说明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81" w:hRule="atLeast"/>
                <w:jc w:val="center"/>
              </w:trPr>
              <w:tc>
                <w:tcPr>
                  <w:tcW w:w="983" w:type="dxa"/>
                  <w:tcBorders>
                    <w:tl2br w:val="nil"/>
                    <w:tr2bl w:val="nil"/>
                  </w:tcBorders>
                  <w:vAlign w:val="center"/>
                </w:tcPr>
                <w:p>
                  <w:pPr>
                    <w:pStyle w:val="185"/>
                    <w:rPr>
                      <w:color w:val="auto"/>
                      <w:sz w:val="21"/>
                      <w:szCs w:val="21"/>
                    </w:rPr>
                  </w:pPr>
                  <w:r>
                    <w:rPr>
                      <w:color w:val="auto"/>
                      <w:sz w:val="21"/>
                      <w:szCs w:val="21"/>
                    </w:rPr>
                    <w:t>1</w:t>
                  </w:r>
                </w:p>
              </w:tc>
              <w:tc>
                <w:tcPr>
                  <w:tcW w:w="2162" w:type="dxa"/>
                  <w:tcBorders>
                    <w:tl2br w:val="nil"/>
                    <w:tr2bl w:val="nil"/>
                  </w:tcBorders>
                  <w:vAlign w:val="center"/>
                </w:tcPr>
                <w:p>
                  <w:pPr>
                    <w:pStyle w:val="185"/>
                    <w:rPr>
                      <w:color w:val="auto"/>
                      <w:kern w:val="0"/>
                      <w:sz w:val="21"/>
                      <w:szCs w:val="21"/>
                    </w:rPr>
                  </w:pPr>
                  <w:r>
                    <w:rPr>
                      <w:color w:val="auto"/>
                      <w:kern w:val="0"/>
                      <w:sz w:val="21"/>
                      <w:szCs w:val="21"/>
                    </w:rPr>
                    <w:t>酒精</w:t>
                  </w:r>
                </w:p>
              </w:tc>
              <w:tc>
                <w:tcPr>
                  <w:tcW w:w="1381" w:type="dxa"/>
                  <w:tcBorders>
                    <w:tl2br w:val="nil"/>
                    <w:tr2bl w:val="nil"/>
                  </w:tcBorders>
                  <w:shd w:val="clear" w:color="auto" w:fill="auto"/>
                  <w:vAlign w:val="center"/>
                </w:tcPr>
                <w:p>
                  <w:pPr>
                    <w:pStyle w:val="185"/>
                    <w:rPr>
                      <w:color w:val="auto"/>
                      <w:sz w:val="21"/>
                      <w:szCs w:val="21"/>
                    </w:rPr>
                  </w:pPr>
                  <w:r>
                    <w:rPr>
                      <w:color w:val="auto"/>
                      <w:sz w:val="21"/>
                      <w:szCs w:val="21"/>
                    </w:rPr>
                    <w:t>0.00237</w:t>
                  </w:r>
                </w:p>
              </w:tc>
              <w:tc>
                <w:tcPr>
                  <w:tcW w:w="1509" w:type="dxa"/>
                  <w:tcBorders>
                    <w:tl2br w:val="nil"/>
                    <w:tr2bl w:val="nil"/>
                  </w:tcBorders>
                  <w:vAlign w:val="center"/>
                </w:tcPr>
                <w:p>
                  <w:pPr>
                    <w:pStyle w:val="185"/>
                    <w:rPr>
                      <w:color w:val="auto"/>
                      <w:sz w:val="21"/>
                      <w:szCs w:val="21"/>
                    </w:rPr>
                  </w:pPr>
                  <w:r>
                    <w:rPr>
                      <w:color w:val="auto"/>
                      <w:sz w:val="21"/>
                      <w:szCs w:val="21"/>
                    </w:rPr>
                    <w:t>500</w:t>
                  </w:r>
                </w:p>
              </w:tc>
              <w:tc>
                <w:tcPr>
                  <w:tcW w:w="1510" w:type="dxa"/>
                  <w:tcBorders>
                    <w:tl2br w:val="nil"/>
                    <w:tr2bl w:val="nil"/>
                  </w:tcBorders>
                  <w:vAlign w:val="center"/>
                </w:tcPr>
                <w:p>
                  <w:pPr>
                    <w:pStyle w:val="185"/>
                    <w:rPr>
                      <w:color w:val="auto"/>
                      <w:sz w:val="21"/>
                      <w:szCs w:val="21"/>
                    </w:rPr>
                  </w:pPr>
                  <w:r>
                    <w:rPr>
                      <w:color w:val="auto"/>
                      <w:sz w:val="21"/>
                      <w:szCs w:val="21"/>
                    </w:rPr>
                    <w:t>0.000</w:t>
                  </w:r>
                  <w:r>
                    <w:rPr>
                      <w:rFonts w:hint="eastAsia"/>
                      <w:color w:val="auto"/>
                      <w:sz w:val="21"/>
                      <w:szCs w:val="21"/>
                    </w:rPr>
                    <w:t>0</w:t>
                  </w:r>
                  <w:r>
                    <w:rPr>
                      <w:color w:val="auto"/>
                      <w:sz w:val="21"/>
                      <w:szCs w:val="21"/>
                    </w:rPr>
                    <w:t>05</w:t>
                  </w:r>
                </w:p>
              </w:tc>
              <w:tc>
                <w:tcPr>
                  <w:tcW w:w="1510" w:type="dxa"/>
                  <w:tcBorders>
                    <w:tl2br w:val="nil"/>
                    <w:tr2bl w:val="nil"/>
                  </w:tcBorders>
                  <w:vAlign w:val="center"/>
                </w:tcPr>
                <w:p>
                  <w:pPr>
                    <w:pStyle w:val="185"/>
                    <w:rPr>
                      <w:color w:val="auto"/>
                      <w:sz w:val="21"/>
                      <w:szCs w:val="21"/>
                    </w:rPr>
                  </w:pPr>
                  <w:r>
                    <w:rPr>
                      <w:color w:val="auto"/>
                      <w:sz w:val="21"/>
                      <w:szCs w:val="21"/>
                    </w:rPr>
                    <w:t>《HJ 941－2018》附录A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81" w:hRule="atLeast"/>
                <w:jc w:val="center"/>
              </w:trPr>
              <w:tc>
                <w:tcPr>
                  <w:tcW w:w="983" w:type="dxa"/>
                  <w:tcBorders>
                    <w:tl2br w:val="nil"/>
                    <w:tr2bl w:val="nil"/>
                  </w:tcBorders>
                  <w:vAlign w:val="center"/>
                </w:tcPr>
                <w:p>
                  <w:pPr>
                    <w:pStyle w:val="185"/>
                    <w:rPr>
                      <w:color w:val="auto"/>
                      <w:sz w:val="21"/>
                      <w:szCs w:val="21"/>
                    </w:rPr>
                  </w:pPr>
                  <w:r>
                    <w:rPr>
                      <w:color w:val="auto"/>
                      <w:sz w:val="21"/>
                      <w:szCs w:val="21"/>
                    </w:rPr>
                    <w:t>2</w:t>
                  </w:r>
                </w:p>
              </w:tc>
              <w:tc>
                <w:tcPr>
                  <w:tcW w:w="2162" w:type="dxa"/>
                  <w:tcBorders>
                    <w:tl2br w:val="nil"/>
                    <w:tr2bl w:val="nil"/>
                  </w:tcBorders>
                  <w:vAlign w:val="center"/>
                </w:tcPr>
                <w:p>
                  <w:pPr>
                    <w:pStyle w:val="185"/>
                    <w:rPr>
                      <w:bCs/>
                      <w:color w:val="auto"/>
                      <w:sz w:val="21"/>
                      <w:szCs w:val="21"/>
                    </w:rPr>
                  </w:pPr>
                  <w:r>
                    <w:rPr>
                      <w:bCs/>
                      <w:color w:val="auto"/>
                      <w:sz w:val="21"/>
                      <w:szCs w:val="21"/>
                    </w:rPr>
                    <w:t>二氧化氯消毒片</w:t>
                  </w:r>
                </w:p>
              </w:tc>
              <w:tc>
                <w:tcPr>
                  <w:tcW w:w="1381" w:type="dxa"/>
                  <w:tcBorders>
                    <w:tl2br w:val="nil"/>
                    <w:tr2bl w:val="nil"/>
                  </w:tcBorders>
                  <w:shd w:val="clear" w:color="auto" w:fill="auto"/>
                  <w:vAlign w:val="center"/>
                </w:tcPr>
                <w:p>
                  <w:pPr>
                    <w:pStyle w:val="185"/>
                    <w:rPr>
                      <w:color w:val="auto"/>
                      <w:sz w:val="21"/>
                      <w:szCs w:val="21"/>
                    </w:rPr>
                  </w:pPr>
                  <w:r>
                    <w:rPr>
                      <w:rFonts w:hint="eastAsia"/>
                      <w:color w:val="auto"/>
                      <w:sz w:val="21"/>
                      <w:szCs w:val="21"/>
                    </w:rPr>
                    <w:t>0.01</w:t>
                  </w:r>
                </w:p>
              </w:tc>
              <w:tc>
                <w:tcPr>
                  <w:tcW w:w="1509" w:type="dxa"/>
                  <w:tcBorders>
                    <w:tl2br w:val="nil"/>
                    <w:tr2bl w:val="nil"/>
                  </w:tcBorders>
                  <w:vAlign w:val="center"/>
                </w:tcPr>
                <w:p>
                  <w:pPr>
                    <w:pStyle w:val="185"/>
                    <w:rPr>
                      <w:color w:val="auto"/>
                      <w:sz w:val="21"/>
                      <w:szCs w:val="21"/>
                    </w:rPr>
                  </w:pPr>
                  <w:r>
                    <w:rPr>
                      <w:color w:val="auto"/>
                      <w:sz w:val="21"/>
                      <w:szCs w:val="21"/>
                    </w:rPr>
                    <w:t>0.5</w:t>
                  </w:r>
                </w:p>
              </w:tc>
              <w:tc>
                <w:tcPr>
                  <w:tcW w:w="1510" w:type="dxa"/>
                  <w:tcBorders>
                    <w:tl2br w:val="nil"/>
                    <w:tr2bl w:val="nil"/>
                  </w:tcBorders>
                  <w:vAlign w:val="center"/>
                </w:tcPr>
                <w:p>
                  <w:pPr>
                    <w:pStyle w:val="185"/>
                    <w:rPr>
                      <w:color w:val="auto"/>
                      <w:sz w:val="21"/>
                      <w:szCs w:val="21"/>
                    </w:rPr>
                  </w:pPr>
                  <w:r>
                    <w:rPr>
                      <w:rFonts w:hint="eastAsia"/>
                      <w:color w:val="auto"/>
                      <w:sz w:val="21"/>
                      <w:szCs w:val="21"/>
                    </w:rPr>
                    <w:t>0.002</w:t>
                  </w:r>
                </w:p>
              </w:tc>
              <w:tc>
                <w:tcPr>
                  <w:tcW w:w="1510" w:type="dxa"/>
                  <w:vMerge w:val="restart"/>
                  <w:tcBorders>
                    <w:tl2br w:val="nil"/>
                    <w:tr2bl w:val="nil"/>
                  </w:tcBorders>
                  <w:shd w:val="clear" w:color="auto" w:fill="auto"/>
                  <w:vAlign w:val="center"/>
                </w:tcPr>
                <w:p>
                  <w:pPr>
                    <w:pStyle w:val="185"/>
                    <w:rPr>
                      <w:color w:val="auto"/>
                      <w:sz w:val="21"/>
                      <w:szCs w:val="21"/>
                    </w:rPr>
                  </w:pPr>
                  <w:r>
                    <w:rPr>
                      <w:color w:val="auto"/>
                      <w:sz w:val="21"/>
                      <w:szCs w:val="21"/>
                    </w:rPr>
                    <w:t>《HJ 169－2018》附录B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81" w:hRule="atLeast"/>
                <w:jc w:val="center"/>
              </w:trPr>
              <w:tc>
                <w:tcPr>
                  <w:tcW w:w="983" w:type="dxa"/>
                  <w:tcBorders>
                    <w:tl2br w:val="nil"/>
                    <w:tr2bl w:val="nil"/>
                  </w:tcBorders>
                  <w:vAlign w:val="center"/>
                </w:tcPr>
                <w:p>
                  <w:pPr>
                    <w:pStyle w:val="185"/>
                    <w:rPr>
                      <w:color w:val="auto"/>
                      <w:sz w:val="21"/>
                      <w:szCs w:val="21"/>
                    </w:rPr>
                  </w:pPr>
                  <w:r>
                    <w:rPr>
                      <w:color w:val="auto"/>
                      <w:sz w:val="21"/>
                      <w:szCs w:val="21"/>
                    </w:rPr>
                    <w:t>3</w:t>
                  </w:r>
                </w:p>
              </w:tc>
              <w:tc>
                <w:tcPr>
                  <w:tcW w:w="2162" w:type="dxa"/>
                  <w:tcBorders>
                    <w:tl2br w:val="nil"/>
                    <w:tr2bl w:val="nil"/>
                  </w:tcBorders>
                  <w:vAlign w:val="center"/>
                </w:tcPr>
                <w:p>
                  <w:pPr>
                    <w:pStyle w:val="185"/>
                    <w:rPr>
                      <w:bCs/>
                      <w:color w:val="auto"/>
                      <w:sz w:val="21"/>
                      <w:szCs w:val="21"/>
                    </w:rPr>
                  </w:pPr>
                  <w:r>
                    <w:rPr>
                      <w:bCs/>
                      <w:color w:val="auto"/>
                      <w:sz w:val="21"/>
                      <w:szCs w:val="21"/>
                    </w:rPr>
                    <w:t>84消毒液（次氯酸钠）</w:t>
                  </w:r>
                </w:p>
              </w:tc>
              <w:tc>
                <w:tcPr>
                  <w:tcW w:w="1381" w:type="dxa"/>
                  <w:tcBorders>
                    <w:tl2br w:val="nil"/>
                    <w:tr2bl w:val="nil"/>
                  </w:tcBorders>
                  <w:shd w:val="clear" w:color="auto" w:fill="auto"/>
                  <w:vAlign w:val="center"/>
                </w:tcPr>
                <w:p>
                  <w:pPr>
                    <w:pStyle w:val="185"/>
                    <w:rPr>
                      <w:color w:val="auto"/>
                      <w:sz w:val="21"/>
                      <w:szCs w:val="21"/>
                    </w:rPr>
                  </w:pPr>
                  <w:r>
                    <w:rPr>
                      <w:rFonts w:hint="eastAsia"/>
                      <w:color w:val="auto"/>
                      <w:sz w:val="21"/>
                      <w:szCs w:val="21"/>
                    </w:rPr>
                    <w:t>0.00113</w:t>
                  </w:r>
                </w:p>
              </w:tc>
              <w:tc>
                <w:tcPr>
                  <w:tcW w:w="1509" w:type="dxa"/>
                  <w:tcBorders>
                    <w:tl2br w:val="nil"/>
                    <w:tr2bl w:val="nil"/>
                  </w:tcBorders>
                  <w:vAlign w:val="center"/>
                </w:tcPr>
                <w:p>
                  <w:pPr>
                    <w:pStyle w:val="185"/>
                    <w:rPr>
                      <w:color w:val="auto"/>
                      <w:sz w:val="21"/>
                      <w:szCs w:val="21"/>
                    </w:rPr>
                  </w:pPr>
                  <w:r>
                    <w:rPr>
                      <w:color w:val="auto"/>
                      <w:sz w:val="21"/>
                      <w:szCs w:val="21"/>
                    </w:rPr>
                    <w:t>5</w:t>
                  </w:r>
                </w:p>
              </w:tc>
              <w:tc>
                <w:tcPr>
                  <w:tcW w:w="1510" w:type="dxa"/>
                  <w:tcBorders>
                    <w:tl2br w:val="nil"/>
                    <w:tr2bl w:val="nil"/>
                  </w:tcBorders>
                  <w:vAlign w:val="center"/>
                </w:tcPr>
                <w:p>
                  <w:pPr>
                    <w:pStyle w:val="185"/>
                    <w:rPr>
                      <w:color w:val="auto"/>
                      <w:sz w:val="21"/>
                      <w:szCs w:val="21"/>
                    </w:rPr>
                  </w:pPr>
                  <w:r>
                    <w:rPr>
                      <w:rFonts w:hint="eastAsia"/>
                      <w:color w:val="auto"/>
                      <w:sz w:val="21"/>
                      <w:szCs w:val="21"/>
                    </w:rPr>
                    <w:t>0.000226</w:t>
                  </w:r>
                </w:p>
              </w:tc>
              <w:tc>
                <w:tcPr>
                  <w:tcW w:w="1510" w:type="dxa"/>
                  <w:vMerge w:val="continue"/>
                  <w:tcBorders>
                    <w:tl2br w:val="nil"/>
                    <w:tr2bl w:val="nil"/>
                  </w:tcBorders>
                  <w:vAlign w:val="center"/>
                </w:tcPr>
                <w:p>
                  <w:pPr>
                    <w:pStyle w:val="185"/>
                    <w:rPr>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81" w:hRule="atLeast"/>
                <w:jc w:val="center"/>
              </w:trPr>
              <w:tc>
                <w:tcPr>
                  <w:tcW w:w="6035" w:type="dxa"/>
                  <w:gridSpan w:val="4"/>
                  <w:tcBorders>
                    <w:tl2br w:val="nil"/>
                    <w:tr2bl w:val="nil"/>
                  </w:tcBorders>
                  <w:vAlign w:val="center"/>
                </w:tcPr>
                <w:p>
                  <w:pPr>
                    <w:pStyle w:val="185"/>
                    <w:rPr>
                      <w:color w:val="auto"/>
                      <w:sz w:val="21"/>
                      <w:szCs w:val="21"/>
                    </w:rPr>
                  </w:pPr>
                  <w:r>
                    <w:rPr>
                      <w:color w:val="auto"/>
                      <w:sz w:val="21"/>
                      <w:szCs w:val="21"/>
                    </w:rPr>
                    <w:t>合计</w:t>
                  </w:r>
                </w:p>
              </w:tc>
              <w:tc>
                <w:tcPr>
                  <w:tcW w:w="1510" w:type="dxa"/>
                  <w:tcBorders>
                    <w:tl2br w:val="nil"/>
                    <w:tr2bl w:val="nil"/>
                  </w:tcBorders>
                  <w:vAlign w:val="center"/>
                </w:tcPr>
                <w:p>
                  <w:pPr>
                    <w:pStyle w:val="185"/>
                    <w:rPr>
                      <w:color w:val="auto"/>
                      <w:sz w:val="21"/>
                      <w:szCs w:val="21"/>
                    </w:rPr>
                  </w:pPr>
                  <w:r>
                    <w:rPr>
                      <w:rFonts w:hint="eastAsia"/>
                      <w:color w:val="auto"/>
                      <w:sz w:val="21"/>
                      <w:szCs w:val="21"/>
                    </w:rPr>
                    <w:t>0.002231</w:t>
                  </w:r>
                </w:p>
              </w:tc>
              <w:tc>
                <w:tcPr>
                  <w:tcW w:w="1510" w:type="dxa"/>
                  <w:tcBorders>
                    <w:tl2br w:val="nil"/>
                    <w:tr2bl w:val="nil"/>
                  </w:tcBorders>
                  <w:vAlign w:val="center"/>
                </w:tcPr>
                <w:p>
                  <w:pPr>
                    <w:pStyle w:val="185"/>
                    <w:rPr>
                      <w:color w:val="auto"/>
                      <w:sz w:val="21"/>
                      <w:szCs w:val="21"/>
                    </w:rPr>
                  </w:pPr>
                  <w:r>
                    <w:rPr>
                      <w:color w:val="auto"/>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81" w:hRule="atLeast"/>
                <w:jc w:val="center"/>
              </w:trPr>
              <w:tc>
                <w:tcPr>
                  <w:tcW w:w="9055" w:type="dxa"/>
                  <w:gridSpan w:val="6"/>
                  <w:tcBorders>
                    <w:tl2br w:val="nil"/>
                    <w:tr2bl w:val="nil"/>
                  </w:tcBorders>
                  <w:vAlign w:val="center"/>
                </w:tcPr>
                <w:p>
                  <w:pPr>
                    <w:pStyle w:val="185"/>
                    <w:rPr>
                      <w:color w:val="auto"/>
                      <w:sz w:val="21"/>
                      <w:szCs w:val="21"/>
                    </w:rPr>
                  </w:pPr>
                  <w:r>
                    <w:rPr>
                      <w:color w:val="auto"/>
                      <w:sz w:val="21"/>
                      <w:szCs w:val="21"/>
                    </w:rPr>
                    <w:t>q1/Q1+ q2/Q2+……+qn/Qn=</w:t>
                  </w:r>
                  <w:r>
                    <w:rPr>
                      <w:rFonts w:hint="eastAsia"/>
                      <w:color w:val="auto"/>
                      <w:sz w:val="21"/>
                      <w:szCs w:val="21"/>
                    </w:rPr>
                    <w:t>0.002231</w:t>
                  </w:r>
                  <w:r>
                    <w:rPr>
                      <w:color w:val="auto"/>
                      <w:sz w:val="21"/>
                      <w:szCs w:val="21"/>
                    </w:rPr>
                    <w:t>&lt;1</w:t>
                  </w:r>
                </w:p>
              </w:tc>
            </w:tr>
          </w:tbl>
          <w:p>
            <w:pPr>
              <w:adjustRightInd/>
              <w:snapToGrid/>
              <w:spacing w:before="120" w:beforeLines="50"/>
              <w:ind w:firstLine="420"/>
              <w:rPr>
                <w:bCs/>
                <w:color w:val="auto"/>
                <w:szCs w:val="21"/>
              </w:rPr>
            </w:pPr>
            <w:r>
              <w:rPr>
                <w:bCs/>
                <w:color w:val="auto"/>
                <w:szCs w:val="21"/>
              </w:rPr>
              <w:t>根据上表可知，企业环境风险单元为化验室，所有风险物质在院区内的最大暂存量均未超过其临界量，且Q≈</w:t>
            </w:r>
            <w:r>
              <w:rPr>
                <w:rFonts w:hint="eastAsia"/>
                <w:bCs/>
                <w:color w:val="auto"/>
                <w:szCs w:val="21"/>
              </w:rPr>
              <w:t>0.002231</w:t>
            </w:r>
            <w:r>
              <w:rPr>
                <w:bCs/>
                <w:color w:val="auto"/>
                <w:szCs w:val="21"/>
              </w:rPr>
              <w:t>，即Q＜1，</w:t>
            </w:r>
            <w:r>
              <w:rPr>
                <w:color w:val="auto"/>
              </w:rPr>
              <w:t>项目风险潜势为Ⅰ，确定环境风险评价工作等级为简单分析。</w:t>
            </w:r>
          </w:p>
          <w:p>
            <w:pPr>
              <w:ind w:firstLine="422"/>
              <w:rPr>
                <w:b/>
                <w:bCs/>
                <w:color w:val="auto"/>
                <w:szCs w:val="21"/>
              </w:rPr>
            </w:pPr>
            <w:r>
              <w:rPr>
                <w:b/>
                <w:bCs/>
                <w:color w:val="auto"/>
                <w:szCs w:val="21"/>
              </w:rPr>
              <w:t>（2）环境风险识别</w:t>
            </w:r>
          </w:p>
          <w:p>
            <w:pPr>
              <w:ind w:firstLine="420"/>
              <w:rPr>
                <w:bCs/>
                <w:color w:val="auto"/>
                <w:szCs w:val="21"/>
              </w:rPr>
            </w:pPr>
            <w:r>
              <w:rPr>
                <w:bCs/>
                <w:color w:val="auto"/>
                <w:szCs w:val="21"/>
              </w:rPr>
              <w:t>1）医疗废水事故排放风险</w:t>
            </w:r>
          </w:p>
          <w:p>
            <w:pPr>
              <w:ind w:firstLine="420"/>
              <w:rPr>
                <w:bCs/>
                <w:color w:val="auto"/>
                <w:szCs w:val="21"/>
              </w:rPr>
            </w:pPr>
            <w:r>
              <w:rPr>
                <w:bCs/>
                <w:color w:val="auto"/>
                <w:szCs w:val="21"/>
              </w:rPr>
              <w:t>医疗废水处理过程中的事故因素包括两方面：一是操作不当或处理设施失灵，废水不能达标排放。医疗废水可能沾染患病宠物的血、尿、便，或受到粪便、传染性细菌和病毒等病原性微生物污染，具有传染性，可以诱发疾病或造成伤害。含有酸、碱、SS、BOD</w:t>
            </w:r>
            <w:r>
              <w:rPr>
                <w:bCs/>
                <w:color w:val="auto"/>
                <w:szCs w:val="21"/>
                <w:vertAlign w:val="subscript"/>
              </w:rPr>
              <w:t>5</w:t>
            </w:r>
            <w:r>
              <w:rPr>
                <w:bCs/>
                <w:color w:val="auto"/>
                <w:szCs w:val="21"/>
              </w:rPr>
              <w:t>、COD等有毒、有害物质和多种致病菌、病毒和寄生虫卵，它们在环境中具有一定的适应力，有的甚至在污水中存活较长，危害性较大；二是虽然废水水质处理达标，但未能较好的控制水量，使过多的余氯、大肠杆菌排放水体，影响附近的水环境质量。</w:t>
            </w:r>
          </w:p>
          <w:p>
            <w:pPr>
              <w:ind w:firstLine="420"/>
              <w:rPr>
                <w:bCs/>
                <w:color w:val="auto"/>
                <w:szCs w:val="21"/>
              </w:rPr>
            </w:pPr>
            <w:r>
              <w:rPr>
                <w:bCs/>
                <w:color w:val="auto"/>
                <w:szCs w:val="21"/>
              </w:rPr>
              <w:t>2）医疗废物收集、贮存、运送风险</w:t>
            </w:r>
          </w:p>
          <w:p>
            <w:pPr>
              <w:ind w:firstLine="420"/>
              <w:rPr>
                <w:bCs/>
                <w:color w:val="auto"/>
                <w:szCs w:val="21"/>
              </w:rPr>
            </w:pPr>
            <w:r>
              <w:rPr>
                <w:bCs/>
                <w:color w:val="auto"/>
                <w:szCs w:val="21"/>
              </w:rPr>
              <w:t>医疗废物中可能存在传染性病菌、病毒、化学污染物等有害物质，由于医疗废物具有空间污染、急性传染和潜伏性污染等特征，其病毒、病菌的危害性是普通生活垃圾的几十、几百甚至上千倍，且基本没有回收再利用的价值。医疗废物如不经有效分类收集处理的话，很容易引起各种疾病的传播和蔓延，将极大地危害人们身心健康，成为疫病流行的源头。</w:t>
            </w:r>
          </w:p>
          <w:p>
            <w:pPr>
              <w:ind w:firstLine="420"/>
              <w:rPr>
                <w:bCs/>
                <w:color w:val="auto"/>
                <w:szCs w:val="21"/>
              </w:rPr>
            </w:pPr>
            <w:r>
              <w:rPr>
                <w:bCs/>
                <w:color w:val="auto"/>
                <w:szCs w:val="21"/>
              </w:rPr>
              <w:t>3）风险物质储存风险</w:t>
            </w:r>
          </w:p>
          <w:p>
            <w:pPr>
              <w:ind w:firstLine="420"/>
              <w:rPr>
                <w:bCs/>
                <w:color w:val="auto"/>
                <w:szCs w:val="21"/>
              </w:rPr>
            </w:pPr>
            <w:r>
              <w:rPr>
                <w:bCs/>
                <w:color w:val="auto"/>
                <w:szCs w:val="21"/>
              </w:rPr>
              <w:t>医用酒精、二氧化氯消毒片及84消毒液等风险物质，如储存不当或容器破裂，会发生泄漏，可能会影响外环境及员工健康。</w:t>
            </w:r>
          </w:p>
          <w:p>
            <w:pPr>
              <w:ind w:firstLine="422"/>
              <w:jc w:val="left"/>
              <w:rPr>
                <w:b/>
                <w:snapToGrid w:val="0"/>
                <w:color w:val="auto"/>
                <w:kern w:val="0"/>
                <w:szCs w:val="21"/>
              </w:rPr>
            </w:pPr>
            <w:r>
              <w:rPr>
                <w:b/>
                <w:snapToGrid w:val="0"/>
                <w:color w:val="auto"/>
                <w:kern w:val="0"/>
                <w:szCs w:val="21"/>
              </w:rPr>
              <w:t>（3）环境风险防范措施</w:t>
            </w:r>
          </w:p>
          <w:p>
            <w:pPr>
              <w:ind w:firstLine="420"/>
              <w:rPr>
                <w:color w:val="auto"/>
                <w:kern w:val="0"/>
                <w:szCs w:val="21"/>
              </w:rPr>
            </w:pPr>
            <w:r>
              <w:rPr>
                <w:color w:val="auto"/>
                <w:kern w:val="0"/>
                <w:szCs w:val="21"/>
              </w:rPr>
              <w:t>1）医疗废水事故排放防范及应急措施</w:t>
            </w:r>
          </w:p>
          <w:p>
            <w:pPr>
              <w:ind w:firstLine="420"/>
              <w:rPr>
                <w:color w:val="auto"/>
                <w:kern w:val="0"/>
                <w:szCs w:val="21"/>
              </w:rPr>
            </w:pPr>
            <w:r>
              <w:rPr>
                <w:color w:val="auto"/>
                <w:kern w:val="0"/>
                <w:szCs w:val="21"/>
              </w:rPr>
              <w:t>为减轻污染负荷，应避免出现废水事故性排放，本项目采取以下防范及应急措施：</w:t>
            </w:r>
          </w:p>
          <w:p>
            <w:pPr>
              <w:ind w:firstLine="420"/>
              <w:rPr>
                <w:color w:val="auto"/>
                <w:kern w:val="0"/>
                <w:szCs w:val="21"/>
              </w:rPr>
            </w:pPr>
            <w:r>
              <w:rPr>
                <w:rFonts w:hint="eastAsia" w:ascii="宋体" w:hAnsi="宋体" w:cs="宋体"/>
                <w:color w:val="auto"/>
                <w:kern w:val="0"/>
                <w:szCs w:val="21"/>
              </w:rPr>
              <w:t>①</w:t>
            </w:r>
            <w:r>
              <w:rPr>
                <w:color w:val="auto"/>
                <w:kern w:val="0"/>
                <w:szCs w:val="21"/>
              </w:rPr>
              <w:t>加强项目消毒设备、管线、阀门等设备元器件的维护保养，对系统的薄弱环节的地方，加强检查、维护保养，及时更新。对处理设备故障要及时抢修，防止因处理设备故障抢修不及时而造成污水超标排放。</w:t>
            </w:r>
          </w:p>
          <w:p>
            <w:pPr>
              <w:ind w:firstLine="420"/>
              <w:rPr>
                <w:color w:val="auto"/>
                <w:kern w:val="0"/>
                <w:szCs w:val="21"/>
              </w:rPr>
            </w:pPr>
            <w:r>
              <w:rPr>
                <w:rFonts w:hint="eastAsia" w:ascii="宋体" w:hAnsi="宋体" w:cs="宋体"/>
                <w:color w:val="auto"/>
                <w:kern w:val="0"/>
                <w:szCs w:val="21"/>
              </w:rPr>
              <w:t>②</w:t>
            </w:r>
            <w:r>
              <w:rPr>
                <w:color w:val="auto"/>
                <w:kern w:val="0"/>
                <w:szCs w:val="21"/>
              </w:rPr>
              <w:t>加强对操作人员的岗位培训，建立健全的环保管理机制和各项环保规章制度，落实岗位环保责任制，加强环境风险防范工作，防止事故排放导致的环境问题。</w:t>
            </w:r>
          </w:p>
          <w:p>
            <w:pPr>
              <w:ind w:firstLine="420"/>
              <w:rPr>
                <w:color w:val="auto"/>
              </w:rPr>
            </w:pPr>
            <w:r>
              <w:rPr>
                <w:color w:val="auto"/>
              </w:rPr>
              <w:t>2）医疗废物收集、贮存风险防范措施</w:t>
            </w:r>
          </w:p>
          <w:p>
            <w:pPr>
              <w:ind w:firstLine="420"/>
              <w:rPr>
                <w:color w:val="auto"/>
              </w:rPr>
            </w:pPr>
            <w:r>
              <w:rPr>
                <w:color w:val="auto"/>
              </w:rPr>
              <w:t>项目设置1处危废贮存点，按照《危险废物贮存污染控制标准》（GB 18597-2023）、《危险废物识别标志设置技术规范》（HJ 1276-2022）、《危险废物收集贮存运输技术规范》（HJ2025-2012）、《危险废物转移管理办法》（生态环境部、公安部、交通运输部令第23号公布）等中的相关要求对医疗废物进行分类收集、暂存、转运、处置后，项目医疗废物可得到妥善处置，不会对周围环境产生较大的影响。</w:t>
            </w:r>
          </w:p>
          <w:p>
            <w:pPr>
              <w:ind w:firstLine="420"/>
              <w:rPr>
                <w:color w:val="auto"/>
              </w:rPr>
            </w:pPr>
            <w:r>
              <w:rPr>
                <w:color w:val="auto"/>
              </w:rPr>
              <w:t>同时，医院设置负责医疗废物管理的专（兼）职人员，按照《危险废物管理计划和管理台账制定技术导则》（HJ1259-2022）负责检查、督促、落实本单位医疗废物的管理工作，建立医疗废物管理责任制，制定并落实相应的规章制度、工作程序和要求、有关人员的工作职责，同时对本单位从事医疗废物收集、贮存等工作的人员和管理人员，进行相关法律和专业技术、安全防护以及紧急处理等知识的培训。采取上述措施后，本项目医疗废物收集、贮存过程中的环境风险可控。</w:t>
            </w:r>
          </w:p>
          <w:p>
            <w:pPr>
              <w:ind w:firstLine="420"/>
              <w:rPr>
                <w:color w:val="auto"/>
              </w:rPr>
            </w:pPr>
            <w:r>
              <w:rPr>
                <w:color w:val="auto"/>
              </w:rPr>
              <w:t xml:space="preserve">3）医用酒精、消毒剂等事故性泄漏风险防范措施 </w:t>
            </w:r>
          </w:p>
          <w:p>
            <w:pPr>
              <w:ind w:firstLine="420"/>
              <w:rPr>
                <w:color w:val="auto"/>
              </w:rPr>
            </w:pPr>
            <w:r>
              <w:rPr>
                <w:color w:val="auto"/>
              </w:rPr>
              <w:t>项目参照实验室药品管理要求，酒精、消毒剂应摆放至相应位置，贴上相应标签，设专人管理；项目存放的酒精、消毒剂每次取用后应立即将容器上盖封闭，严禁敞开放置，一旦发生倾倒泄漏，立即采用抹布吸附处理；酒精、消毒剂应避免用玻璃瓶存放，防止跌落破损，应远离火种、热源，温度不宜超过30℃，防止阳光直射储存。</w:t>
            </w:r>
          </w:p>
          <w:p>
            <w:pPr>
              <w:ind w:firstLine="420"/>
              <w:rPr>
                <w:color w:val="auto"/>
              </w:rPr>
            </w:pPr>
            <w:r>
              <w:rPr>
                <w:color w:val="auto"/>
              </w:rPr>
              <w:t>4）动物疫情风险防范措施</w:t>
            </w:r>
          </w:p>
          <w:p>
            <w:pPr>
              <w:ind w:firstLine="420"/>
              <w:rPr>
                <w:color w:val="auto"/>
              </w:rPr>
            </w:pPr>
            <w:r>
              <w:rPr>
                <w:color w:val="auto"/>
              </w:rPr>
              <w:t>项目为宠物医院，主要接待患病猫犬，发病且传染的可能性较高。医院仅对一般宠物感染病症进行隔离治疗；医院不接收经诊断患人畜交叉感染传染病的宠物，若本医院诊断有疑似人畜共患传染病，及时报当地动物卫生监督部门，严格按照《</w:t>
            </w:r>
            <w:r>
              <w:rPr>
                <w:rFonts w:hint="eastAsia"/>
                <w:color w:val="auto"/>
              </w:rPr>
              <w:t>重庆市动物防疫条例</w:t>
            </w:r>
            <w:r>
              <w:rPr>
                <w:color w:val="auto"/>
              </w:rPr>
              <w:t>》、《重庆市无规定动物疫病区管理办法》的相关规定进行管理。</w:t>
            </w:r>
          </w:p>
          <w:p>
            <w:pPr>
              <w:ind w:firstLine="420"/>
              <w:rPr>
                <w:color w:val="auto"/>
              </w:rPr>
            </w:pPr>
            <w:r>
              <w:rPr>
                <w:color w:val="auto"/>
              </w:rPr>
              <w:t>为预防动物疫情的风险，主要采取的措施包括：</w:t>
            </w:r>
          </w:p>
          <w:p>
            <w:pPr>
              <w:ind w:firstLine="420"/>
              <w:rPr>
                <w:color w:val="auto"/>
              </w:rPr>
            </w:pPr>
            <w:r>
              <w:rPr>
                <w:color w:val="auto"/>
              </w:rPr>
              <w:t>建立突发动物疫情预防控制体系，做好日常预防准备工作，及时向本级兽医主管部门通报可能导致疫情的信息，做到信息互通、资源共享。发现动物群体发病或者死亡的，应当以电话或书面等形式，立即向当地兽医部门报告，本项目送资质单位无害化处理。</w:t>
            </w:r>
          </w:p>
          <w:p>
            <w:pPr>
              <w:ind w:firstLine="420"/>
              <w:rPr>
                <w:color w:val="auto"/>
              </w:rPr>
            </w:pPr>
            <w:r>
              <w:rPr>
                <w:color w:val="auto"/>
              </w:rPr>
              <w:t>建立严格的卫生防疫制度，要认真贯彻“防重于治”的方针，必须建立严格的卫生防疫制度、健全卫生防疫设施，以确保安全生产。建立正常的卫生防疫制度，按计划进行清扫、消毒，按计划对宠物实施免疫程序，建立免疫档案。营运过程中一旦发生宠物带有传染性病变的可能时，立即进行隔离并采取安全清洁措施。治疗医生同样采取清洁安全化操作，防止在诊疗过程中传染其他动物甚至人群。</w:t>
            </w:r>
          </w:p>
          <w:p>
            <w:pPr>
              <w:ind w:firstLine="422"/>
              <w:rPr>
                <w:b/>
                <w:color w:val="auto"/>
              </w:rPr>
            </w:pPr>
            <w:r>
              <w:rPr>
                <w:b/>
                <w:color w:val="auto"/>
              </w:rPr>
              <w:t>（4）环境风险评价结论</w:t>
            </w:r>
          </w:p>
          <w:p>
            <w:pPr>
              <w:ind w:firstLine="420"/>
              <w:rPr>
                <w:color w:val="auto"/>
              </w:rPr>
            </w:pPr>
            <w:r>
              <w:rPr>
                <w:color w:val="auto"/>
                <w:kern w:val="0"/>
                <w:szCs w:val="21"/>
              </w:rPr>
              <w:t>本项目风险物质的使用量和存储量较小，项目不构成重大风险源，通过采取相应的风险防范措施，可以将项目的风险水平降到较低的水平，因此本项目的环境风险水平在可接受的范围。</w:t>
            </w:r>
          </w:p>
          <w:p>
            <w:pPr>
              <w:adjustRightInd/>
              <w:snapToGrid/>
              <w:ind w:firstLine="422"/>
              <w:rPr>
                <w:b/>
                <w:color w:val="auto"/>
              </w:rPr>
            </w:pPr>
            <w:r>
              <w:rPr>
                <w:b/>
                <w:color w:val="auto"/>
              </w:rPr>
              <w:t>7、以新带老措施</w:t>
            </w:r>
          </w:p>
          <w:p>
            <w:pPr>
              <w:ind w:firstLine="420"/>
              <w:rPr>
                <w:color w:val="auto"/>
                <w:szCs w:val="21"/>
              </w:rPr>
            </w:pPr>
            <w:r>
              <w:rPr>
                <w:color w:val="auto"/>
                <w:szCs w:val="21"/>
              </w:rPr>
              <w:t>本项目“以新带老”措施详见表4-1</w:t>
            </w:r>
            <w:r>
              <w:rPr>
                <w:rFonts w:hint="eastAsia"/>
                <w:color w:val="auto"/>
                <w:szCs w:val="21"/>
              </w:rPr>
              <w:t>7</w:t>
            </w:r>
            <w:r>
              <w:rPr>
                <w:color w:val="auto"/>
                <w:szCs w:val="21"/>
              </w:rPr>
              <w:t>。</w:t>
            </w:r>
          </w:p>
          <w:p>
            <w:pPr>
              <w:pStyle w:val="76"/>
              <w:spacing w:line="240" w:lineRule="auto"/>
              <w:ind w:firstLine="422"/>
              <w:rPr>
                <w:color w:val="auto"/>
                <w:sz w:val="21"/>
              </w:rPr>
            </w:pPr>
            <w:r>
              <w:rPr>
                <w:color w:val="auto"/>
                <w:sz w:val="21"/>
              </w:rPr>
              <w:t>表4-1</w:t>
            </w:r>
            <w:r>
              <w:rPr>
                <w:rFonts w:hint="eastAsia"/>
                <w:color w:val="auto"/>
                <w:sz w:val="21"/>
              </w:rPr>
              <w:t>7</w:t>
            </w:r>
            <w:r>
              <w:rPr>
                <w:color w:val="auto"/>
                <w:sz w:val="21"/>
              </w:rPr>
              <w:t xml:space="preserve">    项目“以新带老”措施一览表</w:t>
            </w:r>
          </w:p>
          <w:tbl>
            <w:tblPr>
              <w:tblStyle w:val="40"/>
              <w:tblW w:w="9079"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11"/>
              <w:gridCol w:w="3308"/>
              <w:gridCol w:w="516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11"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序号</w:t>
                  </w:r>
                </w:p>
              </w:tc>
              <w:tc>
                <w:tcPr>
                  <w:tcW w:w="3308"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现有问题</w:t>
                  </w:r>
                </w:p>
              </w:tc>
              <w:tc>
                <w:tcPr>
                  <w:tcW w:w="5160"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“以新带老”措施</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11" w:type="dxa"/>
                  <w:tcBorders>
                    <w:tl2br w:val="nil"/>
                    <w:tr2bl w:val="nil"/>
                  </w:tcBorders>
                  <w:vAlign w:val="center"/>
                </w:tcPr>
                <w:p>
                  <w:pPr>
                    <w:adjustRightInd/>
                    <w:snapToGrid/>
                    <w:spacing w:line="240" w:lineRule="auto"/>
                    <w:ind w:firstLine="0" w:firstLineChars="0"/>
                    <w:jc w:val="center"/>
                    <w:rPr>
                      <w:color w:val="auto"/>
                      <w:szCs w:val="21"/>
                    </w:rPr>
                  </w:pPr>
                  <w:r>
                    <w:rPr>
                      <w:color w:val="auto"/>
                      <w:szCs w:val="21"/>
                    </w:rPr>
                    <w:t>1</w:t>
                  </w:r>
                </w:p>
              </w:tc>
              <w:tc>
                <w:tcPr>
                  <w:tcW w:w="3308" w:type="dxa"/>
                  <w:tcBorders>
                    <w:tl2br w:val="nil"/>
                    <w:tr2bl w:val="nil"/>
                  </w:tcBorders>
                  <w:vAlign w:val="center"/>
                </w:tcPr>
                <w:p>
                  <w:pPr>
                    <w:adjustRightInd/>
                    <w:snapToGrid/>
                    <w:spacing w:line="240" w:lineRule="auto"/>
                    <w:ind w:firstLine="0" w:firstLineChars="0"/>
                    <w:rPr>
                      <w:color w:val="auto"/>
                      <w:szCs w:val="21"/>
                      <w:highlight w:val="none"/>
                    </w:rPr>
                  </w:pPr>
                  <w:r>
                    <w:rPr>
                      <w:rFonts w:hint="eastAsia"/>
                      <w:color w:val="auto"/>
                      <w:szCs w:val="21"/>
                      <w:highlight w:val="none"/>
                    </w:rPr>
                    <w:t>现有</w:t>
                  </w:r>
                  <w:r>
                    <w:rPr>
                      <w:color w:val="auto"/>
                      <w:szCs w:val="21"/>
                      <w:highlight w:val="none"/>
                    </w:rPr>
                    <w:t>项目仅</w:t>
                  </w:r>
                  <w:r>
                    <w:rPr>
                      <w:rFonts w:hint="eastAsia"/>
                      <w:color w:val="auto"/>
                      <w:szCs w:val="21"/>
                      <w:highlight w:val="none"/>
                    </w:rPr>
                    <w:t>在</w:t>
                  </w:r>
                  <w:r>
                    <w:rPr>
                      <w:color w:val="auto"/>
                      <w:szCs w:val="21"/>
                      <w:highlight w:val="none"/>
                    </w:rPr>
                    <w:t>诊室、手术室、住院部等</w:t>
                  </w:r>
                  <w:r>
                    <w:rPr>
                      <w:rFonts w:hint="eastAsia"/>
                      <w:color w:val="auto"/>
                      <w:szCs w:val="21"/>
                      <w:highlight w:val="none"/>
                    </w:rPr>
                    <w:t>产生点设置医疗废物专用收集桶分类收集</w:t>
                  </w:r>
                  <w:r>
                    <w:rPr>
                      <w:color w:val="auto"/>
                      <w:szCs w:val="21"/>
                      <w:highlight w:val="none"/>
                    </w:rPr>
                    <w:t>医疗废物</w:t>
                  </w:r>
                  <w:r>
                    <w:rPr>
                      <w:rFonts w:hint="eastAsia"/>
                      <w:color w:val="auto"/>
                      <w:szCs w:val="21"/>
                      <w:highlight w:val="none"/>
                    </w:rPr>
                    <w:t>，未设置危险废物集中贮存点。</w:t>
                  </w:r>
                </w:p>
              </w:tc>
              <w:tc>
                <w:tcPr>
                  <w:tcW w:w="5160" w:type="dxa"/>
                  <w:tcBorders>
                    <w:tl2br w:val="nil"/>
                    <w:tr2bl w:val="nil"/>
                  </w:tcBorders>
                  <w:vAlign w:val="center"/>
                </w:tcPr>
                <w:p>
                  <w:pPr>
                    <w:adjustRightInd/>
                    <w:snapToGrid/>
                    <w:spacing w:line="240" w:lineRule="auto"/>
                    <w:ind w:firstLine="0" w:firstLineChars="0"/>
                    <w:rPr>
                      <w:color w:val="auto"/>
                      <w:szCs w:val="21"/>
                      <w:highlight w:val="none"/>
                    </w:rPr>
                  </w:pPr>
                  <w:r>
                    <w:rPr>
                      <w:rFonts w:hint="eastAsia"/>
                      <w:color w:val="auto"/>
                      <w:kern w:val="0"/>
                      <w:szCs w:val="21"/>
                      <w:highlight w:val="none"/>
                      <w:lang w:bidi="ar"/>
                    </w:rPr>
                    <w:t>在院内东侧设独立危废贮存点对危险废物进行集中贮存，建筑面积约</w:t>
                  </w:r>
                  <w:r>
                    <w:rPr>
                      <w:color w:val="auto"/>
                      <w:szCs w:val="21"/>
                      <w:highlight w:val="none"/>
                    </w:rPr>
                    <w:t>2m</w:t>
                  </w:r>
                  <w:r>
                    <w:rPr>
                      <w:color w:val="auto"/>
                      <w:szCs w:val="21"/>
                      <w:highlight w:val="none"/>
                      <w:vertAlign w:val="superscript"/>
                    </w:rPr>
                    <w:t>2</w:t>
                  </w:r>
                  <w:r>
                    <w:rPr>
                      <w:rFonts w:hint="eastAsia"/>
                      <w:color w:val="auto"/>
                      <w:kern w:val="0"/>
                      <w:szCs w:val="21"/>
                      <w:highlight w:val="none"/>
                      <w:lang w:bidi="ar"/>
                    </w:rPr>
                    <w:t>。贮存点</w:t>
                  </w:r>
                  <w:r>
                    <w:rPr>
                      <w:color w:val="auto"/>
                      <w:szCs w:val="21"/>
                      <w:highlight w:val="none"/>
                    </w:rPr>
                    <w:t>严格按照《危险废物贮存污染控制标准》（GB 18597-2023）中的要求设置，同时按照《危险废物识别标志设置技术规范》（HJ1276-2022）设置危险废物标识标牌。</w:t>
                  </w:r>
                  <w:r>
                    <w:rPr>
                      <w:rFonts w:hint="eastAsia"/>
                      <w:color w:val="auto"/>
                      <w:kern w:val="0"/>
                      <w:highlight w:val="none"/>
                    </w:rPr>
                    <w:t>贮存点内医疗废物和废紫外线灯管进行分区贮存，各类危废采用专用包装贮存，定期交资质单位处置。</w:t>
                  </w:r>
                </w:p>
              </w:tc>
            </w:tr>
          </w:tbl>
          <w:p>
            <w:pPr>
              <w:ind w:firstLine="420"/>
              <w:rPr>
                <w:color w:val="auto"/>
              </w:rPr>
            </w:pPr>
          </w:p>
        </w:tc>
      </w:tr>
    </w:tbl>
    <w:p>
      <w:pPr>
        <w:ind w:firstLine="420"/>
        <w:rPr>
          <w:color w:val="auto"/>
        </w:rPr>
      </w:pPr>
    </w:p>
    <w:p>
      <w:pPr>
        <w:ind w:firstLine="562"/>
        <w:rPr>
          <w:b/>
          <w:color w:val="auto"/>
          <w:kern w:val="0"/>
          <w:sz w:val="28"/>
          <w:szCs w:val="28"/>
        </w:rPr>
        <w:sectPr>
          <w:pgSz w:w="11907" w:h="16840"/>
          <w:pgMar w:top="1440" w:right="1080" w:bottom="1440" w:left="1080" w:header="851" w:footer="851" w:gutter="0"/>
          <w:cols w:space="720" w:num="1"/>
          <w:docGrid w:linePitch="312" w:charSpace="0"/>
        </w:sectPr>
      </w:pPr>
    </w:p>
    <w:p>
      <w:pPr>
        <w:pStyle w:val="5"/>
        <w:rPr>
          <w:rFonts w:eastAsia="宋体"/>
          <w:snapToGrid w:val="0"/>
          <w:color w:val="auto"/>
        </w:rPr>
      </w:pPr>
      <w:r>
        <w:rPr>
          <w:rFonts w:eastAsia="宋体"/>
          <w:snapToGrid w:val="0"/>
          <w:color w:val="auto"/>
        </w:rPr>
        <w:t>五、</w:t>
      </w:r>
      <w:bookmarkStart w:id="8" w:name="_Hlk54167917"/>
      <w:r>
        <w:rPr>
          <w:rFonts w:eastAsia="宋体"/>
          <w:snapToGrid w:val="0"/>
          <w:color w:val="auto"/>
        </w:rPr>
        <w:t>环境保护措施监督检查清单</w:t>
      </w:r>
      <w:bookmarkEnd w:id="8"/>
    </w:p>
    <w:tbl>
      <w:tblPr>
        <w:tblStyle w:val="40"/>
        <w:tblW w:w="996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1925"/>
        <w:gridCol w:w="1606"/>
        <w:gridCol w:w="2407"/>
        <w:gridCol w:w="21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14" w:type="dxa"/>
            <w:tcBorders>
              <w:top w:val="single" w:color="auto" w:sz="4" w:space="0"/>
              <w:left w:val="single" w:color="auto" w:sz="4" w:space="0"/>
              <w:bottom w:val="single" w:color="auto" w:sz="4" w:space="0"/>
              <w:tl2br w:val="single" w:color="auto" w:sz="4" w:space="0"/>
            </w:tcBorders>
            <w:vAlign w:val="center"/>
          </w:tcPr>
          <w:p>
            <w:pPr>
              <w:pStyle w:val="167"/>
              <w:adjustRightInd/>
              <w:snapToGrid/>
              <w:jc w:val="center"/>
              <w:rPr>
                <w:color w:val="auto"/>
              </w:rPr>
            </w:pPr>
            <w:r>
              <w:rPr>
                <w:color w:val="auto"/>
              </w:rPr>
              <w:t xml:space="preserve">     内容</w:t>
            </w:r>
          </w:p>
          <w:p>
            <w:pPr>
              <w:pStyle w:val="167"/>
              <w:adjustRightInd/>
              <w:snapToGrid/>
              <w:rPr>
                <w:color w:val="auto"/>
              </w:rPr>
            </w:pPr>
            <w:r>
              <w:rPr>
                <w:color w:val="auto"/>
              </w:rPr>
              <w:t>要素</w:t>
            </w:r>
          </w:p>
        </w:tc>
        <w:tc>
          <w:tcPr>
            <w:tcW w:w="1925" w:type="dxa"/>
            <w:tcBorders>
              <w:top w:val="single" w:color="auto" w:sz="4" w:space="0"/>
              <w:bottom w:val="single" w:color="auto" w:sz="4" w:space="0"/>
            </w:tcBorders>
            <w:vAlign w:val="center"/>
          </w:tcPr>
          <w:p>
            <w:pPr>
              <w:pStyle w:val="167"/>
              <w:adjustRightInd/>
              <w:snapToGrid/>
              <w:jc w:val="center"/>
              <w:rPr>
                <w:color w:val="auto"/>
              </w:rPr>
            </w:pPr>
            <w:r>
              <w:rPr>
                <w:color w:val="auto"/>
              </w:rPr>
              <w:t>排放口(编号、名称)/污染源</w:t>
            </w:r>
          </w:p>
        </w:tc>
        <w:tc>
          <w:tcPr>
            <w:tcW w:w="1606" w:type="dxa"/>
            <w:tcBorders>
              <w:top w:val="single" w:color="auto" w:sz="4" w:space="0"/>
              <w:bottom w:val="single" w:color="auto" w:sz="4" w:space="0"/>
            </w:tcBorders>
            <w:vAlign w:val="center"/>
          </w:tcPr>
          <w:p>
            <w:pPr>
              <w:pStyle w:val="167"/>
              <w:adjustRightInd/>
              <w:snapToGrid/>
              <w:jc w:val="center"/>
              <w:rPr>
                <w:color w:val="auto"/>
              </w:rPr>
            </w:pPr>
            <w:r>
              <w:rPr>
                <w:color w:val="auto"/>
              </w:rPr>
              <w:t>污染物项目</w:t>
            </w:r>
          </w:p>
        </w:tc>
        <w:tc>
          <w:tcPr>
            <w:tcW w:w="2407" w:type="dxa"/>
            <w:tcBorders>
              <w:top w:val="single" w:color="auto" w:sz="4" w:space="0"/>
              <w:bottom w:val="single" w:color="auto" w:sz="4" w:space="0"/>
            </w:tcBorders>
            <w:vAlign w:val="center"/>
          </w:tcPr>
          <w:p>
            <w:pPr>
              <w:pStyle w:val="167"/>
              <w:adjustRightInd/>
              <w:snapToGrid/>
              <w:jc w:val="center"/>
              <w:rPr>
                <w:color w:val="auto"/>
              </w:rPr>
            </w:pPr>
            <w:r>
              <w:rPr>
                <w:color w:val="auto"/>
              </w:rPr>
              <w:t>环境保护措施</w:t>
            </w:r>
          </w:p>
        </w:tc>
        <w:tc>
          <w:tcPr>
            <w:tcW w:w="2110" w:type="dxa"/>
            <w:tcBorders>
              <w:top w:val="single" w:color="auto" w:sz="4" w:space="0"/>
              <w:bottom w:val="single" w:color="auto" w:sz="4" w:space="0"/>
              <w:right w:val="single" w:color="auto" w:sz="4" w:space="0"/>
            </w:tcBorders>
            <w:vAlign w:val="center"/>
          </w:tcPr>
          <w:p>
            <w:pPr>
              <w:pStyle w:val="167"/>
              <w:adjustRightInd/>
              <w:snapToGrid/>
              <w:jc w:val="center"/>
              <w:rPr>
                <w:color w:val="auto"/>
              </w:rPr>
            </w:pPr>
            <w:r>
              <w:rPr>
                <w:color w:val="auto"/>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14" w:type="dxa"/>
            <w:tcBorders>
              <w:top w:val="single" w:color="auto" w:sz="4" w:space="0"/>
              <w:left w:val="single" w:color="auto" w:sz="4" w:space="0"/>
              <w:bottom w:val="single" w:color="auto" w:sz="4" w:space="0"/>
            </w:tcBorders>
            <w:vAlign w:val="center"/>
          </w:tcPr>
          <w:p>
            <w:pPr>
              <w:pStyle w:val="167"/>
              <w:adjustRightInd/>
              <w:snapToGrid/>
              <w:jc w:val="center"/>
              <w:rPr>
                <w:color w:val="auto"/>
              </w:rPr>
            </w:pPr>
            <w:r>
              <w:rPr>
                <w:rFonts w:hint="eastAsia"/>
                <w:color w:val="auto"/>
              </w:rPr>
              <w:t>大气环境</w:t>
            </w:r>
          </w:p>
        </w:tc>
        <w:tc>
          <w:tcPr>
            <w:tcW w:w="1925" w:type="dxa"/>
            <w:tcBorders>
              <w:top w:val="single" w:color="auto" w:sz="4" w:space="0"/>
              <w:bottom w:val="single" w:color="auto" w:sz="4" w:space="0"/>
            </w:tcBorders>
            <w:vAlign w:val="center"/>
          </w:tcPr>
          <w:p>
            <w:pPr>
              <w:pStyle w:val="167"/>
              <w:adjustRightInd/>
              <w:snapToGrid/>
              <w:jc w:val="center"/>
              <w:rPr>
                <w:color w:val="auto"/>
              </w:rPr>
            </w:pPr>
            <w:r>
              <w:rPr>
                <w:rFonts w:hint="eastAsia"/>
                <w:color w:val="auto"/>
              </w:rPr>
              <w:t>/</w:t>
            </w:r>
          </w:p>
        </w:tc>
        <w:tc>
          <w:tcPr>
            <w:tcW w:w="1606" w:type="dxa"/>
            <w:tcBorders>
              <w:top w:val="single" w:color="auto" w:sz="4" w:space="0"/>
              <w:bottom w:val="single" w:color="auto" w:sz="4" w:space="0"/>
            </w:tcBorders>
            <w:vAlign w:val="center"/>
          </w:tcPr>
          <w:p>
            <w:pPr>
              <w:pStyle w:val="167"/>
              <w:adjustRightInd/>
              <w:snapToGrid/>
              <w:jc w:val="center"/>
              <w:rPr>
                <w:color w:val="auto"/>
                <w:kern w:val="0"/>
              </w:rPr>
            </w:pPr>
            <w:r>
              <w:rPr>
                <w:rFonts w:hint="eastAsia"/>
                <w:color w:val="auto"/>
                <w:kern w:val="0"/>
              </w:rPr>
              <w:t>异味</w:t>
            </w:r>
          </w:p>
        </w:tc>
        <w:tc>
          <w:tcPr>
            <w:tcW w:w="2407" w:type="dxa"/>
            <w:tcBorders>
              <w:top w:val="single" w:color="auto" w:sz="4" w:space="0"/>
              <w:bottom w:val="single" w:color="auto" w:sz="4" w:space="0"/>
            </w:tcBorders>
            <w:vAlign w:val="center"/>
          </w:tcPr>
          <w:p>
            <w:pPr>
              <w:pStyle w:val="167"/>
              <w:adjustRightInd/>
              <w:snapToGrid/>
              <w:rPr>
                <w:color w:val="auto"/>
              </w:rPr>
            </w:pPr>
            <w:r>
              <w:rPr>
                <w:rFonts w:hint="eastAsia"/>
                <w:color w:val="auto"/>
                <w:szCs w:val="21"/>
              </w:rPr>
              <w:t>采用</w:t>
            </w:r>
            <w:r>
              <w:rPr>
                <w:rFonts w:hint="eastAsia"/>
                <w:color w:val="auto"/>
                <w:szCs w:val="21"/>
                <w:lang w:val="en-US" w:eastAsia="zh-CN"/>
              </w:rPr>
              <w:t>新风系统加强院内</w:t>
            </w:r>
            <w:r>
              <w:rPr>
                <w:rFonts w:hint="eastAsia"/>
                <w:color w:val="auto"/>
                <w:szCs w:val="21"/>
              </w:rPr>
              <w:t>通风，病房内设置紫外线灯管消毒杀菌，同时每天使用84消毒液对医院进行消毒，宠物粪污由专人进行及时清理和消毒；医疗废物密封暂存，并做好消毒工作。</w:t>
            </w:r>
          </w:p>
        </w:tc>
        <w:tc>
          <w:tcPr>
            <w:tcW w:w="2110" w:type="dxa"/>
            <w:tcBorders>
              <w:top w:val="single" w:color="auto" w:sz="4" w:space="0"/>
              <w:bottom w:val="single" w:color="auto" w:sz="4" w:space="0"/>
              <w:right w:val="single" w:color="auto" w:sz="4" w:space="0"/>
            </w:tcBorders>
            <w:vAlign w:val="center"/>
          </w:tcPr>
          <w:p>
            <w:pPr>
              <w:pStyle w:val="167"/>
              <w:adjustRightInd/>
              <w:snapToGrid/>
              <w:jc w:val="center"/>
              <w:rPr>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14" w:type="dxa"/>
            <w:vMerge w:val="restart"/>
            <w:tcBorders>
              <w:top w:val="single" w:color="auto" w:sz="4" w:space="0"/>
              <w:left w:val="single" w:color="auto" w:sz="4" w:space="0"/>
            </w:tcBorders>
            <w:vAlign w:val="center"/>
          </w:tcPr>
          <w:p>
            <w:pPr>
              <w:pStyle w:val="167"/>
              <w:adjustRightInd/>
              <w:snapToGrid/>
              <w:jc w:val="center"/>
              <w:rPr>
                <w:color w:val="auto"/>
              </w:rPr>
            </w:pPr>
            <w:r>
              <w:rPr>
                <w:color w:val="auto"/>
              </w:rPr>
              <w:t>地表水环境</w:t>
            </w:r>
          </w:p>
        </w:tc>
        <w:tc>
          <w:tcPr>
            <w:tcW w:w="1925" w:type="dxa"/>
            <w:tcBorders>
              <w:top w:val="single" w:color="auto" w:sz="4" w:space="0"/>
              <w:bottom w:val="single" w:color="auto" w:sz="4" w:space="0"/>
            </w:tcBorders>
            <w:vAlign w:val="center"/>
          </w:tcPr>
          <w:p>
            <w:pPr>
              <w:pStyle w:val="167"/>
              <w:adjustRightInd/>
              <w:snapToGrid/>
              <w:jc w:val="center"/>
              <w:rPr>
                <w:color w:val="auto"/>
              </w:rPr>
            </w:pPr>
            <w:r>
              <w:rPr>
                <w:color w:val="auto"/>
              </w:rPr>
              <w:t>医疗废水预处理设施排口</w:t>
            </w:r>
          </w:p>
        </w:tc>
        <w:tc>
          <w:tcPr>
            <w:tcW w:w="1606" w:type="dxa"/>
            <w:tcBorders>
              <w:top w:val="single" w:color="auto" w:sz="4" w:space="0"/>
              <w:bottom w:val="single" w:color="auto" w:sz="4" w:space="0"/>
            </w:tcBorders>
            <w:vAlign w:val="center"/>
          </w:tcPr>
          <w:p>
            <w:pPr>
              <w:pStyle w:val="167"/>
              <w:adjustRightInd/>
              <w:snapToGrid/>
              <w:jc w:val="center"/>
              <w:rPr>
                <w:color w:val="auto"/>
              </w:rPr>
            </w:pPr>
            <w:r>
              <w:rPr>
                <w:color w:val="auto"/>
                <w:kern w:val="0"/>
              </w:rPr>
              <w:t>总余氯</w:t>
            </w:r>
          </w:p>
        </w:tc>
        <w:tc>
          <w:tcPr>
            <w:tcW w:w="2407" w:type="dxa"/>
            <w:vMerge w:val="restart"/>
            <w:tcBorders>
              <w:top w:val="single" w:color="auto" w:sz="4" w:space="0"/>
            </w:tcBorders>
            <w:vAlign w:val="center"/>
          </w:tcPr>
          <w:p>
            <w:pPr>
              <w:pStyle w:val="167"/>
              <w:adjustRightInd/>
              <w:snapToGrid/>
              <w:rPr>
                <w:color w:val="auto"/>
              </w:rPr>
            </w:pPr>
            <w:r>
              <w:rPr>
                <w:color w:val="auto"/>
              </w:rPr>
              <w:t>医疗废水经医疗废水预处理设施（设计处理能力</w:t>
            </w:r>
            <w:r>
              <w:rPr>
                <w:rFonts w:hint="eastAsia"/>
                <w:color w:val="auto"/>
              </w:rPr>
              <w:t>0.5</w:t>
            </w:r>
            <w:r>
              <w:rPr>
                <w:color w:val="auto"/>
              </w:rPr>
              <w:t>m</w:t>
            </w:r>
            <w:r>
              <w:rPr>
                <w:color w:val="auto"/>
                <w:vertAlign w:val="superscript"/>
              </w:rPr>
              <w:t>3</w:t>
            </w:r>
            <w:r>
              <w:rPr>
                <w:color w:val="auto"/>
              </w:rPr>
              <w:t>/d）消毒预处理后，与生活污水、洗浴废水一起排入</w:t>
            </w:r>
            <w:r>
              <w:rPr>
                <w:rFonts w:hint="eastAsia"/>
                <w:color w:val="auto"/>
                <w:lang w:bidi="ar"/>
              </w:rPr>
              <w:t>招商锦星汇</w:t>
            </w:r>
            <w:r>
              <w:rPr>
                <w:color w:val="auto"/>
              </w:rPr>
              <w:t>生化池处理达《污水综合排放标准》（GB8978-1996）三级标准后接入市政污水管网排至唐家沱污水处理厂深度处理达《城镇污水处理厂污染物排放标准》（GB 18918-2002）一级A标后，尾水排入长江</w:t>
            </w:r>
          </w:p>
        </w:tc>
        <w:tc>
          <w:tcPr>
            <w:tcW w:w="2110" w:type="dxa"/>
            <w:tcBorders>
              <w:top w:val="single" w:color="auto" w:sz="4" w:space="0"/>
              <w:bottom w:val="single" w:color="auto" w:sz="4" w:space="0"/>
              <w:right w:val="single" w:color="auto" w:sz="4" w:space="0"/>
            </w:tcBorders>
            <w:vAlign w:val="center"/>
          </w:tcPr>
          <w:p>
            <w:pPr>
              <w:pStyle w:val="167"/>
              <w:adjustRightInd/>
              <w:snapToGrid/>
              <w:jc w:val="center"/>
              <w:rPr>
                <w:color w:val="auto"/>
              </w:rPr>
            </w:pPr>
            <w:r>
              <w:rPr>
                <w:color w:val="auto"/>
              </w:rPr>
              <w:t>总余氯参照《医疗机构水污染物排放标准》（GB 18466-2005）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14" w:type="dxa"/>
            <w:vMerge w:val="continue"/>
            <w:tcBorders>
              <w:left w:val="single" w:color="auto" w:sz="4" w:space="0"/>
              <w:bottom w:val="single" w:color="auto" w:sz="4" w:space="0"/>
            </w:tcBorders>
            <w:vAlign w:val="center"/>
          </w:tcPr>
          <w:p>
            <w:pPr>
              <w:pStyle w:val="167"/>
              <w:adjustRightInd/>
              <w:snapToGrid/>
              <w:jc w:val="center"/>
              <w:rPr>
                <w:color w:val="auto"/>
              </w:rPr>
            </w:pPr>
          </w:p>
        </w:tc>
        <w:tc>
          <w:tcPr>
            <w:tcW w:w="1925" w:type="dxa"/>
            <w:tcBorders>
              <w:top w:val="single" w:color="auto" w:sz="4" w:space="0"/>
              <w:bottom w:val="single" w:color="auto" w:sz="4" w:space="0"/>
            </w:tcBorders>
            <w:vAlign w:val="center"/>
          </w:tcPr>
          <w:p>
            <w:pPr>
              <w:pStyle w:val="167"/>
              <w:ind w:firstLine="420"/>
              <w:jc w:val="center"/>
              <w:rPr>
                <w:color w:val="auto"/>
              </w:rPr>
            </w:pPr>
            <w:r>
              <w:rPr>
                <w:color w:val="auto"/>
              </w:rPr>
              <w:t>综合废水排口</w:t>
            </w:r>
          </w:p>
        </w:tc>
        <w:tc>
          <w:tcPr>
            <w:tcW w:w="1606" w:type="dxa"/>
            <w:tcBorders>
              <w:top w:val="single" w:color="auto" w:sz="4" w:space="0"/>
              <w:bottom w:val="single" w:color="auto" w:sz="4" w:space="0"/>
            </w:tcBorders>
            <w:vAlign w:val="center"/>
          </w:tcPr>
          <w:p>
            <w:pPr>
              <w:pStyle w:val="167"/>
              <w:keepNext w:val="0"/>
              <w:keepLines w:val="0"/>
              <w:pageBreakBefore w:val="0"/>
              <w:widowControl w:val="0"/>
              <w:kinsoku/>
              <w:wordWrap/>
              <w:overflowPunct/>
              <w:topLinePunct w:val="0"/>
              <w:autoSpaceDE/>
              <w:autoSpaceDN/>
              <w:bidi w:val="0"/>
              <w:adjustRightInd w:val="0"/>
              <w:snapToGrid w:val="0"/>
              <w:ind w:firstLine="0"/>
              <w:jc w:val="both"/>
              <w:textAlignment w:val="auto"/>
              <w:rPr>
                <w:color w:val="auto"/>
                <w:kern w:val="0"/>
              </w:rPr>
            </w:pPr>
            <w:r>
              <w:rPr>
                <w:color w:val="auto"/>
                <w:kern w:val="0"/>
              </w:rPr>
              <w:t>pH、COD、BOD</w:t>
            </w:r>
            <w:r>
              <w:rPr>
                <w:color w:val="auto"/>
                <w:kern w:val="0"/>
                <w:vertAlign w:val="subscript"/>
              </w:rPr>
              <w:t>5</w:t>
            </w:r>
            <w:r>
              <w:rPr>
                <w:color w:val="auto"/>
                <w:kern w:val="0"/>
              </w:rPr>
              <w:t>、SS、NH</w:t>
            </w:r>
            <w:r>
              <w:rPr>
                <w:color w:val="auto"/>
                <w:kern w:val="0"/>
                <w:vertAlign w:val="subscript"/>
              </w:rPr>
              <w:t>3</w:t>
            </w:r>
            <w:r>
              <w:rPr>
                <w:color w:val="auto"/>
                <w:kern w:val="0"/>
              </w:rPr>
              <w:t>-N、LAS、粪大肠菌群</w:t>
            </w:r>
          </w:p>
        </w:tc>
        <w:tc>
          <w:tcPr>
            <w:tcW w:w="2407" w:type="dxa"/>
            <w:vMerge w:val="continue"/>
            <w:tcBorders>
              <w:bottom w:val="single" w:color="auto" w:sz="4" w:space="0"/>
            </w:tcBorders>
            <w:vAlign w:val="center"/>
          </w:tcPr>
          <w:p>
            <w:pPr>
              <w:pStyle w:val="167"/>
              <w:adjustRightInd/>
              <w:snapToGrid/>
              <w:rPr>
                <w:color w:val="auto"/>
              </w:rPr>
            </w:pPr>
          </w:p>
        </w:tc>
        <w:tc>
          <w:tcPr>
            <w:tcW w:w="2110" w:type="dxa"/>
            <w:tcBorders>
              <w:top w:val="single" w:color="auto" w:sz="4" w:space="0"/>
              <w:bottom w:val="single" w:color="auto" w:sz="4" w:space="0"/>
              <w:right w:val="single" w:color="auto" w:sz="4" w:space="0"/>
            </w:tcBorders>
            <w:vAlign w:val="center"/>
          </w:tcPr>
          <w:p>
            <w:pPr>
              <w:pStyle w:val="167"/>
              <w:adjustRightInd/>
              <w:snapToGrid/>
              <w:jc w:val="center"/>
              <w:rPr>
                <w:color w:val="auto"/>
              </w:rPr>
            </w:pPr>
            <w:r>
              <w:rPr>
                <w:color w:val="auto"/>
              </w:rP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14" w:type="dxa"/>
            <w:tcBorders>
              <w:top w:val="single" w:color="auto" w:sz="4" w:space="0"/>
              <w:left w:val="single" w:color="auto" w:sz="4" w:space="0"/>
              <w:bottom w:val="single" w:color="auto" w:sz="4" w:space="0"/>
            </w:tcBorders>
            <w:vAlign w:val="center"/>
          </w:tcPr>
          <w:p>
            <w:pPr>
              <w:pStyle w:val="167"/>
              <w:adjustRightInd/>
              <w:snapToGrid/>
              <w:jc w:val="center"/>
              <w:rPr>
                <w:color w:val="auto"/>
              </w:rPr>
            </w:pPr>
            <w:r>
              <w:rPr>
                <w:color w:val="auto"/>
              </w:rPr>
              <w:t>声环境</w:t>
            </w:r>
          </w:p>
        </w:tc>
        <w:tc>
          <w:tcPr>
            <w:tcW w:w="1925" w:type="dxa"/>
            <w:tcBorders>
              <w:top w:val="single" w:color="auto" w:sz="4" w:space="0"/>
              <w:bottom w:val="single" w:color="auto" w:sz="4" w:space="0"/>
            </w:tcBorders>
            <w:vAlign w:val="center"/>
          </w:tcPr>
          <w:p>
            <w:pPr>
              <w:pStyle w:val="167"/>
              <w:adjustRightInd/>
              <w:snapToGrid/>
              <w:jc w:val="center"/>
              <w:rPr>
                <w:color w:val="auto"/>
              </w:rPr>
            </w:pPr>
            <w:r>
              <w:rPr>
                <w:rFonts w:hint="eastAsia"/>
                <w:color w:val="auto"/>
                <w:lang w:val="en-US" w:eastAsia="zh-CN"/>
              </w:rPr>
              <w:t>空调外机、</w:t>
            </w:r>
            <w:r>
              <w:rPr>
                <w:rFonts w:hint="eastAsia"/>
                <w:color w:val="auto"/>
              </w:rPr>
              <w:t>新风系统</w:t>
            </w:r>
            <w:r>
              <w:rPr>
                <w:color w:val="auto"/>
              </w:rPr>
              <w:t>、宠物偶发性叫声</w:t>
            </w:r>
          </w:p>
        </w:tc>
        <w:tc>
          <w:tcPr>
            <w:tcW w:w="1606" w:type="dxa"/>
            <w:tcBorders>
              <w:top w:val="single" w:color="auto" w:sz="4" w:space="0"/>
              <w:bottom w:val="single" w:color="auto" w:sz="4" w:space="0"/>
            </w:tcBorders>
            <w:vAlign w:val="center"/>
          </w:tcPr>
          <w:p>
            <w:pPr>
              <w:pStyle w:val="167"/>
              <w:adjustRightInd/>
              <w:snapToGrid/>
              <w:jc w:val="center"/>
              <w:rPr>
                <w:color w:val="auto"/>
              </w:rPr>
            </w:pPr>
            <w:r>
              <w:rPr>
                <w:color w:val="auto"/>
              </w:rPr>
              <w:t>等效声级</w:t>
            </w:r>
          </w:p>
        </w:tc>
        <w:tc>
          <w:tcPr>
            <w:tcW w:w="2407" w:type="dxa"/>
            <w:tcBorders>
              <w:top w:val="single" w:color="auto" w:sz="4" w:space="0"/>
              <w:bottom w:val="single" w:color="auto" w:sz="4" w:space="0"/>
            </w:tcBorders>
            <w:vAlign w:val="center"/>
          </w:tcPr>
          <w:p>
            <w:pPr>
              <w:pStyle w:val="167"/>
              <w:adjustRightInd/>
              <w:snapToGrid/>
              <w:jc w:val="center"/>
              <w:rPr>
                <w:color w:val="auto"/>
              </w:rPr>
            </w:pPr>
            <w:r>
              <w:rPr>
                <w:snapToGrid w:val="0"/>
                <w:color w:val="auto"/>
                <w:kern w:val="0"/>
              </w:rPr>
              <w:t>建筑隔声、距离衰减等</w:t>
            </w:r>
          </w:p>
        </w:tc>
        <w:tc>
          <w:tcPr>
            <w:tcW w:w="2110" w:type="dxa"/>
            <w:tcBorders>
              <w:top w:val="single" w:color="auto" w:sz="4" w:space="0"/>
              <w:bottom w:val="single" w:color="auto" w:sz="4" w:space="0"/>
              <w:right w:val="single" w:color="auto" w:sz="4" w:space="0"/>
            </w:tcBorders>
            <w:vAlign w:val="center"/>
          </w:tcPr>
          <w:p>
            <w:pPr>
              <w:pStyle w:val="167"/>
              <w:adjustRightInd/>
              <w:snapToGrid/>
              <w:jc w:val="center"/>
              <w:rPr>
                <w:color w:val="auto"/>
              </w:rPr>
            </w:pPr>
            <w:r>
              <w:rPr>
                <w:color w:val="auto"/>
                <w:kern w:val="0"/>
                <w:szCs w:val="21"/>
              </w:rPr>
              <w:t>《工业企业厂界环境噪声排放标准》（GB12348-2008）2类</w:t>
            </w:r>
            <w:r>
              <w:rPr>
                <w:color w:val="auto"/>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14" w:type="dxa"/>
            <w:tcBorders>
              <w:top w:val="single" w:color="auto" w:sz="4" w:space="0"/>
              <w:left w:val="single" w:color="auto" w:sz="4" w:space="0"/>
              <w:bottom w:val="single" w:color="auto" w:sz="4" w:space="0"/>
            </w:tcBorders>
            <w:vAlign w:val="center"/>
          </w:tcPr>
          <w:p>
            <w:pPr>
              <w:pStyle w:val="167"/>
              <w:adjustRightInd/>
              <w:snapToGrid/>
              <w:jc w:val="center"/>
              <w:rPr>
                <w:color w:val="auto"/>
              </w:rPr>
            </w:pPr>
            <w:r>
              <w:rPr>
                <w:color w:val="auto"/>
              </w:rPr>
              <w:t>电磁辐射</w:t>
            </w:r>
          </w:p>
        </w:tc>
        <w:tc>
          <w:tcPr>
            <w:tcW w:w="1925" w:type="dxa"/>
            <w:tcBorders>
              <w:top w:val="single" w:color="auto" w:sz="4" w:space="0"/>
              <w:bottom w:val="single" w:color="auto" w:sz="4" w:space="0"/>
            </w:tcBorders>
            <w:vAlign w:val="center"/>
          </w:tcPr>
          <w:p>
            <w:pPr>
              <w:pStyle w:val="167"/>
              <w:adjustRightInd/>
              <w:snapToGrid/>
              <w:jc w:val="center"/>
              <w:rPr>
                <w:color w:val="auto"/>
              </w:rPr>
            </w:pPr>
            <w:r>
              <w:rPr>
                <w:color w:val="auto"/>
              </w:rPr>
              <w:t>/</w:t>
            </w:r>
          </w:p>
        </w:tc>
        <w:tc>
          <w:tcPr>
            <w:tcW w:w="1606" w:type="dxa"/>
            <w:tcBorders>
              <w:top w:val="single" w:color="auto" w:sz="4" w:space="0"/>
              <w:bottom w:val="single" w:color="auto" w:sz="4" w:space="0"/>
            </w:tcBorders>
            <w:vAlign w:val="center"/>
          </w:tcPr>
          <w:p>
            <w:pPr>
              <w:pStyle w:val="167"/>
              <w:adjustRightInd/>
              <w:snapToGrid/>
              <w:jc w:val="center"/>
              <w:rPr>
                <w:color w:val="auto"/>
              </w:rPr>
            </w:pPr>
            <w:r>
              <w:rPr>
                <w:color w:val="auto"/>
              </w:rPr>
              <w:t>/</w:t>
            </w:r>
          </w:p>
        </w:tc>
        <w:tc>
          <w:tcPr>
            <w:tcW w:w="2407" w:type="dxa"/>
            <w:tcBorders>
              <w:top w:val="single" w:color="auto" w:sz="4" w:space="0"/>
              <w:bottom w:val="single" w:color="auto" w:sz="4" w:space="0"/>
            </w:tcBorders>
            <w:vAlign w:val="center"/>
          </w:tcPr>
          <w:p>
            <w:pPr>
              <w:pStyle w:val="167"/>
              <w:adjustRightInd/>
              <w:snapToGrid/>
              <w:jc w:val="center"/>
              <w:rPr>
                <w:color w:val="auto"/>
              </w:rPr>
            </w:pPr>
            <w:r>
              <w:rPr>
                <w:color w:val="auto"/>
              </w:rPr>
              <w:t>/</w:t>
            </w:r>
          </w:p>
        </w:tc>
        <w:tc>
          <w:tcPr>
            <w:tcW w:w="2110" w:type="dxa"/>
            <w:tcBorders>
              <w:top w:val="single" w:color="auto" w:sz="4" w:space="0"/>
              <w:bottom w:val="single" w:color="auto" w:sz="4" w:space="0"/>
              <w:right w:val="single" w:color="auto" w:sz="4" w:space="0"/>
            </w:tcBorders>
            <w:vAlign w:val="center"/>
          </w:tcPr>
          <w:p>
            <w:pPr>
              <w:pStyle w:val="167"/>
              <w:adjustRightInd/>
              <w:snapToGrid/>
              <w:jc w:val="center"/>
              <w:rPr>
                <w:color w:val="auto"/>
              </w:rPr>
            </w:pPr>
            <w:r>
              <w:rPr>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14" w:type="dxa"/>
            <w:tcBorders>
              <w:top w:val="single" w:color="auto" w:sz="4" w:space="0"/>
              <w:left w:val="single" w:color="auto" w:sz="4" w:space="0"/>
              <w:bottom w:val="single" w:color="auto" w:sz="4" w:space="0"/>
              <w:right w:val="single" w:color="auto" w:sz="4" w:space="0"/>
            </w:tcBorders>
            <w:vAlign w:val="center"/>
          </w:tcPr>
          <w:p>
            <w:pPr>
              <w:pStyle w:val="167"/>
              <w:adjustRightInd/>
              <w:snapToGrid/>
              <w:jc w:val="center"/>
              <w:rPr>
                <w:color w:val="auto"/>
              </w:rPr>
            </w:pPr>
            <w:r>
              <w:rPr>
                <w:color w:val="auto"/>
              </w:rPr>
              <w:t>固体废物</w:t>
            </w:r>
          </w:p>
        </w:tc>
        <w:tc>
          <w:tcPr>
            <w:tcW w:w="8048" w:type="dxa"/>
            <w:gridSpan w:val="4"/>
            <w:tcBorders>
              <w:top w:val="single" w:color="auto" w:sz="4" w:space="0"/>
              <w:left w:val="single" w:color="auto" w:sz="4" w:space="0"/>
              <w:bottom w:val="single" w:color="auto" w:sz="4" w:space="0"/>
              <w:right w:val="single" w:color="auto" w:sz="4" w:space="0"/>
            </w:tcBorders>
            <w:vAlign w:val="center"/>
          </w:tcPr>
          <w:p>
            <w:pPr>
              <w:pStyle w:val="167"/>
              <w:adjustRightInd/>
              <w:snapToGrid/>
              <w:rPr>
                <w:bCs/>
                <w:color w:val="auto"/>
                <w:szCs w:val="21"/>
                <w:highlight w:val="none"/>
              </w:rPr>
            </w:pPr>
            <w:r>
              <w:rPr>
                <w:bCs/>
                <w:color w:val="auto"/>
                <w:szCs w:val="21"/>
                <w:highlight w:val="none"/>
              </w:rPr>
              <w:t>（1）生活垃圾交市政环卫部门统一处置；</w:t>
            </w:r>
          </w:p>
          <w:p>
            <w:pPr>
              <w:pStyle w:val="167"/>
              <w:adjustRightInd/>
              <w:snapToGrid/>
              <w:rPr>
                <w:bCs/>
                <w:color w:val="auto"/>
                <w:szCs w:val="21"/>
                <w:highlight w:val="none"/>
              </w:rPr>
            </w:pPr>
            <w:r>
              <w:rPr>
                <w:bCs/>
                <w:color w:val="auto"/>
                <w:szCs w:val="21"/>
                <w:highlight w:val="none"/>
              </w:rPr>
              <w:t>（2）动物粪便经消毒处理后，交市政环卫部门统一处置。动物毛发交市政环卫部门统一处置；</w:t>
            </w:r>
          </w:p>
          <w:p>
            <w:pPr>
              <w:pStyle w:val="167"/>
              <w:adjustRightInd/>
              <w:snapToGrid/>
              <w:rPr>
                <w:bCs/>
                <w:color w:val="auto"/>
                <w:szCs w:val="21"/>
                <w:highlight w:val="none"/>
              </w:rPr>
            </w:pPr>
            <w:r>
              <w:rPr>
                <w:bCs/>
                <w:color w:val="auto"/>
                <w:szCs w:val="21"/>
                <w:highlight w:val="none"/>
              </w:rPr>
              <w:t>（3）动物尸体交资质单位进行无害化处置；</w:t>
            </w:r>
          </w:p>
          <w:p>
            <w:pPr>
              <w:pStyle w:val="167"/>
              <w:adjustRightInd/>
              <w:snapToGrid/>
              <w:rPr>
                <w:bCs/>
                <w:color w:val="auto"/>
                <w:szCs w:val="21"/>
                <w:highlight w:val="none"/>
              </w:rPr>
            </w:pPr>
            <w:r>
              <w:rPr>
                <w:bCs/>
                <w:color w:val="auto"/>
                <w:szCs w:val="21"/>
                <w:highlight w:val="none"/>
              </w:rPr>
              <w:t>（</w:t>
            </w:r>
            <w:r>
              <w:rPr>
                <w:color w:val="auto"/>
                <w:highlight w:val="none"/>
              </w:rPr>
              <w:t>4）</w:t>
            </w:r>
            <w:r>
              <w:rPr>
                <w:bCs/>
                <w:color w:val="auto"/>
                <w:szCs w:val="21"/>
                <w:highlight w:val="none"/>
              </w:rPr>
              <w:t>医疗废物、废紫外线灯管交资质单位处置；</w:t>
            </w:r>
          </w:p>
          <w:p>
            <w:pPr>
              <w:pStyle w:val="167"/>
              <w:adjustRightInd/>
              <w:snapToGrid/>
              <w:rPr>
                <w:color w:val="auto"/>
                <w:highlight w:val="none"/>
              </w:rPr>
            </w:pPr>
            <w:r>
              <w:rPr>
                <w:bCs/>
                <w:color w:val="auto"/>
                <w:szCs w:val="21"/>
                <w:highlight w:val="none"/>
              </w:rPr>
              <w:t>（5）设1处危险废物贮存点，位于</w:t>
            </w:r>
            <w:r>
              <w:rPr>
                <w:rFonts w:hint="eastAsia"/>
                <w:bCs/>
                <w:color w:val="auto"/>
                <w:szCs w:val="21"/>
                <w:highlight w:val="none"/>
              </w:rPr>
              <w:t>东侧</w:t>
            </w:r>
            <w:r>
              <w:rPr>
                <w:bCs/>
                <w:color w:val="auto"/>
                <w:szCs w:val="21"/>
                <w:highlight w:val="none"/>
              </w:rPr>
              <w:t>，建筑面积约2m</w:t>
            </w:r>
            <w:r>
              <w:rPr>
                <w:bCs/>
                <w:color w:val="auto"/>
                <w:szCs w:val="21"/>
                <w:highlight w:val="none"/>
                <w:vertAlign w:val="superscript"/>
              </w:rPr>
              <w:t>2</w:t>
            </w:r>
            <w:r>
              <w:rPr>
                <w:bCs/>
                <w:color w:val="auto"/>
                <w:szCs w:val="21"/>
                <w:highlight w:val="none"/>
              </w:rPr>
              <w:t>。严格按照《危险废物贮存污染控制标准》（GB 18597-2023）中的要求设置，同时按照《危险废物识别标志设置技术规范》（HJ1276-2022）设置危险废物标识标牌。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14" w:type="dxa"/>
            <w:tcBorders>
              <w:top w:val="single" w:color="auto" w:sz="4" w:space="0"/>
              <w:left w:val="single" w:color="auto" w:sz="4" w:space="0"/>
              <w:bottom w:val="single" w:color="auto" w:sz="4" w:space="0"/>
              <w:right w:val="single" w:color="auto" w:sz="4" w:space="0"/>
            </w:tcBorders>
            <w:vAlign w:val="center"/>
          </w:tcPr>
          <w:p>
            <w:pPr>
              <w:pStyle w:val="167"/>
              <w:adjustRightInd/>
              <w:snapToGrid/>
              <w:jc w:val="center"/>
              <w:rPr>
                <w:color w:val="auto"/>
              </w:rPr>
            </w:pPr>
            <w:r>
              <w:rPr>
                <w:color w:val="auto"/>
              </w:rPr>
              <w:t>土壤及地下水</w:t>
            </w:r>
          </w:p>
          <w:p>
            <w:pPr>
              <w:pStyle w:val="167"/>
              <w:adjustRightInd/>
              <w:snapToGrid/>
              <w:jc w:val="center"/>
              <w:rPr>
                <w:color w:val="auto"/>
              </w:rPr>
            </w:pPr>
            <w:r>
              <w:rPr>
                <w:color w:val="auto"/>
              </w:rPr>
              <w:t>污染防治措施</w:t>
            </w:r>
          </w:p>
        </w:tc>
        <w:tc>
          <w:tcPr>
            <w:tcW w:w="8048" w:type="dxa"/>
            <w:gridSpan w:val="4"/>
            <w:tcBorders>
              <w:top w:val="single" w:color="auto" w:sz="4" w:space="0"/>
              <w:left w:val="single" w:color="auto" w:sz="4" w:space="0"/>
              <w:bottom w:val="single" w:color="auto" w:sz="4" w:space="0"/>
              <w:right w:val="single" w:color="auto" w:sz="4" w:space="0"/>
            </w:tcBorders>
            <w:vAlign w:val="center"/>
          </w:tcPr>
          <w:p>
            <w:pPr>
              <w:pStyle w:val="167"/>
              <w:adjustRightInd/>
              <w:snapToGrid/>
              <w:jc w:val="center"/>
              <w:rPr>
                <w:color w:val="auto"/>
              </w:rPr>
            </w:pPr>
            <w:r>
              <w:rPr>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14" w:type="dxa"/>
            <w:tcBorders>
              <w:top w:val="single" w:color="auto" w:sz="4" w:space="0"/>
              <w:left w:val="single" w:color="auto" w:sz="4" w:space="0"/>
              <w:bottom w:val="single" w:color="auto" w:sz="4" w:space="0"/>
              <w:right w:val="single" w:color="auto" w:sz="4" w:space="0"/>
            </w:tcBorders>
            <w:vAlign w:val="center"/>
          </w:tcPr>
          <w:p>
            <w:pPr>
              <w:pStyle w:val="167"/>
              <w:adjustRightInd/>
              <w:snapToGrid/>
              <w:jc w:val="center"/>
              <w:rPr>
                <w:color w:val="auto"/>
              </w:rPr>
            </w:pPr>
            <w:r>
              <w:rPr>
                <w:color w:val="auto"/>
              </w:rPr>
              <w:t>生态保护措施</w:t>
            </w:r>
          </w:p>
        </w:tc>
        <w:tc>
          <w:tcPr>
            <w:tcW w:w="8048" w:type="dxa"/>
            <w:gridSpan w:val="4"/>
            <w:tcBorders>
              <w:top w:val="single" w:color="auto" w:sz="4" w:space="0"/>
              <w:left w:val="single" w:color="auto" w:sz="4" w:space="0"/>
              <w:bottom w:val="single" w:color="auto" w:sz="4" w:space="0"/>
              <w:right w:val="single" w:color="auto" w:sz="4" w:space="0"/>
            </w:tcBorders>
            <w:vAlign w:val="center"/>
          </w:tcPr>
          <w:p>
            <w:pPr>
              <w:pStyle w:val="167"/>
              <w:adjustRightInd/>
              <w:snapToGrid/>
              <w:jc w:val="center"/>
              <w:rPr>
                <w:color w:val="auto"/>
              </w:rPr>
            </w:pPr>
            <w:r>
              <w:rPr>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14" w:type="dxa"/>
            <w:tcBorders>
              <w:top w:val="single" w:color="auto" w:sz="4" w:space="0"/>
              <w:left w:val="single" w:color="auto" w:sz="4" w:space="0"/>
              <w:bottom w:val="single" w:color="auto" w:sz="4" w:space="0"/>
              <w:right w:val="single" w:color="auto" w:sz="4" w:space="0"/>
            </w:tcBorders>
            <w:vAlign w:val="center"/>
          </w:tcPr>
          <w:p>
            <w:pPr>
              <w:pStyle w:val="167"/>
              <w:adjustRightInd/>
              <w:snapToGrid/>
              <w:jc w:val="center"/>
              <w:rPr>
                <w:color w:val="auto"/>
                <w:spacing w:val="-8"/>
              </w:rPr>
            </w:pPr>
            <w:r>
              <w:rPr>
                <w:color w:val="auto"/>
                <w:spacing w:val="-8"/>
              </w:rPr>
              <w:t>环境风险</w:t>
            </w:r>
          </w:p>
          <w:p>
            <w:pPr>
              <w:pStyle w:val="167"/>
              <w:adjustRightInd/>
              <w:snapToGrid/>
              <w:jc w:val="center"/>
              <w:rPr>
                <w:color w:val="auto"/>
                <w:spacing w:val="-8"/>
              </w:rPr>
            </w:pPr>
            <w:r>
              <w:rPr>
                <w:color w:val="auto"/>
                <w:spacing w:val="-8"/>
              </w:rPr>
              <w:t>防范措施</w:t>
            </w:r>
          </w:p>
        </w:tc>
        <w:tc>
          <w:tcPr>
            <w:tcW w:w="8048" w:type="dxa"/>
            <w:gridSpan w:val="4"/>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199" w:firstLineChars="95"/>
              <w:rPr>
                <w:color w:val="auto"/>
                <w:kern w:val="0"/>
                <w:szCs w:val="21"/>
              </w:rPr>
            </w:pPr>
            <w:r>
              <w:rPr>
                <w:bCs/>
                <w:color w:val="auto"/>
                <w:szCs w:val="21"/>
              </w:rPr>
              <w:t>（</w:t>
            </w:r>
            <w:r>
              <w:rPr>
                <w:color w:val="auto"/>
                <w:kern w:val="0"/>
                <w:szCs w:val="21"/>
              </w:rPr>
              <w:t>1）医疗废水事故排放防范及应急措施</w:t>
            </w:r>
          </w:p>
          <w:p>
            <w:pPr>
              <w:adjustRightInd/>
              <w:snapToGrid/>
              <w:spacing w:line="240" w:lineRule="auto"/>
              <w:ind w:firstLine="420"/>
              <w:rPr>
                <w:color w:val="auto"/>
                <w:kern w:val="0"/>
                <w:szCs w:val="21"/>
              </w:rPr>
            </w:pPr>
            <w:r>
              <w:rPr>
                <w:color w:val="auto"/>
                <w:kern w:val="0"/>
                <w:szCs w:val="21"/>
              </w:rPr>
              <w:t>为减轻污染负荷，应避免出现废水事故性排放，本项目采取以下防范及应急措施：</w:t>
            </w:r>
          </w:p>
          <w:p>
            <w:pPr>
              <w:adjustRightInd/>
              <w:snapToGrid/>
              <w:spacing w:line="240" w:lineRule="auto"/>
              <w:ind w:firstLine="420"/>
              <w:rPr>
                <w:color w:val="auto"/>
                <w:kern w:val="0"/>
                <w:szCs w:val="21"/>
              </w:rPr>
            </w:pPr>
            <w:r>
              <w:rPr>
                <w:rFonts w:hint="eastAsia" w:ascii="宋体" w:hAnsi="宋体" w:cs="宋体"/>
                <w:color w:val="auto"/>
                <w:kern w:val="0"/>
                <w:szCs w:val="21"/>
              </w:rPr>
              <w:t>①</w:t>
            </w:r>
            <w:r>
              <w:rPr>
                <w:color w:val="auto"/>
                <w:kern w:val="0"/>
                <w:szCs w:val="21"/>
              </w:rPr>
              <w:t>加强项目消毒设备、管线、阀门等设备元器件的维护保养，对系统的薄弱环节的地方，加强检查、维护保养，及时更新。对处理设备故障要及时抢修，防止因处理设备故障抢修不及时而造成污水超标排放。</w:t>
            </w:r>
          </w:p>
          <w:p>
            <w:pPr>
              <w:adjustRightInd/>
              <w:snapToGrid/>
              <w:spacing w:line="240" w:lineRule="auto"/>
              <w:ind w:firstLine="420"/>
              <w:rPr>
                <w:color w:val="auto"/>
                <w:kern w:val="0"/>
                <w:szCs w:val="21"/>
              </w:rPr>
            </w:pPr>
            <w:r>
              <w:rPr>
                <w:rFonts w:hint="eastAsia" w:ascii="宋体" w:hAnsi="宋体" w:cs="宋体"/>
                <w:color w:val="auto"/>
                <w:kern w:val="0"/>
                <w:szCs w:val="21"/>
              </w:rPr>
              <w:t>②</w:t>
            </w:r>
            <w:r>
              <w:rPr>
                <w:color w:val="auto"/>
                <w:kern w:val="0"/>
                <w:szCs w:val="21"/>
              </w:rPr>
              <w:t>加强对操作人员的岗位培训，建立健全的环保管理机制和各项环保规章制度，落实岗位环保责任制，加强环境风险防范工作，防止事故排放导致的环境问题。</w:t>
            </w:r>
          </w:p>
          <w:p>
            <w:pPr>
              <w:adjustRightInd/>
              <w:snapToGrid/>
              <w:spacing w:line="240" w:lineRule="auto"/>
              <w:ind w:firstLine="199" w:firstLineChars="95"/>
              <w:rPr>
                <w:color w:val="auto"/>
              </w:rPr>
            </w:pPr>
            <w:r>
              <w:rPr>
                <w:bCs/>
                <w:color w:val="auto"/>
                <w:szCs w:val="21"/>
              </w:rPr>
              <w:t>（</w:t>
            </w:r>
            <w:r>
              <w:rPr>
                <w:color w:val="auto"/>
              </w:rPr>
              <w:t>2）医疗废物收集、贮存风险防范措施</w:t>
            </w:r>
          </w:p>
          <w:p>
            <w:pPr>
              <w:adjustRightInd/>
              <w:snapToGrid/>
              <w:spacing w:line="240" w:lineRule="auto"/>
              <w:ind w:firstLine="420"/>
              <w:rPr>
                <w:color w:val="auto"/>
              </w:rPr>
            </w:pPr>
            <w:r>
              <w:rPr>
                <w:color w:val="auto"/>
              </w:rPr>
              <w:t>项目设置1处危废贮存点，按照《危险废物贮存污染控制标准》（GB 18597-2023）、《危险废物识别标志设置技术规范》（HJ 1276-2022）、《危险废物收集贮存运输技术规范》（HJ2025-2012）、《危险废物转移管理办法》（生态环境部、公安部、交通运输部令第23号公布）等中的相关要求对医疗废物进行分类收集、暂存、转运、处置后，项目医疗废物可得到妥善处置，不会对周围环境产生较大的影响。</w:t>
            </w:r>
          </w:p>
          <w:p>
            <w:pPr>
              <w:adjustRightInd/>
              <w:snapToGrid/>
              <w:spacing w:line="240" w:lineRule="auto"/>
              <w:ind w:firstLine="420"/>
              <w:rPr>
                <w:color w:val="auto"/>
              </w:rPr>
            </w:pPr>
            <w:r>
              <w:rPr>
                <w:color w:val="auto"/>
              </w:rPr>
              <w:t>同时，医院设置负责医疗废物管理的专（兼）职人员，按照《危险废物管理计划和管理台账制定技术导则》（HJ1259-2022）负责检查、督促、落实本单位医疗废物的管理工作，建立医疗废物管理责任制，制定并落实相应的规章制度、工作程序和要求、有关人员的工作职责，同时对本单位从事医疗废物收集、贮存等工作的人员和管理人员，进行相关法律和专业技术、安全防护以及紧急处理等知识的培训。采取上述措施后，本项目医疗废物收集、贮存过程中的环境风险可控。</w:t>
            </w:r>
          </w:p>
          <w:p>
            <w:pPr>
              <w:adjustRightInd/>
              <w:snapToGrid/>
              <w:spacing w:line="240" w:lineRule="auto"/>
              <w:ind w:firstLine="199" w:firstLineChars="95"/>
              <w:rPr>
                <w:color w:val="auto"/>
              </w:rPr>
            </w:pPr>
            <w:r>
              <w:rPr>
                <w:bCs/>
                <w:color w:val="auto"/>
                <w:szCs w:val="21"/>
              </w:rPr>
              <w:t>（</w:t>
            </w:r>
            <w:r>
              <w:rPr>
                <w:color w:val="auto"/>
              </w:rPr>
              <w:t xml:space="preserve">3）医用酒精、消毒剂等事故性泄漏风险防范措施 </w:t>
            </w:r>
          </w:p>
          <w:p>
            <w:pPr>
              <w:adjustRightInd/>
              <w:snapToGrid/>
              <w:spacing w:line="240" w:lineRule="auto"/>
              <w:ind w:firstLine="420"/>
              <w:rPr>
                <w:color w:val="auto"/>
              </w:rPr>
            </w:pPr>
            <w:r>
              <w:rPr>
                <w:color w:val="auto"/>
              </w:rPr>
              <w:t>项目参照实验室药品管理要求，酒精、消毒剂应摆放至相应位置，贴上相应标签，设专人管理；项目存放的酒精、消毒剂每次取用后应立即将容器上盖封闭，严禁敞开放置，一旦发生倾倒泄漏，立即采用抹布吸附处理；酒精、消毒剂应避免用玻璃瓶存放，防止跌落破损，应远离火种、热源，温度不宜超过30℃，防止阳光直射储存。</w:t>
            </w:r>
          </w:p>
          <w:p>
            <w:pPr>
              <w:adjustRightInd/>
              <w:snapToGrid/>
              <w:spacing w:line="240" w:lineRule="auto"/>
              <w:ind w:firstLine="199" w:firstLineChars="95"/>
              <w:rPr>
                <w:color w:val="auto"/>
              </w:rPr>
            </w:pPr>
            <w:r>
              <w:rPr>
                <w:bCs/>
                <w:color w:val="auto"/>
                <w:szCs w:val="21"/>
              </w:rPr>
              <w:t>（</w:t>
            </w:r>
            <w:r>
              <w:rPr>
                <w:color w:val="auto"/>
              </w:rPr>
              <w:t>4）动物疫情风险防范措施</w:t>
            </w:r>
          </w:p>
          <w:p>
            <w:pPr>
              <w:adjustRightInd/>
              <w:snapToGrid/>
              <w:spacing w:line="240" w:lineRule="auto"/>
              <w:ind w:firstLine="420"/>
              <w:rPr>
                <w:color w:val="auto"/>
              </w:rPr>
            </w:pPr>
            <w:r>
              <w:rPr>
                <w:color w:val="auto"/>
              </w:rPr>
              <w:t>项目为宠物医院，主要接待患病猫犬，发病且传染的可能性较高。医院仅对一般宠物感染病症进行隔离治疗；医院不接收经诊断患人畜交叉感染传染病的宠物，若本医院诊断有疑似人畜共患传染病，及时报当地动物卫生监督部门，严格按照《</w:t>
            </w:r>
            <w:r>
              <w:rPr>
                <w:rFonts w:hint="eastAsia"/>
                <w:color w:val="auto"/>
              </w:rPr>
              <w:t>重庆市动物防疫条例</w:t>
            </w:r>
            <w:r>
              <w:rPr>
                <w:color w:val="auto"/>
              </w:rPr>
              <w:t>》、《重庆市无规定动物疫病区管理办法》的相关规定进行管理。</w:t>
            </w:r>
          </w:p>
          <w:p>
            <w:pPr>
              <w:adjustRightInd/>
              <w:snapToGrid/>
              <w:spacing w:line="240" w:lineRule="auto"/>
              <w:ind w:firstLine="420"/>
              <w:rPr>
                <w:color w:val="auto"/>
              </w:rPr>
            </w:pPr>
            <w:r>
              <w:rPr>
                <w:color w:val="auto"/>
              </w:rPr>
              <w:t>为预防动物疫情的风险，主要采取的措施包括：</w:t>
            </w:r>
          </w:p>
          <w:p>
            <w:pPr>
              <w:adjustRightInd/>
              <w:snapToGrid/>
              <w:spacing w:line="240" w:lineRule="auto"/>
              <w:ind w:firstLine="420"/>
              <w:rPr>
                <w:color w:val="auto"/>
              </w:rPr>
            </w:pPr>
            <w:r>
              <w:rPr>
                <w:color w:val="auto"/>
              </w:rPr>
              <w:t>建立突发动物疫情预防控制体系，做好日常预防准备工作，及时向本级兽医主管部门通报可能导致疫情的信息，做到信息互通、资源共享。发现动物群体发病或者死亡的，应当以电话或书面等形式，立即向当地兽医部门报告，本项目送资质单位无害化处理。</w:t>
            </w:r>
          </w:p>
          <w:p>
            <w:pPr>
              <w:pStyle w:val="167"/>
              <w:adjustRightInd/>
              <w:snapToGrid/>
              <w:ind w:firstLine="420" w:firstLineChars="200"/>
              <w:rPr>
                <w:b/>
                <w:bCs/>
                <w:color w:val="auto"/>
              </w:rPr>
            </w:pPr>
            <w:r>
              <w:rPr>
                <w:color w:val="auto"/>
              </w:rPr>
              <w:t>建立严格的卫生防疫制度，要认真贯彻“防重于治”的方针，必须建立严格的卫生防疫制度、健全卫生防疫设施，以确保安全生产。建立正常的卫生防疫制度，按计划进行清扫、消毒，按计划对宠物实施免疫程序，建立免疫档案。营运过程中一旦发生宠物带有传染性病变的可能时，立即进行隔离并采取安全清洁措施。治疗医生同样采取清洁安全化操作，防止在诊疗过程中传染其他动物甚至人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14" w:type="dxa"/>
            <w:tcBorders>
              <w:top w:val="single" w:color="auto" w:sz="4" w:space="0"/>
              <w:left w:val="single" w:color="auto" w:sz="4" w:space="0"/>
              <w:bottom w:val="single" w:color="auto" w:sz="4" w:space="0"/>
              <w:right w:val="single" w:color="auto" w:sz="4" w:space="0"/>
            </w:tcBorders>
            <w:vAlign w:val="center"/>
          </w:tcPr>
          <w:p>
            <w:pPr>
              <w:pStyle w:val="167"/>
              <w:adjustRightInd/>
              <w:snapToGrid/>
              <w:jc w:val="center"/>
              <w:rPr>
                <w:color w:val="auto"/>
                <w:spacing w:val="-8"/>
              </w:rPr>
            </w:pPr>
            <w:r>
              <w:rPr>
                <w:color w:val="auto"/>
                <w:spacing w:val="-8"/>
              </w:rPr>
              <w:t>其他环境</w:t>
            </w:r>
          </w:p>
          <w:p>
            <w:pPr>
              <w:pStyle w:val="167"/>
              <w:adjustRightInd/>
              <w:snapToGrid/>
              <w:jc w:val="center"/>
              <w:rPr>
                <w:color w:val="auto"/>
                <w:spacing w:val="-8"/>
              </w:rPr>
            </w:pPr>
            <w:r>
              <w:rPr>
                <w:color w:val="auto"/>
                <w:spacing w:val="-8"/>
              </w:rPr>
              <w:t>管理要求</w:t>
            </w:r>
          </w:p>
        </w:tc>
        <w:tc>
          <w:tcPr>
            <w:tcW w:w="804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167"/>
              <w:adjustRightInd/>
              <w:snapToGrid/>
              <w:ind w:firstLine="420" w:firstLineChars="200"/>
              <w:rPr>
                <w:color w:val="auto"/>
              </w:rPr>
            </w:pPr>
            <w:r>
              <w:rPr>
                <w:rFonts w:hint="eastAsia"/>
                <w:color w:val="auto"/>
              </w:rPr>
              <w:t>1、环境管理制度</w:t>
            </w:r>
          </w:p>
          <w:p>
            <w:pPr>
              <w:pStyle w:val="167"/>
              <w:adjustRightInd/>
              <w:snapToGrid/>
              <w:ind w:firstLine="420" w:firstLineChars="200"/>
              <w:rPr>
                <w:color w:val="auto"/>
              </w:rPr>
            </w:pPr>
            <w:r>
              <w:rPr>
                <w:rFonts w:hint="eastAsia"/>
                <w:color w:val="auto"/>
              </w:rPr>
              <w:t>①设立专人负责环保，建立完善的环境保护规章制度，并认真监督实施；</w:t>
            </w:r>
          </w:p>
          <w:p>
            <w:pPr>
              <w:pStyle w:val="167"/>
              <w:adjustRightInd/>
              <w:snapToGrid/>
              <w:ind w:firstLine="420" w:firstLineChars="200"/>
              <w:rPr>
                <w:color w:val="auto"/>
              </w:rPr>
            </w:pPr>
            <w:r>
              <w:rPr>
                <w:rFonts w:hint="eastAsia"/>
                <w:color w:val="auto"/>
              </w:rPr>
              <w:t>②对各种环保设备的运行状况进行监督管理，确保设备正常高效运行；</w:t>
            </w:r>
          </w:p>
          <w:p>
            <w:pPr>
              <w:pStyle w:val="167"/>
              <w:adjustRightInd/>
              <w:snapToGrid/>
              <w:ind w:firstLine="420" w:firstLineChars="200"/>
              <w:rPr>
                <w:color w:val="auto"/>
              </w:rPr>
            </w:pPr>
            <w:r>
              <w:rPr>
                <w:rFonts w:hint="eastAsia"/>
                <w:color w:val="auto"/>
              </w:rPr>
              <w:t>③开展环境管理台账记录和执行标准编制并提交。</w:t>
            </w:r>
          </w:p>
          <w:p>
            <w:pPr>
              <w:pStyle w:val="167"/>
              <w:adjustRightInd/>
              <w:snapToGrid/>
              <w:ind w:firstLine="420" w:firstLineChars="200"/>
              <w:rPr>
                <w:color w:val="auto"/>
              </w:rPr>
            </w:pPr>
            <w:r>
              <w:rPr>
                <w:rFonts w:hint="eastAsia"/>
                <w:color w:val="auto"/>
              </w:rPr>
              <w:t>2、根据《固定污染源排污许可分类管理名录（2019年版）》，本项目不属于该名录规定的排污单位，无需纳入排污许可管理。</w:t>
            </w:r>
          </w:p>
          <w:p>
            <w:pPr>
              <w:pStyle w:val="167"/>
              <w:adjustRightInd/>
              <w:snapToGrid/>
              <w:ind w:firstLine="420" w:firstLineChars="200"/>
              <w:rPr>
                <w:color w:val="auto"/>
              </w:rPr>
            </w:pPr>
            <w:r>
              <w:rPr>
                <w:rFonts w:hint="eastAsia"/>
                <w:color w:val="auto"/>
              </w:rPr>
              <w:t>3、项目竣工后，建设单位或者其委托的技术机构应当依照国家有关法律法规、建设项目竣工环境保护验收技术规范、建设项目环境影响评价报告表及审批决定等要求，如实查验、检测、记载建设项目环境保护设施的建设和调试运行情况，同时还应如实记载其他环境保护对策措施“三同时”落实情况，编制竣工环境保护验收报告。</w:t>
            </w:r>
          </w:p>
        </w:tc>
      </w:tr>
    </w:tbl>
    <w:p>
      <w:pPr>
        <w:pStyle w:val="5"/>
        <w:rPr>
          <w:rFonts w:eastAsia="宋体"/>
          <w:snapToGrid w:val="0"/>
          <w:color w:val="auto"/>
        </w:rPr>
      </w:pPr>
      <w:r>
        <w:rPr>
          <w:rFonts w:eastAsia="宋体"/>
          <w:snapToGrid w:val="0"/>
          <w:color w:val="auto"/>
        </w:rPr>
        <w:br w:type="page"/>
      </w:r>
      <w:r>
        <w:rPr>
          <w:rFonts w:eastAsia="宋体"/>
          <w:snapToGrid w:val="0"/>
          <w:color w:val="auto"/>
        </w:rPr>
        <w:t>六、结论</w:t>
      </w:r>
    </w:p>
    <w:tbl>
      <w:tblPr>
        <w:tblStyle w:val="40"/>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9962" w:type="dxa"/>
          </w:tcPr>
          <w:p>
            <w:pPr>
              <w:adjustRightInd/>
              <w:snapToGrid/>
              <w:spacing w:before="120" w:beforeLines="50"/>
              <w:ind w:firstLine="420"/>
              <w:rPr>
                <w:color w:val="auto"/>
                <w:sz w:val="24"/>
              </w:rPr>
            </w:pPr>
            <w:r>
              <w:rPr>
                <w:rFonts w:hint="eastAsia"/>
                <w:color w:val="auto"/>
              </w:rPr>
              <w:t>侏罗纪动物医院迅猛龙分院项目</w:t>
            </w:r>
            <w:r>
              <w:rPr>
                <w:snapToGrid w:val="0"/>
                <w:color w:val="auto"/>
                <w:szCs w:val="21"/>
              </w:rPr>
              <w:t>符合国家产业政策，采取污染防治和控制措施后，外排污染物可达标排放，环境影响在可接受范围内，环境功能区质量能够满足相应标准要求。评价认为，只要建设单位严格执行“三同时”等环保制度，认真实施本环评提出的废气、废水、噪声、固体废物治理措施，落实各项环保投资，强化管理的前提下，从环保角度来看，项目的建设可行。</w:t>
            </w:r>
          </w:p>
        </w:tc>
      </w:tr>
    </w:tbl>
    <w:p>
      <w:pPr>
        <w:ind w:firstLine="420"/>
        <w:rPr>
          <w:color w:val="auto"/>
        </w:rPr>
        <w:sectPr>
          <w:type w:val="continuous"/>
          <w:pgSz w:w="11906" w:h="16838"/>
          <w:pgMar w:top="1440" w:right="1080" w:bottom="1440" w:left="1080" w:header="851" w:footer="851" w:gutter="0"/>
          <w:cols w:space="720" w:num="1"/>
          <w:docGrid w:linePitch="312" w:charSpace="0"/>
        </w:sectPr>
      </w:pPr>
    </w:p>
    <w:p>
      <w:pPr>
        <w:pStyle w:val="35"/>
        <w:spacing w:before="0" w:beforeAutospacing="0" w:after="0" w:afterAutospacing="0" w:line="648" w:lineRule="auto"/>
        <w:ind w:firstLine="640"/>
        <w:outlineLvl w:val="0"/>
        <w:rPr>
          <w:rFonts w:ascii="Times New Roman" w:hAnsi="Times New Roman"/>
          <w:snapToGrid w:val="0"/>
          <w:color w:val="auto"/>
          <w:sz w:val="32"/>
          <w:szCs w:val="32"/>
        </w:rPr>
        <w:sectPr>
          <w:footerReference r:id="rId6" w:type="default"/>
          <w:type w:val="continuous"/>
          <w:pgSz w:w="11906" w:h="16838"/>
          <w:pgMar w:top="1440" w:right="1080" w:bottom="1440" w:left="1080" w:header="851" w:footer="851" w:gutter="0"/>
          <w:cols w:space="720" w:num="1"/>
          <w:docGrid w:linePitch="312" w:charSpace="0"/>
        </w:sectPr>
      </w:pPr>
    </w:p>
    <w:p>
      <w:pPr>
        <w:pStyle w:val="35"/>
        <w:spacing w:before="0" w:beforeAutospacing="0" w:after="0" w:afterAutospacing="0" w:line="648" w:lineRule="auto"/>
        <w:ind w:firstLine="640"/>
        <w:outlineLvl w:val="0"/>
        <w:rPr>
          <w:rFonts w:ascii="Times New Roman" w:hAnsi="Times New Roman"/>
          <w:snapToGrid w:val="0"/>
          <w:color w:val="auto"/>
          <w:sz w:val="32"/>
          <w:szCs w:val="32"/>
        </w:rPr>
      </w:pPr>
      <w:r>
        <w:rPr>
          <w:rFonts w:ascii="Times New Roman" w:hAnsi="Times New Roman"/>
          <w:snapToGrid w:val="0"/>
          <w:color w:val="auto"/>
          <w:sz w:val="32"/>
          <w:szCs w:val="32"/>
        </w:rPr>
        <w:t>附表</w:t>
      </w:r>
    </w:p>
    <w:p>
      <w:pPr>
        <w:pStyle w:val="5"/>
        <w:rPr>
          <w:rFonts w:eastAsia="宋体"/>
          <w:snapToGrid w:val="0"/>
          <w:color w:val="auto"/>
        </w:rPr>
      </w:pPr>
      <w:r>
        <w:rPr>
          <w:rFonts w:eastAsia="宋体"/>
          <w:snapToGrid w:val="0"/>
          <w:color w:val="auto"/>
        </w:rPr>
        <w:t>建设项目污染物排放量汇总表</w:t>
      </w:r>
    </w:p>
    <w:tbl>
      <w:tblPr>
        <w:tblStyle w:val="4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745"/>
        <w:gridCol w:w="10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167"/>
              <w:jc w:val="center"/>
              <w:rPr>
                <w:snapToGrid w:val="0"/>
                <w:color w:val="auto"/>
                <w:szCs w:val="21"/>
              </w:rPr>
            </w:pPr>
            <w:r>
              <w:rPr>
                <w:snapToGrid w:val="0"/>
                <w:color w:val="auto"/>
                <w:szCs w:val="21"/>
              </w:rPr>
              <w:t xml:space="preserve">      项目</w:t>
            </w:r>
          </w:p>
          <w:p>
            <w:pPr>
              <w:pStyle w:val="167"/>
              <w:rPr>
                <w:snapToGrid w:val="0"/>
                <w:color w:val="auto"/>
                <w:szCs w:val="21"/>
              </w:rPr>
            </w:pPr>
            <w:r>
              <w:rPr>
                <w:snapToGrid w:val="0"/>
                <w:color w:val="auto"/>
                <w:szCs w:val="21"/>
              </w:rPr>
              <w:t>分类</w:t>
            </w:r>
          </w:p>
        </w:tc>
        <w:tc>
          <w:tcPr>
            <w:tcW w:w="1417" w:type="dxa"/>
            <w:tcMar>
              <w:left w:w="28" w:type="dxa"/>
              <w:right w:w="28" w:type="dxa"/>
            </w:tcMar>
            <w:vAlign w:val="center"/>
          </w:tcPr>
          <w:p>
            <w:pPr>
              <w:pStyle w:val="167"/>
              <w:jc w:val="center"/>
              <w:rPr>
                <w:snapToGrid w:val="0"/>
                <w:color w:val="auto"/>
                <w:szCs w:val="21"/>
              </w:rPr>
            </w:pPr>
            <w:r>
              <w:rPr>
                <w:snapToGrid w:val="0"/>
                <w:color w:val="auto"/>
                <w:szCs w:val="21"/>
              </w:rPr>
              <w:t>污染物名称</w:t>
            </w:r>
          </w:p>
        </w:tc>
        <w:tc>
          <w:tcPr>
            <w:tcW w:w="1701" w:type="dxa"/>
            <w:tcMar>
              <w:left w:w="28" w:type="dxa"/>
              <w:right w:w="28" w:type="dxa"/>
            </w:tcMar>
            <w:vAlign w:val="center"/>
          </w:tcPr>
          <w:p>
            <w:pPr>
              <w:pStyle w:val="167"/>
              <w:jc w:val="center"/>
              <w:rPr>
                <w:snapToGrid w:val="0"/>
                <w:color w:val="auto"/>
                <w:szCs w:val="21"/>
              </w:rPr>
            </w:pPr>
            <w:r>
              <w:rPr>
                <w:snapToGrid w:val="0"/>
                <w:color w:val="auto"/>
                <w:szCs w:val="21"/>
              </w:rPr>
              <w:t>现有工程</w:t>
            </w:r>
          </w:p>
          <w:p>
            <w:pPr>
              <w:pStyle w:val="167"/>
              <w:jc w:val="center"/>
              <w:rPr>
                <w:snapToGrid w:val="0"/>
                <w:color w:val="auto"/>
                <w:szCs w:val="21"/>
              </w:rPr>
            </w:pPr>
            <w:r>
              <w:rPr>
                <w:snapToGrid w:val="0"/>
                <w:color w:val="auto"/>
                <w:szCs w:val="21"/>
              </w:rPr>
              <w:t>排放量（固体废物产生量）</w:t>
            </w:r>
            <w:r>
              <w:rPr>
                <w:snapToGrid w:val="0"/>
                <w:color w:val="auto"/>
                <w:szCs w:val="21"/>
              </w:rPr>
              <w:fldChar w:fldCharType="begin"/>
            </w:r>
            <w:r>
              <w:rPr>
                <w:snapToGrid w:val="0"/>
                <w:color w:val="auto"/>
                <w:szCs w:val="21"/>
              </w:rPr>
              <w:instrText xml:space="preserve"> = 1 \* GB3 \* MERGEFORMAT </w:instrText>
            </w:r>
            <w:r>
              <w:rPr>
                <w:snapToGrid w:val="0"/>
                <w:color w:val="auto"/>
                <w:szCs w:val="21"/>
              </w:rPr>
              <w:fldChar w:fldCharType="separate"/>
            </w:r>
            <w:r>
              <w:rPr>
                <w:rFonts w:hint="eastAsia" w:ascii="宋体" w:hAnsi="宋体" w:cs="宋体"/>
                <w:color w:val="auto"/>
                <w:szCs w:val="21"/>
              </w:rPr>
              <w:t>①</w:t>
            </w:r>
            <w:r>
              <w:rPr>
                <w:snapToGrid w:val="0"/>
                <w:color w:val="auto"/>
                <w:szCs w:val="21"/>
              </w:rPr>
              <w:fldChar w:fldCharType="end"/>
            </w:r>
          </w:p>
        </w:tc>
        <w:tc>
          <w:tcPr>
            <w:tcW w:w="1276" w:type="dxa"/>
            <w:tcMar>
              <w:left w:w="28" w:type="dxa"/>
              <w:right w:w="28" w:type="dxa"/>
            </w:tcMar>
            <w:vAlign w:val="center"/>
          </w:tcPr>
          <w:p>
            <w:pPr>
              <w:pStyle w:val="167"/>
              <w:jc w:val="center"/>
              <w:rPr>
                <w:snapToGrid w:val="0"/>
                <w:color w:val="auto"/>
                <w:szCs w:val="21"/>
              </w:rPr>
            </w:pPr>
            <w:r>
              <w:rPr>
                <w:snapToGrid w:val="0"/>
                <w:color w:val="auto"/>
                <w:szCs w:val="21"/>
              </w:rPr>
              <w:t>现有工程</w:t>
            </w:r>
          </w:p>
          <w:p>
            <w:pPr>
              <w:pStyle w:val="167"/>
              <w:jc w:val="center"/>
              <w:rPr>
                <w:snapToGrid w:val="0"/>
                <w:color w:val="auto"/>
                <w:szCs w:val="21"/>
              </w:rPr>
            </w:pPr>
            <w:r>
              <w:rPr>
                <w:snapToGrid w:val="0"/>
                <w:color w:val="auto"/>
                <w:szCs w:val="21"/>
              </w:rPr>
              <w:t>许可排放量</w:t>
            </w:r>
          </w:p>
          <w:p>
            <w:pPr>
              <w:pStyle w:val="167"/>
              <w:jc w:val="center"/>
              <w:rPr>
                <w:snapToGrid w:val="0"/>
                <w:color w:val="auto"/>
                <w:szCs w:val="21"/>
              </w:rPr>
            </w:pPr>
            <w:r>
              <w:rPr>
                <w:snapToGrid w:val="0"/>
                <w:color w:val="auto"/>
                <w:szCs w:val="21"/>
              </w:rPr>
              <w:fldChar w:fldCharType="begin"/>
            </w:r>
            <w:r>
              <w:rPr>
                <w:snapToGrid w:val="0"/>
                <w:color w:val="auto"/>
                <w:szCs w:val="21"/>
              </w:rPr>
              <w:instrText xml:space="preserve"> = 2 \* GB3 \* MERGEFORMAT </w:instrText>
            </w:r>
            <w:r>
              <w:rPr>
                <w:snapToGrid w:val="0"/>
                <w:color w:val="auto"/>
                <w:szCs w:val="21"/>
              </w:rPr>
              <w:fldChar w:fldCharType="separate"/>
            </w:r>
            <w:r>
              <w:rPr>
                <w:rFonts w:hint="eastAsia" w:ascii="宋体" w:hAnsi="宋体" w:cs="宋体"/>
                <w:snapToGrid w:val="0"/>
                <w:color w:val="auto"/>
                <w:szCs w:val="21"/>
              </w:rPr>
              <w:t>②</w:t>
            </w:r>
            <w:r>
              <w:rPr>
                <w:snapToGrid w:val="0"/>
                <w:color w:val="auto"/>
                <w:szCs w:val="21"/>
              </w:rPr>
              <w:fldChar w:fldCharType="end"/>
            </w:r>
          </w:p>
        </w:tc>
        <w:tc>
          <w:tcPr>
            <w:tcW w:w="1701" w:type="dxa"/>
            <w:tcMar>
              <w:left w:w="28" w:type="dxa"/>
              <w:right w:w="28" w:type="dxa"/>
            </w:tcMar>
            <w:vAlign w:val="center"/>
          </w:tcPr>
          <w:p>
            <w:pPr>
              <w:pStyle w:val="167"/>
              <w:jc w:val="center"/>
              <w:rPr>
                <w:snapToGrid w:val="0"/>
                <w:color w:val="auto"/>
                <w:szCs w:val="21"/>
              </w:rPr>
            </w:pPr>
            <w:r>
              <w:rPr>
                <w:snapToGrid w:val="0"/>
                <w:color w:val="auto"/>
                <w:szCs w:val="21"/>
              </w:rPr>
              <w:t>在建工程</w:t>
            </w:r>
          </w:p>
          <w:p>
            <w:pPr>
              <w:pStyle w:val="167"/>
              <w:jc w:val="center"/>
              <w:rPr>
                <w:snapToGrid w:val="0"/>
                <w:color w:val="auto"/>
                <w:szCs w:val="21"/>
              </w:rPr>
            </w:pPr>
            <w:r>
              <w:rPr>
                <w:snapToGrid w:val="0"/>
                <w:color w:val="auto"/>
                <w:szCs w:val="21"/>
              </w:rPr>
              <w:t>排放量（固体废物产生量）</w:t>
            </w:r>
            <w:r>
              <w:rPr>
                <w:snapToGrid w:val="0"/>
                <w:color w:val="auto"/>
                <w:szCs w:val="21"/>
              </w:rPr>
              <w:fldChar w:fldCharType="begin"/>
            </w:r>
            <w:r>
              <w:rPr>
                <w:snapToGrid w:val="0"/>
                <w:color w:val="auto"/>
                <w:szCs w:val="21"/>
              </w:rPr>
              <w:instrText xml:space="preserve"> = 3 \* GB3 \* MERGEFORMAT </w:instrText>
            </w:r>
            <w:r>
              <w:rPr>
                <w:snapToGrid w:val="0"/>
                <w:color w:val="auto"/>
                <w:szCs w:val="21"/>
              </w:rPr>
              <w:fldChar w:fldCharType="separate"/>
            </w:r>
            <w:r>
              <w:rPr>
                <w:rFonts w:hint="eastAsia" w:ascii="宋体" w:hAnsi="宋体" w:cs="宋体"/>
                <w:color w:val="auto"/>
                <w:szCs w:val="21"/>
              </w:rPr>
              <w:t>③</w:t>
            </w:r>
            <w:r>
              <w:rPr>
                <w:snapToGrid w:val="0"/>
                <w:color w:val="auto"/>
                <w:szCs w:val="21"/>
              </w:rPr>
              <w:fldChar w:fldCharType="end"/>
            </w:r>
          </w:p>
        </w:tc>
        <w:tc>
          <w:tcPr>
            <w:tcW w:w="1559" w:type="dxa"/>
            <w:tcMar>
              <w:left w:w="28" w:type="dxa"/>
              <w:right w:w="28" w:type="dxa"/>
            </w:tcMar>
            <w:vAlign w:val="center"/>
          </w:tcPr>
          <w:p>
            <w:pPr>
              <w:pStyle w:val="167"/>
              <w:jc w:val="center"/>
              <w:rPr>
                <w:snapToGrid w:val="0"/>
                <w:color w:val="auto"/>
                <w:szCs w:val="21"/>
              </w:rPr>
            </w:pPr>
            <w:r>
              <w:rPr>
                <w:snapToGrid w:val="0"/>
                <w:color w:val="auto"/>
                <w:szCs w:val="21"/>
              </w:rPr>
              <w:t>本项目</w:t>
            </w:r>
          </w:p>
          <w:p>
            <w:pPr>
              <w:pStyle w:val="167"/>
              <w:jc w:val="center"/>
              <w:rPr>
                <w:snapToGrid w:val="0"/>
                <w:color w:val="auto"/>
                <w:szCs w:val="21"/>
              </w:rPr>
            </w:pPr>
            <w:r>
              <w:rPr>
                <w:snapToGrid w:val="0"/>
                <w:color w:val="auto"/>
                <w:szCs w:val="21"/>
              </w:rPr>
              <w:t>排放量（固体废物产生量）</w:t>
            </w:r>
            <w:r>
              <w:rPr>
                <w:snapToGrid w:val="0"/>
                <w:color w:val="auto"/>
                <w:szCs w:val="21"/>
              </w:rPr>
              <w:fldChar w:fldCharType="begin"/>
            </w:r>
            <w:r>
              <w:rPr>
                <w:snapToGrid w:val="0"/>
                <w:color w:val="auto"/>
                <w:szCs w:val="21"/>
              </w:rPr>
              <w:instrText xml:space="preserve"> = 4 \* GB3 \* MERGEFORMAT </w:instrText>
            </w:r>
            <w:r>
              <w:rPr>
                <w:snapToGrid w:val="0"/>
                <w:color w:val="auto"/>
                <w:szCs w:val="21"/>
              </w:rPr>
              <w:fldChar w:fldCharType="separate"/>
            </w:r>
            <w:r>
              <w:rPr>
                <w:rFonts w:hint="eastAsia" w:ascii="宋体" w:hAnsi="宋体" w:cs="宋体"/>
                <w:color w:val="auto"/>
                <w:szCs w:val="21"/>
              </w:rPr>
              <w:t>④</w:t>
            </w:r>
            <w:r>
              <w:rPr>
                <w:snapToGrid w:val="0"/>
                <w:color w:val="auto"/>
                <w:szCs w:val="21"/>
              </w:rPr>
              <w:fldChar w:fldCharType="end"/>
            </w:r>
          </w:p>
        </w:tc>
        <w:tc>
          <w:tcPr>
            <w:tcW w:w="1761" w:type="dxa"/>
            <w:tcMar>
              <w:left w:w="28" w:type="dxa"/>
              <w:right w:w="28" w:type="dxa"/>
            </w:tcMar>
            <w:vAlign w:val="center"/>
          </w:tcPr>
          <w:p>
            <w:pPr>
              <w:pStyle w:val="167"/>
              <w:jc w:val="center"/>
              <w:rPr>
                <w:snapToGrid w:val="0"/>
                <w:color w:val="auto"/>
                <w:spacing w:val="-16"/>
                <w:szCs w:val="21"/>
              </w:rPr>
            </w:pPr>
            <w:r>
              <w:rPr>
                <w:snapToGrid w:val="0"/>
                <w:color w:val="auto"/>
                <w:spacing w:val="-16"/>
                <w:szCs w:val="21"/>
              </w:rPr>
              <w:t>以新带老削减量</w:t>
            </w:r>
          </w:p>
          <w:p>
            <w:pPr>
              <w:pStyle w:val="167"/>
              <w:jc w:val="center"/>
              <w:rPr>
                <w:snapToGrid w:val="0"/>
                <w:color w:val="auto"/>
                <w:spacing w:val="-16"/>
                <w:szCs w:val="21"/>
              </w:rPr>
            </w:pPr>
            <w:r>
              <w:rPr>
                <w:snapToGrid w:val="0"/>
                <w:color w:val="auto"/>
                <w:spacing w:val="-16"/>
                <w:szCs w:val="21"/>
              </w:rPr>
              <w:t>（新建项目不填）</w:t>
            </w:r>
            <w:r>
              <w:rPr>
                <w:snapToGrid w:val="0"/>
                <w:color w:val="auto"/>
                <w:spacing w:val="-16"/>
                <w:szCs w:val="21"/>
              </w:rPr>
              <w:fldChar w:fldCharType="begin"/>
            </w:r>
            <w:r>
              <w:rPr>
                <w:snapToGrid w:val="0"/>
                <w:color w:val="auto"/>
                <w:spacing w:val="-16"/>
                <w:szCs w:val="21"/>
              </w:rPr>
              <w:instrText xml:space="preserve"> = 5 \* GB3 \* MERGEFORMAT </w:instrText>
            </w:r>
            <w:r>
              <w:rPr>
                <w:snapToGrid w:val="0"/>
                <w:color w:val="auto"/>
                <w:spacing w:val="-16"/>
                <w:szCs w:val="21"/>
              </w:rPr>
              <w:fldChar w:fldCharType="separate"/>
            </w:r>
            <w:r>
              <w:rPr>
                <w:rFonts w:hint="eastAsia" w:ascii="宋体" w:hAnsi="宋体" w:cs="宋体"/>
                <w:color w:val="auto"/>
                <w:szCs w:val="21"/>
              </w:rPr>
              <w:t>⑤</w:t>
            </w:r>
            <w:r>
              <w:rPr>
                <w:snapToGrid w:val="0"/>
                <w:color w:val="auto"/>
                <w:spacing w:val="-16"/>
                <w:szCs w:val="21"/>
              </w:rPr>
              <w:fldChar w:fldCharType="end"/>
            </w:r>
          </w:p>
        </w:tc>
        <w:tc>
          <w:tcPr>
            <w:tcW w:w="1745" w:type="dxa"/>
            <w:tcMar>
              <w:left w:w="28" w:type="dxa"/>
              <w:right w:w="28" w:type="dxa"/>
            </w:tcMar>
            <w:vAlign w:val="center"/>
          </w:tcPr>
          <w:p>
            <w:pPr>
              <w:pStyle w:val="167"/>
              <w:jc w:val="center"/>
              <w:rPr>
                <w:snapToGrid w:val="0"/>
                <w:color w:val="auto"/>
                <w:spacing w:val="-16"/>
                <w:szCs w:val="21"/>
              </w:rPr>
            </w:pPr>
            <w:r>
              <w:rPr>
                <w:snapToGrid w:val="0"/>
                <w:color w:val="auto"/>
                <w:spacing w:val="-16"/>
                <w:szCs w:val="21"/>
              </w:rPr>
              <w:t>本项目建成后</w:t>
            </w:r>
          </w:p>
          <w:p>
            <w:pPr>
              <w:pStyle w:val="167"/>
              <w:jc w:val="center"/>
              <w:rPr>
                <w:snapToGrid w:val="0"/>
                <w:color w:val="auto"/>
                <w:spacing w:val="-16"/>
                <w:szCs w:val="21"/>
              </w:rPr>
            </w:pPr>
            <w:r>
              <w:rPr>
                <w:snapToGrid w:val="0"/>
                <w:color w:val="auto"/>
                <w:spacing w:val="-16"/>
                <w:szCs w:val="21"/>
              </w:rPr>
              <w:t>全厂排放量（固体废物产生量）</w:t>
            </w:r>
            <w:r>
              <w:rPr>
                <w:snapToGrid w:val="0"/>
                <w:color w:val="auto"/>
                <w:spacing w:val="-16"/>
                <w:szCs w:val="21"/>
              </w:rPr>
              <w:fldChar w:fldCharType="begin"/>
            </w:r>
            <w:r>
              <w:rPr>
                <w:snapToGrid w:val="0"/>
                <w:color w:val="auto"/>
                <w:spacing w:val="-16"/>
                <w:szCs w:val="21"/>
              </w:rPr>
              <w:instrText xml:space="preserve"> = 6 \* GB3 \* MERGEFORMAT </w:instrText>
            </w:r>
            <w:r>
              <w:rPr>
                <w:snapToGrid w:val="0"/>
                <w:color w:val="auto"/>
                <w:spacing w:val="-16"/>
                <w:szCs w:val="21"/>
              </w:rPr>
              <w:fldChar w:fldCharType="separate"/>
            </w:r>
            <w:r>
              <w:rPr>
                <w:rFonts w:hint="eastAsia" w:ascii="宋体" w:hAnsi="宋体" w:cs="宋体"/>
                <w:color w:val="auto"/>
                <w:szCs w:val="21"/>
              </w:rPr>
              <w:t>⑥</w:t>
            </w:r>
            <w:r>
              <w:rPr>
                <w:snapToGrid w:val="0"/>
                <w:color w:val="auto"/>
                <w:spacing w:val="-16"/>
                <w:szCs w:val="21"/>
              </w:rPr>
              <w:fldChar w:fldCharType="end"/>
            </w:r>
          </w:p>
        </w:tc>
        <w:tc>
          <w:tcPr>
            <w:tcW w:w="1040" w:type="dxa"/>
            <w:tcMar>
              <w:left w:w="28" w:type="dxa"/>
              <w:right w:w="28" w:type="dxa"/>
            </w:tcMar>
            <w:vAlign w:val="center"/>
          </w:tcPr>
          <w:p>
            <w:pPr>
              <w:pStyle w:val="167"/>
              <w:jc w:val="center"/>
              <w:rPr>
                <w:snapToGrid w:val="0"/>
                <w:color w:val="auto"/>
                <w:szCs w:val="21"/>
              </w:rPr>
            </w:pPr>
            <w:r>
              <w:rPr>
                <w:snapToGrid w:val="0"/>
                <w:color w:val="auto"/>
                <w:szCs w:val="21"/>
              </w:rPr>
              <w:t>变化量</w:t>
            </w:r>
          </w:p>
          <w:p>
            <w:pPr>
              <w:pStyle w:val="167"/>
              <w:jc w:val="center"/>
              <w:rPr>
                <w:snapToGrid w:val="0"/>
                <w:color w:val="auto"/>
                <w:szCs w:val="21"/>
              </w:rPr>
            </w:pPr>
            <w:r>
              <w:rPr>
                <w:snapToGrid w:val="0"/>
                <w:color w:val="auto"/>
                <w:szCs w:val="21"/>
              </w:rPr>
              <w:fldChar w:fldCharType="begin"/>
            </w:r>
            <w:r>
              <w:rPr>
                <w:snapToGrid w:val="0"/>
                <w:color w:val="auto"/>
                <w:szCs w:val="21"/>
              </w:rPr>
              <w:instrText xml:space="preserve"> = 7 \* GB3 \* MERGEFORMAT </w:instrText>
            </w:r>
            <w:r>
              <w:rPr>
                <w:snapToGrid w:val="0"/>
                <w:color w:val="auto"/>
                <w:szCs w:val="21"/>
              </w:rPr>
              <w:fldChar w:fldCharType="separate"/>
            </w:r>
            <w:r>
              <w:rPr>
                <w:rFonts w:hint="eastAsia" w:ascii="宋体" w:hAnsi="宋体" w:cs="宋体"/>
                <w:color w:val="auto"/>
                <w:szCs w:val="21"/>
              </w:rPr>
              <w:t>⑦</w:t>
            </w:r>
            <w:r>
              <w:rPr>
                <w:snapToGrid w:val="0"/>
                <w:color w:val="auto"/>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Align w:val="center"/>
          </w:tcPr>
          <w:p>
            <w:pPr>
              <w:pStyle w:val="167"/>
              <w:jc w:val="center"/>
              <w:rPr>
                <w:snapToGrid w:val="0"/>
                <w:color w:val="auto"/>
                <w:szCs w:val="21"/>
              </w:rPr>
            </w:pPr>
            <w:r>
              <w:rPr>
                <w:snapToGrid w:val="0"/>
                <w:color w:val="auto"/>
                <w:szCs w:val="21"/>
              </w:rPr>
              <w:t>废气</w:t>
            </w:r>
          </w:p>
        </w:tc>
        <w:tc>
          <w:tcPr>
            <w:tcW w:w="1417" w:type="dxa"/>
            <w:vAlign w:val="center"/>
          </w:tcPr>
          <w:p>
            <w:pPr>
              <w:pStyle w:val="167"/>
              <w:jc w:val="center"/>
              <w:rPr>
                <w:snapToGrid w:val="0"/>
                <w:color w:val="auto"/>
                <w:szCs w:val="21"/>
              </w:rPr>
            </w:pPr>
            <w:r>
              <w:rPr>
                <w:rFonts w:hint="eastAsia"/>
                <w:snapToGrid w:val="0"/>
                <w:color w:val="auto"/>
                <w:szCs w:val="21"/>
              </w:rPr>
              <w:t>异味</w:t>
            </w:r>
          </w:p>
        </w:tc>
        <w:tc>
          <w:tcPr>
            <w:tcW w:w="1701" w:type="dxa"/>
            <w:vAlign w:val="center"/>
          </w:tcPr>
          <w:p>
            <w:pPr>
              <w:pStyle w:val="167"/>
              <w:jc w:val="center"/>
              <w:rPr>
                <w:snapToGrid w:val="0"/>
                <w:color w:val="auto"/>
                <w:szCs w:val="21"/>
              </w:rPr>
            </w:pPr>
            <w:r>
              <w:rPr>
                <w:bCs/>
                <w:color w:val="auto"/>
                <w:szCs w:val="21"/>
              </w:rPr>
              <w:t>/</w:t>
            </w:r>
          </w:p>
        </w:tc>
        <w:tc>
          <w:tcPr>
            <w:tcW w:w="1276" w:type="dxa"/>
            <w:vAlign w:val="center"/>
          </w:tcPr>
          <w:p>
            <w:pPr>
              <w:pStyle w:val="167"/>
              <w:jc w:val="center"/>
              <w:rPr>
                <w:snapToGrid w:val="0"/>
                <w:color w:val="auto"/>
                <w:szCs w:val="21"/>
              </w:rPr>
            </w:pPr>
            <w:r>
              <w:rPr>
                <w:snapToGrid w:val="0"/>
                <w:color w:val="auto"/>
                <w:szCs w:val="21"/>
              </w:rPr>
              <w:t>/</w:t>
            </w:r>
          </w:p>
        </w:tc>
        <w:tc>
          <w:tcPr>
            <w:tcW w:w="1701" w:type="dxa"/>
            <w:vAlign w:val="center"/>
          </w:tcPr>
          <w:p>
            <w:pPr>
              <w:pStyle w:val="167"/>
              <w:jc w:val="center"/>
              <w:rPr>
                <w:snapToGrid w:val="0"/>
                <w:color w:val="auto"/>
                <w:szCs w:val="21"/>
              </w:rPr>
            </w:pPr>
            <w:r>
              <w:rPr>
                <w:snapToGrid w:val="0"/>
                <w:color w:val="auto"/>
                <w:szCs w:val="21"/>
              </w:rPr>
              <w:t>/</w:t>
            </w:r>
          </w:p>
        </w:tc>
        <w:tc>
          <w:tcPr>
            <w:tcW w:w="1559" w:type="dxa"/>
            <w:vAlign w:val="center"/>
          </w:tcPr>
          <w:p>
            <w:pPr>
              <w:pStyle w:val="167"/>
              <w:jc w:val="center"/>
              <w:rPr>
                <w:snapToGrid w:val="0"/>
                <w:color w:val="auto"/>
                <w:szCs w:val="21"/>
              </w:rPr>
            </w:pPr>
            <w:r>
              <w:rPr>
                <w:color w:val="auto"/>
                <w:szCs w:val="21"/>
              </w:rPr>
              <w:t>少量</w:t>
            </w:r>
          </w:p>
        </w:tc>
        <w:tc>
          <w:tcPr>
            <w:tcW w:w="1761" w:type="dxa"/>
            <w:vAlign w:val="center"/>
          </w:tcPr>
          <w:p>
            <w:pPr>
              <w:pStyle w:val="167"/>
              <w:jc w:val="center"/>
              <w:rPr>
                <w:snapToGrid w:val="0"/>
                <w:color w:val="auto"/>
                <w:szCs w:val="21"/>
              </w:rPr>
            </w:pPr>
            <w:r>
              <w:rPr>
                <w:snapToGrid w:val="0"/>
                <w:color w:val="auto"/>
                <w:szCs w:val="21"/>
              </w:rPr>
              <w:t>/</w:t>
            </w:r>
          </w:p>
        </w:tc>
        <w:tc>
          <w:tcPr>
            <w:tcW w:w="1745" w:type="dxa"/>
            <w:vAlign w:val="center"/>
          </w:tcPr>
          <w:p>
            <w:pPr>
              <w:pStyle w:val="167"/>
              <w:jc w:val="center"/>
              <w:rPr>
                <w:snapToGrid w:val="0"/>
                <w:color w:val="auto"/>
                <w:szCs w:val="21"/>
              </w:rPr>
            </w:pPr>
            <w:r>
              <w:rPr>
                <w:color w:val="auto"/>
                <w:szCs w:val="21"/>
              </w:rPr>
              <w:t>少量</w:t>
            </w:r>
          </w:p>
        </w:tc>
        <w:tc>
          <w:tcPr>
            <w:tcW w:w="1040" w:type="dxa"/>
            <w:vAlign w:val="center"/>
          </w:tcPr>
          <w:p>
            <w:pPr>
              <w:pStyle w:val="167"/>
              <w:jc w:val="center"/>
              <w:rPr>
                <w:snapToGrid w:val="0"/>
                <w:color w:val="auto"/>
                <w:szCs w:val="21"/>
              </w:rPr>
            </w:pPr>
            <w:r>
              <w:rPr>
                <w:snapToGrid w:val="0"/>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vAlign w:val="center"/>
          </w:tcPr>
          <w:p>
            <w:pPr>
              <w:pStyle w:val="167"/>
              <w:jc w:val="center"/>
              <w:rPr>
                <w:snapToGrid w:val="0"/>
                <w:color w:val="auto"/>
                <w:szCs w:val="21"/>
              </w:rPr>
            </w:pPr>
            <w:r>
              <w:rPr>
                <w:snapToGrid w:val="0"/>
                <w:color w:val="auto"/>
                <w:szCs w:val="21"/>
              </w:rPr>
              <w:t>废水</w:t>
            </w:r>
          </w:p>
        </w:tc>
        <w:tc>
          <w:tcPr>
            <w:tcW w:w="1417" w:type="dxa"/>
            <w:vAlign w:val="center"/>
          </w:tcPr>
          <w:p>
            <w:pPr>
              <w:pStyle w:val="167"/>
              <w:jc w:val="center"/>
              <w:rPr>
                <w:snapToGrid w:val="0"/>
                <w:color w:val="auto"/>
                <w:szCs w:val="21"/>
              </w:rPr>
            </w:pPr>
            <w:r>
              <w:rPr>
                <w:color w:val="auto"/>
                <w:szCs w:val="21"/>
              </w:rPr>
              <w:t>COD</w:t>
            </w:r>
          </w:p>
        </w:tc>
        <w:tc>
          <w:tcPr>
            <w:tcW w:w="1701" w:type="dxa"/>
            <w:vAlign w:val="center"/>
          </w:tcPr>
          <w:p>
            <w:pPr>
              <w:pStyle w:val="167"/>
              <w:jc w:val="center"/>
              <w:rPr>
                <w:snapToGrid w:val="0"/>
                <w:color w:val="auto"/>
                <w:szCs w:val="21"/>
              </w:rPr>
            </w:pPr>
            <w:r>
              <w:rPr>
                <w:snapToGrid w:val="0"/>
                <w:color w:val="auto"/>
                <w:szCs w:val="21"/>
              </w:rPr>
              <w:t>/</w:t>
            </w:r>
          </w:p>
        </w:tc>
        <w:tc>
          <w:tcPr>
            <w:tcW w:w="1276" w:type="dxa"/>
            <w:vAlign w:val="center"/>
          </w:tcPr>
          <w:p>
            <w:pPr>
              <w:pStyle w:val="167"/>
              <w:jc w:val="center"/>
              <w:rPr>
                <w:snapToGrid w:val="0"/>
                <w:color w:val="auto"/>
                <w:szCs w:val="21"/>
              </w:rPr>
            </w:pPr>
            <w:r>
              <w:rPr>
                <w:bCs/>
                <w:color w:val="auto"/>
                <w:szCs w:val="21"/>
              </w:rPr>
              <w:t>/</w:t>
            </w:r>
          </w:p>
        </w:tc>
        <w:tc>
          <w:tcPr>
            <w:tcW w:w="1701" w:type="dxa"/>
            <w:vAlign w:val="center"/>
          </w:tcPr>
          <w:p>
            <w:pPr>
              <w:pStyle w:val="167"/>
              <w:jc w:val="center"/>
              <w:rPr>
                <w:snapToGrid w:val="0"/>
                <w:color w:val="auto"/>
                <w:szCs w:val="21"/>
              </w:rPr>
            </w:pPr>
            <w:r>
              <w:rPr>
                <w:snapToGrid w:val="0"/>
                <w:color w:val="auto"/>
                <w:szCs w:val="21"/>
              </w:rPr>
              <w:t>/</w:t>
            </w:r>
          </w:p>
        </w:tc>
        <w:tc>
          <w:tcPr>
            <w:tcW w:w="1559" w:type="dxa"/>
            <w:vAlign w:val="center"/>
          </w:tcPr>
          <w:p>
            <w:pPr>
              <w:pStyle w:val="167"/>
              <w:jc w:val="center"/>
              <w:rPr>
                <w:snapToGrid w:val="0"/>
                <w:color w:val="auto"/>
                <w:szCs w:val="21"/>
              </w:rPr>
            </w:pPr>
            <w:r>
              <w:rPr>
                <w:rFonts w:hint="eastAsia"/>
                <w:color w:val="auto"/>
                <w:szCs w:val="21"/>
              </w:rPr>
              <w:t>0.023</w:t>
            </w:r>
          </w:p>
        </w:tc>
        <w:tc>
          <w:tcPr>
            <w:tcW w:w="1761" w:type="dxa"/>
            <w:vAlign w:val="center"/>
          </w:tcPr>
          <w:p>
            <w:pPr>
              <w:pStyle w:val="167"/>
              <w:jc w:val="center"/>
              <w:rPr>
                <w:snapToGrid w:val="0"/>
                <w:color w:val="auto"/>
                <w:szCs w:val="21"/>
              </w:rPr>
            </w:pPr>
            <w:r>
              <w:rPr>
                <w:snapToGrid w:val="0"/>
                <w:color w:val="auto"/>
                <w:szCs w:val="21"/>
              </w:rPr>
              <w:t>/</w:t>
            </w:r>
          </w:p>
        </w:tc>
        <w:tc>
          <w:tcPr>
            <w:tcW w:w="1745" w:type="dxa"/>
            <w:vAlign w:val="center"/>
          </w:tcPr>
          <w:p>
            <w:pPr>
              <w:pStyle w:val="167"/>
              <w:jc w:val="center"/>
              <w:rPr>
                <w:snapToGrid w:val="0"/>
                <w:color w:val="auto"/>
                <w:szCs w:val="21"/>
              </w:rPr>
            </w:pPr>
            <w:r>
              <w:rPr>
                <w:rFonts w:hint="eastAsia"/>
                <w:snapToGrid w:val="0"/>
                <w:color w:val="auto"/>
                <w:szCs w:val="21"/>
              </w:rPr>
              <w:t>0.023</w:t>
            </w:r>
          </w:p>
        </w:tc>
        <w:tc>
          <w:tcPr>
            <w:tcW w:w="1040" w:type="dxa"/>
            <w:vAlign w:val="center"/>
          </w:tcPr>
          <w:p>
            <w:pPr>
              <w:pStyle w:val="167"/>
              <w:jc w:val="center"/>
              <w:rPr>
                <w:snapToGrid w:val="0"/>
                <w:color w:val="auto"/>
                <w:szCs w:val="21"/>
              </w:rPr>
            </w:pPr>
            <w:r>
              <w:rPr>
                <w:snapToGrid w:val="0"/>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167"/>
              <w:jc w:val="center"/>
              <w:rPr>
                <w:snapToGrid w:val="0"/>
                <w:color w:val="auto"/>
                <w:szCs w:val="21"/>
              </w:rPr>
            </w:pPr>
          </w:p>
        </w:tc>
        <w:tc>
          <w:tcPr>
            <w:tcW w:w="1417" w:type="dxa"/>
            <w:vAlign w:val="center"/>
          </w:tcPr>
          <w:p>
            <w:pPr>
              <w:pStyle w:val="167"/>
              <w:jc w:val="center"/>
              <w:rPr>
                <w:snapToGrid w:val="0"/>
                <w:color w:val="auto"/>
                <w:szCs w:val="21"/>
              </w:rPr>
            </w:pPr>
            <w:r>
              <w:rPr>
                <w:color w:val="auto"/>
                <w:szCs w:val="21"/>
              </w:rPr>
              <w:t>NH</w:t>
            </w:r>
            <w:r>
              <w:rPr>
                <w:color w:val="auto"/>
                <w:szCs w:val="21"/>
                <w:vertAlign w:val="subscript"/>
              </w:rPr>
              <w:t>3</w:t>
            </w:r>
            <w:r>
              <w:rPr>
                <w:color w:val="auto"/>
                <w:szCs w:val="21"/>
              </w:rPr>
              <w:t>-N</w:t>
            </w:r>
          </w:p>
        </w:tc>
        <w:tc>
          <w:tcPr>
            <w:tcW w:w="1701" w:type="dxa"/>
            <w:vAlign w:val="center"/>
          </w:tcPr>
          <w:p>
            <w:pPr>
              <w:pStyle w:val="167"/>
              <w:jc w:val="center"/>
              <w:rPr>
                <w:snapToGrid w:val="0"/>
                <w:color w:val="auto"/>
                <w:szCs w:val="21"/>
              </w:rPr>
            </w:pPr>
            <w:r>
              <w:rPr>
                <w:snapToGrid w:val="0"/>
                <w:color w:val="auto"/>
                <w:szCs w:val="21"/>
              </w:rPr>
              <w:t>/</w:t>
            </w:r>
          </w:p>
        </w:tc>
        <w:tc>
          <w:tcPr>
            <w:tcW w:w="1276" w:type="dxa"/>
            <w:vAlign w:val="center"/>
          </w:tcPr>
          <w:p>
            <w:pPr>
              <w:pStyle w:val="167"/>
              <w:jc w:val="center"/>
              <w:rPr>
                <w:snapToGrid w:val="0"/>
                <w:color w:val="auto"/>
                <w:szCs w:val="21"/>
              </w:rPr>
            </w:pPr>
            <w:r>
              <w:rPr>
                <w:bCs/>
                <w:color w:val="auto"/>
                <w:szCs w:val="21"/>
              </w:rPr>
              <w:t>/</w:t>
            </w:r>
          </w:p>
        </w:tc>
        <w:tc>
          <w:tcPr>
            <w:tcW w:w="1701" w:type="dxa"/>
            <w:vAlign w:val="center"/>
          </w:tcPr>
          <w:p>
            <w:pPr>
              <w:pStyle w:val="167"/>
              <w:jc w:val="center"/>
              <w:rPr>
                <w:snapToGrid w:val="0"/>
                <w:color w:val="auto"/>
                <w:szCs w:val="21"/>
              </w:rPr>
            </w:pPr>
            <w:r>
              <w:rPr>
                <w:snapToGrid w:val="0"/>
                <w:color w:val="auto"/>
                <w:szCs w:val="21"/>
              </w:rPr>
              <w:t>/</w:t>
            </w:r>
          </w:p>
        </w:tc>
        <w:tc>
          <w:tcPr>
            <w:tcW w:w="1559" w:type="dxa"/>
            <w:vAlign w:val="center"/>
          </w:tcPr>
          <w:p>
            <w:pPr>
              <w:pStyle w:val="167"/>
              <w:jc w:val="center"/>
              <w:rPr>
                <w:snapToGrid w:val="0"/>
                <w:color w:val="auto"/>
                <w:szCs w:val="21"/>
              </w:rPr>
            </w:pPr>
            <w:r>
              <w:rPr>
                <w:rFonts w:hint="eastAsia"/>
                <w:color w:val="auto"/>
                <w:szCs w:val="21"/>
              </w:rPr>
              <w:t>0.002</w:t>
            </w:r>
          </w:p>
        </w:tc>
        <w:tc>
          <w:tcPr>
            <w:tcW w:w="1761" w:type="dxa"/>
            <w:vAlign w:val="center"/>
          </w:tcPr>
          <w:p>
            <w:pPr>
              <w:pStyle w:val="167"/>
              <w:jc w:val="center"/>
              <w:rPr>
                <w:snapToGrid w:val="0"/>
                <w:color w:val="auto"/>
                <w:szCs w:val="21"/>
              </w:rPr>
            </w:pPr>
            <w:r>
              <w:rPr>
                <w:snapToGrid w:val="0"/>
                <w:color w:val="auto"/>
                <w:szCs w:val="21"/>
              </w:rPr>
              <w:t>/</w:t>
            </w:r>
          </w:p>
        </w:tc>
        <w:tc>
          <w:tcPr>
            <w:tcW w:w="1745" w:type="dxa"/>
            <w:vAlign w:val="center"/>
          </w:tcPr>
          <w:p>
            <w:pPr>
              <w:pStyle w:val="167"/>
              <w:jc w:val="center"/>
              <w:rPr>
                <w:snapToGrid w:val="0"/>
                <w:color w:val="auto"/>
                <w:szCs w:val="21"/>
              </w:rPr>
            </w:pPr>
            <w:r>
              <w:rPr>
                <w:rFonts w:hint="eastAsia"/>
                <w:snapToGrid w:val="0"/>
                <w:color w:val="auto"/>
                <w:szCs w:val="21"/>
              </w:rPr>
              <w:t>0.002</w:t>
            </w:r>
          </w:p>
        </w:tc>
        <w:tc>
          <w:tcPr>
            <w:tcW w:w="1040" w:type="dxa"/>
            <w:vAlign w:val="center"/>
          </w:tcPr>
          <w:p>
            <w:pPr>
              <w:pStyle w:val="167"/>
              <w:jc w:val="center"/>
              <w:rPr>
                <w:snapToGrid w:val="0"/>
                <w:color w:val="auto"/>
                <w:szCs w:val="21"/>
              </w:rPr>
            </w:pPr>
            <w:r>
              <w:rPr>
                <w:snapToGrid w:val="0"/>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vAlign w:val="center"/>
          </w:tcPr>
          <w:p>
            <w:pPr>
              <w:pStyle w:val="167"/>
              <w:jc w:val="center"/>
              <w:rPr>
                <w:snapToGrid w:val="0"/>
                <w:color w:val="auto"/>
                <w:szCs w:val="21"/>
              </w:rPr>
            </w:pPr>
            <w:r>
              <w:rPr>
                <w:snapToGrid w:val="0"/>
                <w:color w:val="auto"/>
                <w:szCs w:val="21"/>
              </w:rPr>
              <w:t>一般固体废物</w:t>
            </w:r>
          </w:p>
        </w:tc>
        <w:tc>
          <w:tcPr>
            <w:tcW w:w="1417" w:type="dxa"/>
            <w:vAlign w:val="center"/>
          </w:tcPr>
          <w:p>
            <w:pPr>
              <w:pStyle w:val="167"/>
              <w:jc w:val="center"/>
              <w:rPr>
                <w:snapToGrid w:val="0"/>
                <w:color w:val="auto"/>
                <w:szCs w:val="21"/>
              </w:rPr>
            </w:pPr>
            <w:r>
              <w:rPr>
                <w:color w:val="auto"/>
                <w:szCs w:val="21"/>
              </w:rPr>
              <w:t>动物毛发</w:t>
            </w:r>
          </w:p>
        </w:tc>
        <w:tc>
          <w:tcPr>
            <w:tcW w:w="1701" w:type="dxa"/>
            <w:vAlign w:val="center"/>
          </w:tcPr>
          <w:p>
            <w:pPr>
              <w:pStyle w:val="167"/>
              <w:jc w:val="center"/>
              <w:rPr>
                <w:snapToGrid w:val="0"/>
                <w:color w:val="auto"/>
                <w:szCs w:val="21"/>
              </w:rPr>
            </w:pPr>
            <w:r>
              <w:rPr>
                <w:color w:val="auto"/>
                <w:szCs w:val="21"/>
              </w:rPr>
              <w:t>/</w:t>
            </w:r>
          </w:p>
        </w:tc>
        <w:tc>
          <w:tcPr>
            <w:tcW w:w="1276" w:type="dxa"/>
            <w:vAlign w:val="center"/>
          </w:tcPr>
          <w:p>
            <w:pPr>
              <w:pStyle w:val="167"/>
              <w:jc w:val="center"/>
              <w:rPr>
                <w:snapToGrid w:val="0"/>
                <w:color w:val="auto"/>
                <w:szCs w:val="21"/>
              </w:rPr>
            </w:pPr>
            <w:r>
              <w:rPr>
                <w:snapToGrid w:val="0"/>
                <w:color w:val="auto"/>
                <w:szCs w:val="21"/>
              </w:rPr>
              <w:t>/</w:t>
            </w:r>
          </w:p>
        </w:tc>
        <w:tc>
          <w:tcPr>
            <w:tcW w:w="1701" w:type="dxa"/>
            <w:vAlign w:val="center"/>
          </w:tcPr>
          <w:p>
            <w:pPr>
              <w:pStyle w:val="167"/>
              <w:jc w:val="center"/>
              <w:rPr>
                <w:snapToGrid w:val="0"/>
                <w:color w:val="auto"/>
                <w:szCs w:val="21"/>
              </w:rPr>
            </w:pPr>
            <w:r>
              <w:rPr>
                <w:snapToGrid w:val="0"/>
                <w:color w:val="auto"/>
                <w:szCs w:val="21"/>
              </w:rPr>
              <w:t>/</w:t>
            </w:r>
          </w:p>
        </w:tc>
        <w:tc>
          <w:tcPr>
            <w:tcW w:w="1559" w:type="dxa"/>
            <w:vAlign w:val="center"/>
          </w:tcPr>
          <w:p>
            <w:pPr>
              <w:pStyle w:val="167"/>
              <w:jc w:val="center"/>
              <w:rPr>
                <w:snapToGrid w:val="0"/>
                <w:color w:val="auto"/>
                <w:szCs w:val="21"/>
              </w:rPr>
            </w:pPr>
            <w:r>
              <w:rPr>
                <w:rFonts w:hint="eastAsia"/>
                <w:color w:val="auto"/>
                <w:szCs w:val="21"/>
              </w:rPr>
              <w:t>0.183</w:t>
            </w:r>
          </w:p>
        </w:tc>
        <w:tc>
          <w:tcPr>
            <w:tcW w:w="1761" w:type="dxa"/>
            <w:vAlign w:val="center"/>
          </w:tcPr>
          <w:p>
            <w:pPr>
              <w:pStyle w:val="167"/>
              <w:jc w:val="center"/>
              <w:rPr>
                <w:snapToGrid w:val="0"/>
                <w:color w:val="auto"/>
                <w:szCs w:val="21"/>
              </w:rPr>
            </w:pPr>
            <w:r>
              <w:rPr>
                <w:snapToGrid w:val="0"/>
                <w:color w:val="auto"/>
                <w:szCs w:val="21"/>
              </w:rPr>
              <w:t>/</w:t>
            </w:r>
          </w:p>
        </w:tc>
        <w:tc>
          <w:tcPr>
            <w:tcW w:w="1745" w:type="dxa"/>
            <w:shd w:val="clear" w:color="auto" w:fill="auto"/>
            <w:vAlign w:val="center"/>
          </w:tcPr>
          <w:p>
            <w:pPr>
              <w:pStyle w:val="167"/>
              <w:jc w:val="center"/>
              <w:rPr>
                <w:snapToGrid w:val="0"/>
                <w:color w:val="auto"/>
                <w:szCs w:val="21"/>
              </w:rPr>
            </w:pPr>
            <w:r>
              <w:rPr>
                <w:rFonts w:hint="eastAsia"/>
                <w:color w:val="auto"/>
                <w:szCs w:val="21"/>
              </w:rPr>
              <w:t>0.183</w:t>
            </w:r>
          </w:p>
        </w:tc>
        <w:tc>
          <w:tcPr>
            <w:tcW w:w="1040" w:type="dxa"/>
            <w:vAlign w:val="center"/>
          </w:tcPr>
          <w:p>
            <w:pPr>
              <w:pStyle w:val="167"/>
              <w:jc w:val="center"/>
              <w:rPr>
                <w:snapToGrid w:val="0"/>
                <w:color w:val="auto"/>
                <w:szCs w:val="21"/>
              </w:rPr>
            </w:pPr>
            <w:r>
              <w:rPr>
                <w:snapToGrid w:val="0"/>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167"/>
              <w:jc w:val="center"/>
              <w:rPr>
                <w:snapToGrid w:val="0"/>
                <w:color w:val="auto"/>
                <w:szCs w:val="21"/>
              </w:rPr>
            </w:pPr>
          </w:p>
        </w:tc>
        <w:tc>
          <w:tcPr>
            <w:tcW w:w="1417" w:type="dxa"/>
            <w:vAlign w:val="center"/>
          </w:tcPr>
          <w:p>
            <w:pPr>
              <w:pStyle w:val="167"/>
              <w:jc w:val="center"/>
              <w:rPr>
                <w:color w:val="auto"/>
                <w:szCs w:val="21"/>
              </w:rPr>
            </w:pPr>
            <w:r>
              <w:rPr>
                <w:color w:val="auto"/>
                <w:szCs w:val="21"/>
              </w:rPr>
              <w:t>动物粪便</w:t>
            </w:r>
          </w:p>
        </w:tc>
        <w:tc>
          <w:tcPr>
            <w:tcW w:w="1701" w:type="dxa"/>
            <w:vAlign w:val="center"/>
          </w:tcPr>
          <w:p>
            <w:pPr>
              <w:pStyle w:val="167"/>
              <w:jc w:val="center"/>
              <w:rPr>
                <w:color w:val="auto"/>
                <w:szCs w:val="21"/>
              </w:rPr>
            </w:pPr>
            <w:r>
              <w:rPr>
                <w:color w:val="auto"/>
                <w:szCs w:val="21"/>
              </w:rPr>
              <w:t>/</w:t>
            </w:r>
          </w:p>
        </w:tc>
        <w:tc>
          <w:tcPr>
            <w:tcW w:w="1276" w:type="dxa"/>
            <w:vAlign w:val="center"/>
          </w:tcPr>
          <w:p>
            <w:pPr>
              <w:pStyle w:val="167"/>
              <w:jc w:val="center"/>
              <w:rPr>
                <w:snapToGrid w:val="0"/>
                <w:color w:val="auto"/>
                <w:szCs w:val="21"/>
              </w:rPr>
            </w:pPr>
            <w:r>
              <w:rPr>
                <w:snapToGrid w:val="0"/>
                <w:color w:val="auto"/>
                <w:szCs w:val="21"/>
              </w:rPr>
              <w:t>/</w:t>
            </w:r>
          </w:p>
        </w:tc>
        <w:tc>
          <w:tcPr>
            <w:tcW w:w="1701" w:type="dxa"/>
            <w:vAlign w:val="center"/>
          </w:tcPr>
          <w:p>
            <w:pPr>
              <w:pStyle w:val="167"/>
              <w:jc w:val="center"/>
              <w:rPr>
                <w:snapToGrid w:val="0"/>
                <w:color w:val="auto"/>
                <w:szCs w:val="21"/>
              </w:rPr>
            </w:pPr>
            <w:r>
              <w:rPr>
                <w:snapToGrid w:val="0"/>
                <w:color w:val="auto"/>
                <w:szCs w:val="21"/>
              </w:rPr>
              <w:t>/</w:t>
            </w:r>
          </w:p>
        </w:tc>
        <w:tc>
          <w:tcPr>
            <w:tcW w:w="1559" w:type="dxa"/>
            <w:vAlign w:val="center"/>
          </w:tcPr>
          <w:p>
            <w:pPr>
              <w:pStyle w:val="167"/>
              <w:jc w:val="center"/>
              <w:rPr>
                <w:color w:val="auto"/>
                <w:szCs w:val="21"/>
              </w:rPr>
            </w:pPr>
            <w:r>
              <w:rPr>
                <w:rFonts w:hint="eastAsia"/>
                <w:color w:val="auto"/>
                <w:szCs w:val="21"/>
              </w:rPr>
              <w:t>0.402</w:t>
            </w:r>
          </w:p>
        </w:tc>
        <w:tc>
          <w:tcPr>
            <w:tcW w:w="1761" w:type="dxa"/>
            <w:vAlign w:val="center"/>
          </w:tcPr>
          <w:p>
            <w:pPr>
              <w:pStyle w:val="167"/>
              <w:jc w:val="center"/>
              <w:rPr>
                <w:snapToGrid w:val="0"/>
                <w:color w:val="auto"/>
                <w:szCs w:val="21"/>
              </w:rPr>
            </w:pPr>
            <w:r>
              <w:rPr>
                <w:snapToGrid w:val="0"/>
                <w:color w:val="auto"/>
                <w:szCs w:val="21"/>
              </w:rPr>
              <w:t>/</w:t>
            </w:r>
          </w:p>
        </w:tc>
        <w:tc>
          <w:tcPr>
            <w:tcW w:w="1745" w:type="dxa"/>
            <w:shd w:val="clear" w:color="auto" w:fill="auto"/>
            <w:vAlign w:val="center"/>
          </w:tcPr>
          <w:p>
            <w:pPr>
              <w:pStyle w:val="167"/>
              <w:jc w:val="center"/>
              <w:rPr>
                <w:color w:val="auto"/>
                <w:szCs w:val="21"/>
              </w:rPr>
            </w:pPr>
            <w:r>
              <w:rPr>
                <w:rFonts w:hint="eastAsia"/>
                <w:color w:val="auto"/>
                <w:szCs w:val="21"/>
              </w:rPr>
              <w:t>0.402</w:t>
            </w:r>
          </w:p>
        </w:tc>
        <w:tc>
          <w:tcPr>
            <w:tcW w:w="1040" w:type="dxa"/>
            <w:vAlign w:val="center"/>
          </w:tcPr>
          <w:p>
            <w:pPr>
              <w:pStyle w:val="167"/>
              <w:jc w:val="center"/>
              <w:rPr>
                <w:snapToGrid w:val="0"/>
                <w:color w:val="auto"/>
                <w:szCs w:val="21"/>
              </w:rPr>
            </w:pPr>
            <w:r>
              <w:rPr>
                <w:snapToGrid w:val="0"/>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167"/>
              <w:jc w:val="center"/>
              <w:rPr>
                <w:snapToGrid w:val="0"/>
                <w:color w:val="auto"/>
                <w:szCs w:val="21"/>
              </w:rPr>
            </w:pPr>
          </w:p>
        </w:tc>
        <w:tc>
          <w:tcPr>
            <w:tcW w:w="1417" w:type="dxa"/>
            <w:vAlign w:val="center"/>
          </w:tcPr>
          <w:p>
            <w:pPr>
              <w:pStyle w:val="167"/>
              <w:jc w:val="center"/>
              <w:rPr>
                <w:snapToGrid w:val="0"/>
                <w:color w:val="auto"/>
                <w:szCs w:val="21"/>
              </w:rPr>
            </w:pPr>
            <w:r>
              <w:rPr>
                <w:color w:val="auto"/>
                <w:szCs w:val="21"/>
              </w:rPr>
              <w:t>动物尸体</w:t>
            </w:r>
          </w:p>
        </w:tc>
        <w:tc>
          <w:tcPr>
            <w:tcW w:w="1701" w:type="dxa"/>
            <w:vAlign w:val="center"/>
          </w:tcPr>
          <w:p>
            <w:pPr>
              <w:pStyle w:val="167"/>
              <w:jc w:val="center"/>
              <w:rPr>
                <w:color w:val="auto"/>
                <w:szCs w:val="21"/>
              </w:rPr>
            </w:pPr>
            <w:r>
              <w:rPr>
                <w:snapToGrid w:val="0"/>
                <w:color w:val="auto"/>
                <w:szCs w:val="21"/>
              </w:rPr>
              <w:t>/</w:t>
            </w:r>
          </w:p>
        </w:tc>
        <w:tc>
          <w:tcPr>
            <w:tcW w:w="1276" w:type="dxa"/>
            <w:vAlign w:val="center"/>
          </w:tcPr>
          <w:p>
            <w:pPr>
              <w:pStyle w:val="167"/>
              <w:jc w:val="center"/>
              <w:rPr>
                <w:snapToGrid w:val="0"/>
                <w:color w:val="auto"/>
                <w:szCs w:val="21"/>
              </w:rPr>
            </w:pPr>
            <w:r>
              <w:rPr>
                <w:snapToGrid w:val="0"/>
                <w:color w:val="auto"/>
                <w:szCs w:val="21"/>
              </w:rPr>
              <w:t>/</w:t>
            </w:r>
          </w:p>
        </w:tc>
        <w:tc>
          <w:tcPr>
            <w:tcW w:w="1701" w:type="dxa"/>
            <w:vAlign w:val="center"/>
          </w:tcPr>
          <w:p>
            <w:pPr>
              <w:pStyle w:val="167"/>
              <w:jc w:val="center"/>
              <w:rPr>
                <w:snapToGrid w:val="0"/>
                <w:color w:val="auto"/>
                <w:szCs w:val="21"/>
              </w:rPr>
            </w:pPr>
            <w:r>
              <w:rPr>
                <w:snapToGrid w:val="0"/>
                <w:color w:val="auto"/>
                <w:szCs w:val="21"/>
              </w:rPr>
              <w:t>/</w:t>
            </w:r>
          </w:p>
        </w:tc>
        <w:tc>
          <w:tcPr>
            <w:tcW w:w="1559" w:type="dxa"/>
            <w:vAlign w:val="center"/>
          </w:tcPr>
          <w:p>
            <w:pPr>
              <w:pStyle w:val="167"/>
              <w:jc w:val="center"/>
              <w:rPr>
                <w:snapToGrid w:val="0"/>
                <w:color w:val="auto"/>
                <w:szCs w:val="21"/>
              </w:rPr>
            </w:pPr>
            <w:r>
              <w:rPr>
                <w:color w:val="auto"/>
                <w:szCs w:val="21"/>
              </w:rPr>
              <w:t>少量</w:t>
            </w:r>
          </w:p>
        </w:tc>
        <w:tc>
          <w:tcPr>
            <w:tcW w:w="1761" w:type="dxa"/>
            <w:vAlign w:val="center"/>
          </w:tcPr>
          <w:p>
            <w:pPr>
              <w:pStyle w:val="167"/>
              <w:jc w:val="center"/>
              <w:rPr>
                <w:snapToGrid w:val="0"/>
                <w:color w:val="auto"/>
                <w:szCs w:val="21"/>
              </w:rPr>
            </w:pPr>
            <w:r>
              <w:rPr>
                <w:snapToGrid w:val="0"/>
                <w:color w:val="auto"/>
                <w:szCs w:val="21"/>
              </w:rPr>
              <w:t>/</w:t>
            </w:r>
          </w:p>
        </w:tc>
        <w:tc>
          <w:tcPr>
            <w:tcW w:w="1745" w:type="dxa"/>
            <w:shd w:val="clear" w:color="auto" w:fill="auto"/>
            <w:vAlign w:val="center"/>
          </w:tcPr>
          <w:p>
            <w:pPr>
              <w:pStyle w:val="167"/>
              <w:jc w:val="center"/>
              <w:rPr>
                <w:snapToGrid w:val="0"/>
                <w:color w:val="auto"/>
                <w:szCs w:val="21"/>
              </w:rPr>
            </w:pPr>
            <w:r>
              <w:rPr>
                <w:color w:val="auto"/>
                <w:szCs w:val="21"/>
              </w:rPr>
              <w:t>少量</w:t>
            </w:r>
          </w:p>
        </w:tc>
        <w:tc>
          <w:tcPr>
            <w:tcW w:w="1040" w:type="dxa"/>
            <w:vAlign w:val="center"/>
          </w:tcPr>
          <w:p>
            <w:pPr>
              <w:pStyle w:val="167"/>
              <w:jc w:val="center"/>
              <w:rPr>
                <w:snapToGrid w:val="0"/>
                <w:color w:val="auto"/>
                <w:szCs w:val="21"/>
              </w:rPr>
            </w:pPr>
            <w:r>
              <w:rPr>
                <w:snapToGrid w:val="0"/>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vAlign w:val="center"/>
          </w:tcPr>
          <w:p>
            <w:pPr>
              <w:pStyle w:val="167"/>
              <w:jc w:val="center"/>
              <w:rPr>
                <w:snapToGrid w:val="0"/>
                <w:color w:val="auto"/>
                <w:szCs w:val="21"/>
              </w:rPr>
            </w:pPr>
            <w:r>
              <w:rPr>
                <w:snapToGrid w:val="0"/>
                <w:color w:val="auto"/>
                <w:szCs w:val="21"/>
              </w:rPr>
              <w:t>危险废物</w:t>
            </w:r>
          </w:p>
        </w:tc>
        <w:tc>
          <w:tcPr>
            <w:tcW w:w="1417" w:type="dxa"/>
            <w:vAlign w:val="center"/>
          </w:tcPr>
          <w:p>
            <w:pPr>
              <w:pStyle w:val="167"/>
              <w:jc w:val="center"/>
              <w:rPr>
                <w:snapToGrid w:val="0"/>
                <w:color w:val="auto"/>
                <w:szCs w:val="21"/>
              </w:rPr>
            </w:pPr>
            <w:r>
              <w:rPr>
                <w:snapToGrid w:val="0"/>
                <w:color w:val="auto"/>
                <w:szCs w:val="21"/>
              </w:rPr>
              <w:t>医疗废物</w:t>
            </w:r>
          </w:p>
        </w:tc>
        <w:tc>
          <w:tcPr>
            <w:tcW w:w="1701" w:type="dxa"/>
            <w:vAlign w:val="center"/>
          </w:tcPr>
          <w:p>
            <w:pPr>
              <w:pStyle w:val="167"/>
              <w:jc w:val="center"/>
              <w:rPr>
                <w:color w:val="auto"/>
                <w:szCs w:val="21"/>
              </w:rPr>
            </w:pPr>
            <w:r>
              <w:rPr>
                <w:snapToGrid w:val="0"/>
                <w:color w:val="auto"/>
                <w:szCs w:val="21"/>
              </w:rPr>
              <w:t>/</w:t>
            </w:r>
          </w:p>
        </w:tc>
        <w:tc>
          <w:tcPr>
            <w:tcW w:w="1276" w:type="dxa"/>
            <w:vAlign w:val="center"/>
          </w:tcPr>
          <w:p>
            <w:pPr>
              <w:pStyle w:val="167"/>
              <w:jc w:val="center"/>
              <w:rPr>
                <w:snapToGrid w:val="0"/>
                <w:color w:val="auto"/>
                <w:szCs w:val="21"/>
              </w:rPr>
            </w:pPr>
            <w:r>
              <w:rPr>
                <w:snapToGrid w:val="0"/>
                <w:color w:val="auto"/>
                <w:szCs w:val="21"/>
              </w:rPr>
              <w:t>/</w:t>
            </w:r>
          </w:p>
        </w:tc>
        <w:tc>
          <w:tcPr>
            <w:tcW w:w="1701" w:type="dxa"/>
            <w:vAlign w:val="center"/>
          </w:tcPr>
          <w:p>
            <w:pPr>
              <w:pStyle w:val="167"/>
              <w:jc w:val="center"/>
              <w:rPr>
                <w:snapToGrid w:val="0"/>
                <w:color w:val="auto"/>
                <w:szCs w:val="21"/>
              </w:rPr>
            </w:pPr>
            <w:r>
              <w:rPr>
                <w:snapToGrid w:val="0"/>
                <w:color w:val="auto"/>
                <w:szCs w:val="21"/>
              </w:rPr>
              <w:t>/</w:t>
            </w:r>
          </w:p>
        </w:tc>
        <w:tc>
          <w:tcPr>
            <w:tcW w:w="1559" w:type="dxa"/>
            <w:vAlign w:val="center"/>
          </w:tcPr>
          <w:p>
            <w:pPr>
              <w:pStyle w:val="167"/>
              <w:jc w:val="center"/>
              <w:rPr>
                <w:snapToGrid w:val="0"/>
                <w:color w:val="auto"/>
                <w:szCs w:val="21"/>
              </w:rPr>
            </w:pPr>
            <w:r>
              <w:rPr>
                <w:rFonts w:hint="eastAsia"/>
                <w:color w:val="auto"/>
                <w:szCs w:val="21"/>
              </w:rPr>
              <w:t>2.117</w:t>
            </w:r>
          </w:p>
        </w:tc>
        <w:tc>
          <w:tcPr>
            <w:tcW w:w="1761" w:type="dxa"/>
            <w:vAlign w:val="center"/>
          </w:tcPr>
          <w:p>
            <w:pPr>
              <w:pStyle w:val="167"/>
              <w:jc w:val="center"/>
              <w:rPr>
                <w:snapToGrid w:val="0"/>
                <w:color w:val="auto"/>
                <w:szCs w:val="21"/>
              </w:rPr>
            </w:pPr>
            <w:r>
              <w:rPr>
                <w:snapToGrid w:val="0"/>
                <w:color w:val="auto"/>
                <w:szCs w:val="21"/>
              </w:rPr>
              <w:t>/</w:t>
            </w:r>
          </w:p>
        </w:tc>
        <w:tc>
          <w:tcPr>
            <w:tcW w:w="1745" w:type="dxa"/>
            <w:shd w:val="clear" w:color="auto" w:fill="auto"/>
            <w:vAlign w:val="center"/>
          </w:tcPr>
          <w:p>
            <w:pPr>
              <w:pStyle w:val="167"/>
              <w:jc w:val="center"/>
              <w:rPr>
                <w:snapToGrid w:val="0"/>
                <w:color w:val="auto"/>
                <w:szCs w:val="21"/>
              </w:rPr>
            </w:pPr>
            <w:r>
              <w:rPr>
                <w:rFonts w:hint="eastAsia"/>
                <w:color w:val="auto"/>
                <w:szCs w:val="21"/>
              </w:rPr>
              <w:t>2.117</w:t>
            </w:r>
          </w:p>
        </w:tc>
        <w:tc>
          <w:tcPr>
            <w:tcW w:w="1040" w:type="dxa"/>
            <w:vAlign w:val="center"/>
          </w:tcPr>
          <w:p>
            <w:pPr>
              <w:pStyle w:val="167"/>
              <w:jc w:val="center"/>
              <w:rPr>
                <w:snapToGrid w:val="0"/>
                <w:color w:val="auto"/>
                <w:szCs w:val="21"/>
              </w:rPr>
            </w:pPr>
            <w:r>
              <w:rPr>
                <w:snapToGrid w:val="0"/>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167"/>
              <w:jc w:val="center"/>
              <w:rPr>
                <w:snapToGrid w:val="0"/>
                <w:color w:val="auto"/>
                <w:szCs w:val="21"/>
              </w:rPr>
            </w:pPr>
          </w:p>
        </w:tc>
        <w:tc>
          <w:tcPr>
            <w:tcW w:w="1417" w:type="dxa"/>
            <w:vAlign w:val="center"/>
          </w:tcPr>
          <w:p>
            <w:pPr>
              <w:pStyle w:val="167"/>
              <w:jc w:val="center"/>
              <w:rPr>
                <w:snapToGrid w:val="0"/>
                <w:color w:val="auto"/>
                <w:szCs w:val="21"/>
              </w:rPr>
            </w:pPr>
            <w:r>
              <w:rPr>
                <w:color w:val="auto"/>
                <w:szCs w:val="21"/>
              </w:rPr>
              <w:t>废紫外线灯管</w:t>
            </w:r>
          </w:p>
        </w:tc>
        <w:tc>
          <w:tcPr>
            <w:tcW w:w="1701" w:type="dxa"/>
            <w:vAlign w:val="center"/>
          </w:tcPr>
          <w:p>
            <w:pPr>
              <w:pStyle w:val="167"/>
              <w:jc w:val="center"/>
              <w:rPr>
                <w:color w:val="auto"/>
                <w:szCs w:val="21"/>
              </w:rPr>
            </w:pPr>
            <w:r>
              <w:rPr>
                <w:snapToGrid w:val="0"/>
                <w:color w:val="auto"/>
                <w:szCs w:val="21"/>
              </w:rPr>
              <w:t>/</w:t>
            </w:r>
          </w:p>
        </w:tc>
        <w:tc>
          <w:tcPr>
            <w:tcW w:w="1276" w:type="dxa"/>
            <w:vAlign w:val="center"/>
          </w:tcPr>
          <w:p>
            <w:pPr>
              <w:pStyle w:val="167"/>
              <w:jc w:val="center"/>
              <w:rPr>
                <w:snapToGrid w:val="0"/>
                <w:color w:val="auto"/>
                <w:szCs w:val="21"/>
              </w:rPr>
            </w:pPr>
            <w:r>
              <w:rPr>
                <w:snapToGrid w:val="0"/>
                <w:color w:val="auto"/>
                <w:szCs w:val="21"/>
              </w:rPr>
              <w:t>/</w:t>
            </w:r>
          </w:p>
        </w:tc>
        <w:tc>
          <w:tcPr>
            <w:tcW w:w="1701" w:type="dxa"/>
            <w:vAlign w:val="center"/>
          </w:tcPr>
          <w:p>
            <w:pPr>
              <w:pStyle w:val="167"/>
              <w:jc w:val="center"/>
              <w:rPr>
                <w:snapToGrid w:val="0"/>
                <w:color w:val="auto"/>
                <w:szCs w:val="21"/>
              </w:rPr>
            </w:pPr>
            <w:r>
              <w:rPr>
                <w:snapToGrid w:val="0"/>
                <w:color w:val="auto"/>
                <w:szCs w:val="21"/>
              </w:rPr>
              <w:t>/</w:t>
            </w:r>
          </w:p>
        </w:tc>
        <w:tc>
          <w:tcPr>
            <w:tcW w:w="1559" w:type="dxa"/>
            <w:vAlign w:val="center"/>
          </w:tcPr>
          <w:p>
            <w:pPr>
              <w:pStyle w:val="167"/>
              <w:jc w:val="center"/>
              <w:rPr>
                <w:snapToGrid w:val="0"/>
                <w:color w:val="auto"/>
                <w:szCs w:val="21"/>
              </w:rPr>
            </w:pPr>
            <w:r>
              <w:rPr>
                <w:snapToGrid w:val="0"/>
                <w:color w:val="auto"/>
                <w:szCs w:val="21"/>
              </w:rPr>
              <w:t>0.005</w:t>
            </w:r>
          </w:p>
        </w:tc>
        <w:tc>
          <w:tcPr>
            <w:tcW w:w="1761" w:type="dxa"/>
            <w:vAlign w:val="center"/>
          </w:tcPr>
          <w:p>
            <w:pPr>
              <w:pStyle w:val="167"/>
              <w:jc w:val="center"/>
              <w:rPr>
                <w:snapToGrid w:val="0"/>
                <w:color w:val="auto"/>
                <w:szCs w:val="21"/>
              </w:rPr>
            </w:pPr>
            <w:r>
              <w:rPr>
                <w:snapToGrid w:val="0"/>
                <w:color w:val="auto"/>
                <w:szCs w:val="21"/>
              </w:rPr>
              <w:t>/</w:t>
            </w:r>
          </w:p>
        </w:tc>
        <w:tc>
          <w:tcPr>
            <w:tcW w:w="1745" w:type="dxa"/>
            <w:shd w:val="clear" w:color="auto" w:fill="auto"/>
            <w:vAlign w:val="center"/>
          </w:tcPr>
          <w:p>
            <w:pPr>
              <w:pStyle w:val="167"/>
              <w:jc w:val="center"/>
              <w:rPr>
                <w:snapToGrid w:val="0"/>
                <w:color w:val="auto"/>
                <w:szCs w:val="21"/>
              </w:rPr>
            </w:pPr>
            <w:r>
              <w:rPr>
                <w:snapToGrid w:val="0"/>
                <w:color w:val="auto"/>
                <w:szCs w:val="21"/>
              </w:rPr>
              <w:t>0.005</w:t>
            </w:r>
          </w:p>
        </w:tc>
        <w:tc>
          <w:tcPr>
            <w:tcW w:w="1040" w:type="dxa"/>
            <w:vAlign w:val="center"/>
          </w:tcPr>
          <w:p>
            <w:pPr>
              <w:pStyle w:val="167"/>
              <w:jc w:val="center"/>
              <w:rPr>
                <w:snapToGrid w:val="0"/>
                <w:color w:val="auto"/>
                <w:szCs w:val="21"/>
              </w:rPr>
            </w:pPr>
            <w:r>
              <w:rPr>
                <w:snapToGrid w:val="0"/>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Align w:val="center"/>
          </w:tcPr>
          <w:p>
            <w:pPr>
              <w:pStyle w:val="167"/>
              <w:jc w:val="center"/>
              <w:rPr>
                <w:snapToGrid w:val="0"/>
                <w:color w:val="auto"/>
                <w:szCs w:val="21"/>
              </w:rPr>
            </w:pPr>
            <w:r>
              <w:rPr>
                <w:snapToGrid w:val="0"/>
                <w:color w:val="auto"/>
                <w:szCs w:val="21"/>
              </w:rPr>
              <w:t>生活垃圾</w:t>
            </w:r>
          </w:p>
        </w:tc>
        <w:tc>
          <w:tcPr>
            <w:tcW w:w="1417" w:type="dxa"/>
            <w:vAlign w:val="center"/>
          </w:tcPr>
          <w:p>
            <w:pPr>
              <w:pStyle w:val="167"/>
              <w:jc w:val="center"/>
              <w:rPr>
                <w:snapToGrid w:val="0"/>
                <w:color w:val="auto"/>
                <w:szCs w:val="21"/>
              </w:rPr>
            </w:pPr>
            <w:r>
              <w:rPr>
                <w:snapToGrid w:val="0"/>
                <w:color w:val="auto"/>
                <w:szCs w:val="21"/>
              </w:rPr>
              <w:t>生活垃圾</w:t>
            </w:r>
          </w:p>
        </w:tc>
        <w:tc>
          <w:tcPr>
            <w:tcW w:w="1701" w:type="dxa"/>
            <w:vAlign w:val="center"/>
          </w:tcPr>
          <w:p>
            <w:pPr>
              <w:pStyle w:val="167"/>
              <w:jc w:val="center"/>
              <w:rPr>
                <w:snapToGrid w:val="0"/>
                <w:color w:val="auto"/>
                <w:szCs w:val="21"/>
              </w:rPr>
            </w:pPr>
            <w:r>
              <w:rPr>
                <w:snapToGrid w:val="0"/>
                <w:color w:val="auto"/>
                <w:szCs w:val="21"/>
              </w:rPr>
              <w:t>/</w:t>
            </w:r>
          </w:p>
        </w:tc>
        <w:tc>
          <w:tcPr>
            <w:tcW w:w="1276" w:type="dxa"/>
            <w:vAlign w:val="center"/>
          </w:tcPr>
          <w:p>
            <w:pPr>
              <w:pStyle w:val="167"/>
              <w:jc w:val="center"/>
              <w:rPr>
                <w:snapToGrid w:val="0"/>
                <w:color w:val="auto"/>
                <w:szCs w:val="21"/>
              </w:rPr>
            </w:pPr>
            <w:r>
              <w:rPr>
                <w:snapToGrid w:val="0"/>
                <w:color w:val="auto"/>
                <w:szCs w:val="21"/>
              </w:rPr>
              <w:t>/</w:t>
            </w:r>
          </w:p>
        </w:tc>
        <w:tc>
          <w:tcPr>
            <w:tcW w:w="1701" w:type="dxa"/>
            <w:vAlign w:val="center"/>
          </w:tcPr>
          <w:p>
            <w:pPr>
              <w:pStyle w:val="167"/>
              <w:jc w:val="center"/>
              <w:rPr>
                <w:snapToGrid w:val="0"/>
                <w:color w:val="auto"/>
                <w:szCs w:val="21"/>
              </w:rPr>
            </w:pPr>
            <w:r>
              <w:rPr>
                <w:snapToGrid w:val="0"/>
                <w:color w:val="auto"/>
                <w:szCs w:val="21"/>
              </w:rPr>
              <w:t>/</w:t>
            </w:r>
          </w:p>
        </w:tc>
        <w:tc>
          <w:tcPr>
            <w:tcW w:w="1559" w:type="dxa"/>
            <w:vAlign w:val="center"/>
          </w:tcPr>
          <w:p>
            <w:pPr>
              <w:pStyle w:val="167"/>
              <w:jc w:val="center"/>
              <w:rPr>
                <w:snapToGrid w:val="0"/>
                <w:color w:val="auto"/>
                <w:szCs w:val="21"/>
              </w:rPr>
            </w:pPr>
            <w:r>
              <w:rPr>
                <w:rFonts w:hint="eastAsia"/>
                <w:snapToGrid w:val="0"/>
                <w:color w:val="auto"/>
                <w:szCs w:val="21"/>
              </w:rPr>
              <w:t>1.643</w:t>
            </w:r>
          </w:p>
        </w:tc>
        <w:tc>
          <w:tcPr>
            <w:tcW w:w="1761" w:type="dxa"/>
            <w:vAlign w:val="center"/>
          </w:tcPr>
          <w:p>
            <w:pPr>
              <w:pStyle w:val="167"/>
              <w:jc w:val="center"/>
              <w:rPr>
                <w:snapToGrid w:val="0"/>
                <w:color w:val="auto"/>
                <w:szCs w:val="21"/>
              </w:rPr>
            </w:pPr>
            <w:r>
              <w:rPr>
                <w:snapToGrid w:val="0"/>
                <w:color w:val="auto"/>
                <w:szCs w:val="21"/>
              </w:rPr>
              <w:t>/</w:t>
            </w:r>
          </w:p>
        </w:tc>
        <w:tc>
          <w:tcPr>
            <w:tcW w:w="1745" w:type="dxa"/>
            <w:shd w:val="clear" w:color="auto" w:fill="auto"/>
            <w:vAlign w:val="center"/>
          </w:tcPr>
          <w:p>
            <w:pPr>
              <w:pStyle w:val="167"/>
              <w:jc w:val="center"/>
              <w:rPr>
                <w:snapToGrid w:val="0"/>
                <w:color w:val="auto"/>
                <w:szCs w:val="21"/>
              </w:rPr>
            </w:pPr>
            <w:r>
              <w:rPr>
                <w:rFonts w:hint="eastAsia"/>
                <w:snapToGrid w:val="0"/>
                <w:color w:val="auto"/>
                <w:szCs w:val="21"/>
              </w:rPr>
              <w:t>1.643</w:t>
            </w:r>
          </w:p>
        </w:tc>
        <w:tc>
          <w:tcPr>
            <w:tcW w:w="1040" w:type="dxa"/>
            <w:vAlign w:val="center"/>
          </w:tcPr>
          <w:p>
            <w:pPr>
              <w:pStyle w:val="167"/>
              <w:jc w:val="center"/>
              <w:rPr>
                <w:snapToGrid w:val="0"/>
                <w:color w:val="auto"/>
                <w:szCs w:val="21"/>
              </w:rPr>
            </w:pPr>
            <w:r>
              <w:rPr>
                <w:snapToGrid w:val="0"/>
                <w:color w:val="auto"/>
                <w:szCs w:val="21"/>
              </w:rPr>
              <w:t>/</w:t>
            </w:r>
          </w:p>
        </w:tc>
      </w:tr>
    </w:tbl>
    <w:p>
      <w:pPr>
        <w:pStyle w:val="54"/>
        <w:spacing w:before="192" w:beforeLines="80" w:after="24"/>
        <w:ind w:firstLine="420"/>
        <w:jc w:val="left"/>
        <w:rPr>
          <w:rFonts w:ascii="Times New Roman"/>
          <w:snapToGrid w:val="0"/>
          <w:color w:val="auto"/>
          <w:spacing w:val="-6"/>
          <w:kern w:val="21"/>
          <w:szCs w:val="21"/>
        </w:r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int="eastAsia" w:hAnsi="宋体" w:cs="宋体"/>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int="eastAsia" w:hAnsi="宋体" w:cs="宋体"/>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int="eastAsia" w:hAnsi="宋体" w:cs="宋体"/>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int="eastAsia" w:hAnsi="宋体" w:cs="宋体"/>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rPr>
        <w:t>①</w:t>
      </w:r>
      <w:r>
        <w:rPr>
          <w:rFonts w:ascii="Times New Roman"/>
          <w:snapToGrid w:val="0"/>
          <w:color w:val="auto"/>
          <w:spacing w:val="-6"/>
          <w:kern w:val="21"/>
          <w:szCs w:val="21"/>
        </w:rPr>
        <w:fldChar w:fldCharType="end"/>
      </w:r>
    </w:p>
    <w:p>
      <w:pPr>
        <w:ind w:firstLine="420"/>
        <w:rPr>
          <w:color w:val="auto"/>
        </w:rPr>
        <w:sectPr>
          <w:footerReference r:id="rId7" w:type="default"/>
          <w:pgSz w:w="16838" w:h="11906" w:orient="landscape"/>
          <w:pgMar w:top="1080" w:right="1440" w:bottom="1080" w:left="1440" w:header="851" w:footer="851" w:gutter="0"/>
          <w:cols w:space="720" w:num="1"/>
          <w:docGrid w:linePitch="312" w:charSpace="0"/>
        </w:sectPr>
      </w:pPr>
    </w:p>
    <w:p>
      <w:pPr>
        <w:pStyle w:val="2"/>
        <w:jc w:val="center"/>
      </w:pPr>
      <w:r>
        <w:drawing>
          <wp:inline distT="0" distB="0" distL="114300" distR="114300">
            <wp:extent cx="7348220" cy="6313805"/>
            <wp:effectExtent l="0" t="0" r="5080" b="1079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21"/>
                    <a:stretch>
                      <a:fillRect/>
                    </a:stretch>
                  </pic:blipFill>
                  <pic:spPr>
                    <a:xfrm>
                      <a:off x="0" y="0"/>
                      <a:ext cx="7348220" cy="6313805"/>
                    </a:xfrm>
                    <a:prstGeom prst="rect">
                      <a:avLst/>
                    </a:prstGeom>
                    <a:noFill/>
                    <a:ln>
                      <a:noFill/>
                    </a:ln>
                  </pic:spPr>
                </pic:pic>
              </a:graphicData>
            </a:graphic>
          </wp:inline>
        </w:drawing>
      </w:r>
    </w:p>
    <w:sectPr>
      <w:pgSz w:w="16838" w:h="11906" w:orient="landscape"/>
      <w:pgMar w:top="1080" w:right="1440" w:bottom="1080" w:left="1440"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等线">
    <w:altName w:val="微软雅黑"/>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方正仿宋_GBK">
    <w:panose1 w:val="03000509000000000000"/>
    <w:charset w:val="86"/>
    <w:family w:val="script"/>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MS Mincho">
    <w:panose1 w:val="02020609040205080304"/>
    <w:charset w:val="80"/>
    <w:family w:val="roman"/>
    <w:pitch w:val="default"/>
    <w:sig w:usb0="E00002FF" w:usb1="6AC7FDFB" w:usb2="00000012" w:usb3="00000000" w:csb0="4002009F" w:csb1="DFD70000"/>
  </w:font>
  <w:font w:name="Cambria Math">
    <w:panose1 w:val="02040503050406030204"/>
    <w:charset w:val="00"/>
    <w:family w:val="roman"/>
    <w:pitch w:val="default"/>
    <w:sig w:usb0="E00002FF" w:usb1="420024FF" w:usb2="00000000" w:usb3="00000000" w:csb0="2000019F" w:csb1="00000000"/>
  </w:font>
  <w:font w:name="Wingdings">
    <w:panose1 w:val="05000000000000000000"/>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outside" w:y="1"/>
      <w:ind w:firstLine="560"/>
      <w:rPr>
        <w:rStyle w:val="44"/>
        <w:rFonts w:ascii="宋体" w:hAnsi="宋体"/>
        <w:sz w:val="28"/>
        <w:szCs w:val="28"/>
      </w:rPr>
    </w:pPr>
    <w:r>
      <w:rPr>
        <w:rStyle w:val="44"/>
        <w:rFonts w:hint="eastAsia" w:ascii="宋体" w:hAnsi="宋体"/>
        <w:sz w:val="28"/>
        <w:szCs w:val="28"/>
      </w:rPr>
      <w:t>—</w:t>
    </w:r>
    <w:r>
      <w:rPr>
        <w:rStyle w:val="44"/>
        <w:rFonts w:hint="eastAsia" w:ascii="宋体" w:hAnsi="宋体"/>
        <w:sz w:val="20"/>
      </w:rPr>
      <w:t xml:space="preserve">  </w:t>
    </w:r>
    <w:r>
      <w:rPr>
        <w:rStyle w:val="44"/>
        <w:rFonts w:ascii="宋体" w:hAnsi="宋体"/>
        <w:sz w:val="26"/>
        <w:szCs w:val="26"/>
      </w:rPr>
      <w:fldChar w:fldCharType="begin"/>
    </w:r>
    <w:r>
      <w:rPr>
        <w:rStyle w:val="44"/>
        <w:rFonts w:ascii="宋体" w:hAnsi="宋体"/>
        <w:sz w:val="26"/>
        <w:szCs w:val="26"/>
      </w:rPr>
      <w:instrText xml:space="preserve">PAGE  </w:instrText>
    </w:r>
    <w:r>
      <w:rPr>
        <w:rStyle w:val="44"/>
        <w:rFonts w:ascii="宋体" w:hAnsi="宋体"/>
        <w:sz w:val="26"/>
        <w:szCs w:val="26"/>
      </w:rPr>
      <w:fldChar w:fldCharType="separate"/>
    </w:r>
    <w:r>
      <w:rPr>
        <w:rStyle w:val="44"/>
        <w:rFonts w:ascii="宋体" w:hAnsi="宋体"/>
        <w:sz w:val="26"/>
        <w:szCs w:val="26"/>
      </w:rPr>
      <w:t>38</w:t>
    </w:r>
    <w:r>
      <w:rPr>
        <w:rStyle w:val="44"/>
        <w:rFonts w:ascii="宋体" w:hAnsi="宋体"/>
        <w:sz w:val="26"/>
        <w:szCs w:val="26"/>
      </w:rPr>
      <w:fldChar w:fldCharType="end"/>
    </w:r>
    <w:r>
      <w:rPr>
        <w:rStyle w:val="44"/>
        <w:rFonts w:hint="eastAsia" w:ascii="宋体" w:hAnsi="宋体"/>
        <w:sz w:val="20"/>
      </w:rPr>
      <w:t xml:space="preserve">  </w:t>
    </w:r>
    <w:r>
      <w:rPr>
        <w:rStyle w:val="44"/>
        <w:rFonts w:hint="eastAsia" w:ascii="宋体" w:hAnsi="宋体"/>
        <w:sz w:val="28"/>
        <w:szCs w:val="28"/>
      </w:rPr>
      <w:t>—</w:t>
    </w:r>
  </w:p>
  <w:p>
    <w:pPr>
      <w:pStyle w:val="27"/>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outside" w:y="1"/>
      <w:ind w:firstLine="560"/>
      <w:rPr>
        <w:rStyle w:val="44"/>
        <w:rFonts w:ascii="宋体" w:hAnsi="宋体"/>
        <w:sz w:val="28"/>
        <w:szCs w:val="28"/>
      </w:rPr>
    </w:pPr>
    <w:r>
      <w:rPr>
        <w:rStyle w:val="44"/>
        <w:rFonts w:hint="eastAsia" w:ascii="宋体" w:hAnsi="宋体"/>
        <w:sz w:val="28"/>
        <w:szCs w:val="28"/>
      </w:rPr>
      <w:t>—</w:t>
    </w:r>
    <w:r>
      <w:rPr>
        <w:rStyle w:val="44"/>
        <w:rFonts w:hint="eastAsia" w:ascii="宋体" w:hAnsi="宋体"/>
        <w:sz w:val="20"/>
      </w:rPr>
      <w:t xml:space="preserve">  </w:t>
    </w:r>
    <w:r>
      <w:rPr>
        <w:rStyle w:val="44"/>
        <w:rFonts w:ascii="宋体" w:hAnsi="宋体"/>
        <w:sz w:val="26"/>
        <w:szCs w:val="26"/>
      </w:rPr>
      <w:fldChar w:fldCharType="begin"/>
    </w:r>
    <w:r>
      <w:rPr>
        <w:rStyle w:val="44"/>
        <w:rFonts w:ascii="宋体" w:hAnsi="宋体"/>
        <w:sz w:val="26"/>
        <w:szCs w:val="26"/>
      </w:rPr>
      <w:instrText xml:space="preserve">PAGE  </w:instrText>
    </w:r>
    <w:r>
      <w:rPr>
        <w:rStyle w:val="44"/>
        <w:rFonts w:ascii="宋体" w:hAnsi="宋体"/>
        <w:sz w:val="26"/>
        <w:szCs w:val="26"/>
      </w:rPr>
      <w:fldChar w:fldCharType="separate"/>
    </w:r>
    <w:r>
      <w:rPr>
        <w:rStyle w:val="44"/>
        <w:rFonts w:ascii="宋体" w:hAnsi="宋体"/>
        <w:sz w:val="26"/>
        <w:szCs w:val="26"/>
      </w:rPr>
      <w:t>50</w:t>
    </w:r>
    <w:r>
      <w:rPr>
        <w:rStyle w:val="44"/>
        <w:rFonts w:ascii="宋体" w:hAnsi="宋体"/>
        <w:sz w:val="26"/>
        <w:szCs w:val="26"/>
      </w:rPr>
      <w:fldChar w:fldCharType="end"/>
    </w:r>
    <w:r>
      <w:rPr>
        <w:rStyle w:val="44"/>
        <w:rFonts w:hint="eastAsia" w:ascii="宋体" w:hAnsi="宋体"/>
        <w:sz w:val="20"/>
      </w:rPr>
      <w:t xml:space="preserve">  </w:t>
    </w:r>
    <w:r>
      <w:rPr>
        <w:rStyle w:val="44"/>
        <w:rFonts w:hint="eastAsia" w:ascii="宋体" w:hAnsi="宋体"/>
        <w:sz w:val="28"/>
        <w:szCs w:val="28"/>
      </w:rPr>
      <w:t>—</w:t>
    </w:r>
  </w:p>
  <w:p>
    <w:pPr>
      <w:pStyle w:val="27"/>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27"/>
          <w:ind w:firstLine="360"/>
          <w:jc w:val="center"/>
        </w:pPr>
        <w:r>
          <w:fldChar w:fldCharType="begin"/>
        </w:r>
        <w:r>
          <w:instrText xml:space="preserve">PAGE   \* MERGEFORMAT</w:instrText>
        </w:r>
        <w:r>
          <w:fldChar w:fldCharType="separate"/>
        </w:r>
        <w:r>
          <w:rPr>
            <w:lang w:val="zh-CN"/>
          </w:rPr>
          <w:t>51</w:t>
        </w:r>
        <w:r>
          <w:fldChar w:fldCharType="end"/>
        </w:r>
      </w:p>
    </w:sdtContent>
  </w:sdt>
  <w:p>
    <w:pPr>
      <w:pStyle w:val="2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B79439"/>
    <w:multiLevelType w:val="singleLevel"/>
    <w:tmpl w:val="9EB79439"/>
    <w:lvl w:ilvl="0" w:tentative="0">
      <w:start w:val="5"/>
      <w:numFmt w:val="decimal"/>
      <w:suff w:val="nothing"/>
      <w:lvlText w:val="%1）"/>
      <w:lvlJc w:val="left"/>
    </w:lvl>
  </w:abstractNum>
  <w:abstractNum w:abstractNumId="1">
    <w:nsid w:val="CCFAA1A5"/>
    <w:multiLevelType w:val="singleLevel"/>
    <w:tmpl w:val="CCFAA1A5"/>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E1YjgwMjIxN2U3MDc2MzBhZmYzYTRhOTQwNjM0ZGUifQ=="/>
  </w:docVars>
  <w:rsids>
    <w:rsidRoot w:val="00A14947"/>
    <w:rsid w:val="000010DA"/>
    <w:rsid w:val="000014FB"/>
    <w:rsid w:val="00001B33"/>
    <w:rsid w:val="00003523"/>
    <w:rsid w:val="00003F5E"/>
    <w:rsid w:val="00004682"/>
    <w:rsid w:val="000048D3"/>
    <w:rsid w:val="00004BD5"/>
    <w:rsid w:val="00004E25"/>
    <w:rsid w:val="00005CA6"/>
    <w:rsid w:val="000060B3"/>
    <w:rsid w:val="00006677"/>
    <w:rsid w:val="00006E02"/>
    <w:rsid w:val="0000753E"/>
    <w:rsid w:val="00007AC7"/>
    <w:rsid w:val="00007E9A"/>
    <w:rsid w:val="000103D3"/>
    <w:rsid w:val="00012974"/>
    <w:rsid w:val="00012B59"/>
    <w:rsid w:val="00012D15"/>
    <w:rsid w:val="00012EE0"/>
    <w:rsid w:val="000132A5"/>
    <w:rsid w:val="000134BF"/>
    <w:rsid w:val="00014589"/>
    <w:rsid w:val="0001462B"/>
    <w:rsid w:val="00015376"/>
    <w:rsid w:val="000158B7"/>
    <w:rsid w:val="000165DC"/>
    <w:rsid w:val="0001781E"/>
    <w:rsid w:val="00017A7D"/>
    <w:rsid w:val="0002074B"/>
    <w:rsid w:val="00020CA6"/>
    <w:rsid w:val="0002183C"/>
    <w:rsid w:val="00021B21"/>
    <w:rsid w:val="00022636"/>
    <w:rsid w:val="0002397B"/>
    <w:rsid w:val="00023E37"/>
    <w:rsid w:val="00025B81"/>
    <w:rsid w:val="00026666"/>
    <w:rsid w:val="000302D8"/>
    <w:rsid w:val="00030566"/>
    <w:rsid w:val="00030782"/>
    <w:rsid w:val="00030F03"/>
    <w:rsid w:val="00031EC0"/>
    <w:rsid w:val="00032361"/>
    <w:rsid w:val="00032D4C"/>
    <w:rsid w:val="00032EEB"/>
    <w:rsid w:val="00033906"/>
    <w:rsid w:val="00034027"/>
    <w:rsid w:val="0003590F"/>
    <w:rsid w:val="000360C0"/>
    <w:rsid w:val="0003665A"/>
    <w:rsid w:val="00036D27"/>
    <w:rsid w:val="00036D58"/>
    <w:rsid w:val="00037587"/>
    <w:rsid w:val="00037871"/>
    <w:rsid w:val="00041F4F"/>
    <w:rsid w:val="00042723"/>
    <w:rsid w:val="00043378"/>
    <w:rsid w:val="0004364B"/>
    <w:rsid w:val="00043D33"/>
    <w:rsid w:val="00043E86"/>
    <w:rsid w:val="00043E9E"/>
    <w:rsid w:val="00045D60"/>
    <w:rsid w:val="00045FC3"/>
    <w:rsid w:val="0004635E"/>
    <w:rsid w:val="000470BF"/>
    <w:rsid w:val="00047136"/>
    <w:rsid w:val="000512AB"/>
    <w:rsid w:val="00051E8F"/>
    <w:rsid w:val="00052828"/>
    <w:rsid w:val="000528DE"/>
    <w:rsid w:val="00052D47"/>
    <w:rsid w:val="00052D4D"/>
    <w:rsid w:val="00053F21"/>
    <w:rsid w:val="00056A81"/>
    <w:rsid w:val="00056DB9"/>
    <w:rsid w:val="00057815"/>
    <w:rsid w:val="00061013"/>
    <w:rsid w:val="00061243"/>
    <w:rsid w:val="00061B1F"/>
    <w:rsid w:val="0006274D"/>
    <w:rsid w:val="00062EDA"/>
    <w:rsid w:val="00062FC5"/>
    <w:rsid w:val="000631F7"/>
    <w:rsid w:val="0006359B"/>
    <w:rsid w:val="00064B25"/>
    <w:rsid w:val="00065774"/>
    <w:rsid w:val="00065B48"/>
    <w:rsid w:val="000675FB"/>
    <w:rsid w:val="00067A1E"/>
    <w:rsid w:val="00070050"/>
    <w:rsid w:val="00071BCF"/>
    <w:rsid w:val="000724F8"/>
    <w:rsid w:val="00072EE0"/>
    <w:rsid w:val="000733C4"/>
    <w:rsid w:val="000737B3"/>
    <w:rsid w:val="00074406"/>
    <w:rsid w:val="00074783"/>
    <w:rsid w:val="0008070B"/>
    <w:rsid w:val="00080E47"/>
    <w:rsid w:val="000810AC"/>
    <w:rsid w:val="00081A02"/>
    <w:rsid w:val="000820F1"/>
    <w:rsid w:val="00082231"/>
    <w:rsid w:val="00082D3D"/>
    <w:rsid w:val="00083318"/>
    <w:rsid w:val="00083BA1"/>
    <w:rsid w:val="0008483C"/>
    <w:rsid w:val="0008499D"/>
    <w:rsid w:val="00084A86"/>
    <w:rsid w:val="00085189"/>
    <w:rsid w:val="00085215"/>
    <w:rsid w:val="000852A7"/>
    <w:rsid w:val="00086250"/>
    <w:rsid w:val="00086519"/>
    <w:rsid w:val="00086859"/>
    <w:rsid w:val="00086878"/>
    <w:rsid w:val="000869EC"/>
    <w:rsid w:val="00086EF9"/>
    <w:rsid w:val="00087E2A"/>
    <w:rsid w:val="00090470"/>
    <w:rsid w:val="00090A48"/>
    <w:rsid w:val="00090DB8"/>
    <w:rsid w:val="0009160F"/>
    <w:rsid w:val="00091811"/>
    <w:rsid w:val="00092D38"/>
    <w:rsid w:val="00093016"/>
    <w:rsid w:val="0009377B"/>
    <w:rsid w:val="00094371"/>
    <w:rsid w:val="00094483"/>
    <w:rsid w:val="000946FB"/>
    <w:rsid w:val="00095BD0"/>
    <w:rsid w:val="0009772C"/>
    <w:rsid w:val="00097E1C"/>
    <w:rsid w:val="00097EF6"/>
    <w:rsid w:val="000A07B2"/>
    <w:rsid w:val="000A08BC"/>
    <w:rsid w:val="000A0AF4"/>
    <w:rsid w:val="000A1A6C"/>
    <w:rsid w:val="000A1CAF"/>
    <w:rsid w:val="000A20C9"/>
    <w:rsid w:val="000A2519"/>
    <w:rsid w:val="000A25AD"/>
    <w:rsid w:val="000A2B60"/>
    <w:rsid w:val="000A2F60"/>
    <w:rsid w:val="000A3E83"/>
    <w:rsid w:val="000A4844"/>
    <w:rsid w:val="000A4A41"/>
    <w:rsid w:val="000A4E09"/>
    <w:rsid w:val="000A5238"/>
    <w:rsid w:val="000A55BF"/>
    <w:rsid w:val="000A6689"/>
    <w:rsid w:val="000A7353"/>
    <w:rsid w:val="000B0136"/>
    <w:rsid w:val="000B058F"/>
    <w:rsid w:val="000B10FE"/>
    <w:rsid w:val="000B16F6"/>
    <w:rsid w:val="000B4467"/>
    <w:rsid w:val="000B4773"/>
    <w:rsid w:val="000B4C39"/>
    <w:rsid w:val="000B4DB9"/>
    <w:rsid w:val="000B666D"/>
    <w:rsid w:val="000B68D8"/>
    <w:rsid w:val="000B7EE6"/>
    <w:rsid w:val="000C0563"/>
    <w:rsid w:val="000C09AC"/>
    <w:rsid w:val="000C1552"/>
    <w:rsid w:val="000C196B"/>
    <w:rsid w:val="000C3D33"/>
    <w:rsid w:val="000C46EB"/>
    <w:rsid w:val="000C46EE"/>
    <w:rsid w:val="000C476D"/>
    <w:rsid w:val="000C55BD"/>
    <w:rsid w:val="000C56B3"/>
    <w:rsid w:val="000C579C"/>
    <w:rsid w:val="000C6A82"/>
    <w:rsid w:val="000C767F"/>
    <w:rsid w:val="000C7E6C"/>
    <w:rsid w:val="000C7E99"/>
    <w:rsid w:val="000D1C2D"/>
    <w:rsid w:val="000D1D7F"/>
    <w:rsid w:val="000D29CF"/>
    <w:rsid w:val="000D32A8"/>
    <w:rsid w:val="000D4C3A"/>
    <w:rsid w:val="000D5A44"/>
    <w:rsid w:val="000D7341"/>
    <w:rsid w:val="000E0101"/>
    <w:rsid w:val="000E3ED2"/>
    <w:rsid w:val="000E540A"/>
    <w:rsid w:val="000E544B"/>
    <w:rsid w:val="000E55D7"/>
    <w:rsid w:val="000E584E"/>
    <w:rsid w:val="000E5B44"/>
    <w:rsid w:val="000E5F94"/>
    <w:rsid w:val="000E7330"/>
    <w:rsid w:val="000E748B"/>
    <w:rsid w:val="000F0A9F"/>
    <w:rsid w:val="000F0C67"/>
    <w:rsid w:val="000F0E30"/>
    <w:rsid w:val="000F0FFB"/>
    <w:rsid w:val="000F2523"/>
    <w:rsid w:val="000F2E7E"/>
    <w:rsid w:val="000F38D9"/>
    <w:rsid w:val="000F3C30"/>
    <w:rsid w:val="000F4941"/>
    <w:rsid w:val="000F4BD6"/>
    <w:rsid w:val="000F4C46"/>
    <w:rsid w:val="000F5CFD"/>
    <w:rsid w:val="000F5E28"/>
    <w:rsid w:val="000F706D"/>
    <w:rsid w:val="000F740C"/>
    <w:rsid w:val="000F74C9"/>
    <w:rsid w:val="000F7929"/>
    <w:rsid w:val="000F7E19"/>
    <w:rsid w:val="000F7F62"/>
    <w:rsid w:val="0010046F"/>
    <w:rsid w:val="00101527"/>
    <w:rsid w:val="00101570"/>
    <w:rsid w:val="001016AF"/>
    <w:rsid w:val="00101BCB"/>
    <w:rsid w:val="00103C8F"/>
    <w:rsid w:val="00104BF4"/>
    <w:rsid w:val="00105ABE"/>
    <w:rsid w:val="00106D46"/>
    <w:rsid w:val="00107242"/>
    <w:rsid w:val="001100A8"/>
    <w:rsid w:val="00110287"/>
    <w:rsid w:val="0011041D"/>
    <w:rsid w:val="00110B69"/>
    <w:rsid w:val="00111884"/>
    <w:rsid w:val="00111DDF"/>
    <w:rsid w:val="00111ED7"/>
    <w:rsid w:val="00112499"/>
    <w:rsid w:val="001124F9"/>
    <w:rsid w:val="00112C24"/>
    <w:rsid w:val="00113690"/>
    <w:rsid w:val="00115293"/>
    <w:rsid w:val="00115F74"/>
    <w:rsid w:val="001160EA"/>
    <w:rsid w:val="00116B7C"/>
    <w:rsid w:val="00116FAE"/>
    <w:rsid w:val="001173D0"/>
    <w:rsid w:val="001179F1"/>
    <w:rsid w:val="0012089B"/>
    <w:rsid w:val="00120AA5"/>
    <w:rsid w:val="001222A6"/>
    <w:rsid w:val="001234C3"/>
    <w:rsid w:val="00125B64"/>
    <w:rsid w:val="00126AFD"/>
    <w:rsid w:val="001270A9"/>
    <w:rsid w:val="00127B91"/>
    <w:rsid w:val="00130BB0"/>
    <w:rsid w:val="00130C8B"/>
    <w:rsid w:val="00130E5F"/>
    <w:rsid w:val="0013118D"/>
    <w:rsid w:val="001318C4"/>
    <w:rsid w:val="00131DAD"/>
    <w:rsid w:val="00131F42"/>
    <w:rsid w:val="0013201D"/>
    <w:rsid w:val="00132660"/>
    <w:rsid w:val="0013269D"/>
    <w:rsid w:val="00132CBF"/>
    <w:rsid w:val="001337DB"/>
    <w:rsid w:val="001357F1"/>
    <w:rsid w:val="0013591A"/>
    <w:rsid w:val="001363B2"/>
    <w:rsid w:val="00136D7F"/>
    <w:rsid w:val="00137443"/>
    <w:rsid w:val="0014055D"/>
    <w:rsid w:val="001406B5"/>
    <w:rsid w:val="0014084D"/>
    <w:rsid w:val="00140FA8"/>
    <w:rsid w:val="00142281"/>
    <w:rsid w:val="00142F5B"/>
    <w:rsid w:val="00142FEB"/>
    <w:rsid w:val="00143A2D"/>
    <w:rsid w:val="00143B4D"/>
    <w:rsid w:val="00144911"/>
    <w:rsid w:val="00144B71"/>
    <w:rsid w:val="001451AA"/>
    <w:rsid w:val="00145A41"/>
    <w:rsid w:val="00145ED2"/>
    <w:rsid w:val="00145F10"/>
    <w:rsid w:val="001463DF"/>
    <w:rsid w:val="001465CF"/>
    <w:rsid w:val="001468AA"/>
    <w:rsid w:val="00146C1B"/>
    <w:rsid w:val="00146E63"/>
    <w:rsid w:val="00147C08"/>
    <w:rsid w:val="00150896"/>
    <w:rsid w:val="001509B4"/>
    <w:rsid w:val="001514B4"/>
    <w:rsid w:val="00151675"/>
    <w:rsid w:val="00152A78"/>
    <w:rsid w:val="00154AB1"/>
    <w:rsid w:val="00155437"/>
    <w:rsid w:val="001565A3"/>
    <w:rsid w:val="00157435"/>
    <w:rsid w:val="00157A3B"/>
    <w:rsid w:val="00157E5E"/>
    <w:rsid w:val="00157F2B"/>
    <w:rsid w:val="00160350"/>
    <w:rsid w:val="00161AD7"/>
    <w:rsid w:val="00161FDC"/>
    <w:rsid w:val="00162368"/>
    <w:rsid w:val="00162806"/>
    <w:rsid w:val="00162A8C"/>
    <w:rsid w:val="00163CFE"/>
    <w:rsid w:val="00164D5D"/>
    <w:rsid w:val="0016570F"/>
    <w:rsid w:val="00165A5C"/>
    <w:rsid w:val="00166126"/>
    <w:rsid w:val="001663A7"/>
    <w:rsid w:val="00167AB8"/>
    <w:rsid w:val="00167ADB"/>
    <w:rsid w:val="00172503"/>
    <w:rsid w:val="00172F47"/>
    <w:rsid w:val="00173E3B"/>
    <w:rsid w:val="00174A0D"/>
    <w:rsid w:val="0017504D"/>
    <w:rsid w:val="0017671A"/>
    <w:rsid w:val="00176F61"/>
    <w:rsid w:val="00177422"/>
    <w:rsid w:val="00180317"/>
    <w:rsid w:val="0018117C"/>
    <w:rsid w:val="001815EE"/>
    <w:rsid w:val="00182147"/>
    <w:rsid w:val="00182367"/>
    <w:rsid w:val="001831CE"/>
    <w:rsid w:val="00183736"/>
    <w:rsid w:val="001837D9"/>
    <w:rsid w:val="00184170"/>
    <w:rsid w:val="00184590"/>
    <w:rsid w:val="00184A80"/>
    <w:rsid w:val="00185C1C"/>
    <w:rsid w:val="00185F2B"/>
    <w:rsid w:val="00185F5F"/>
    <w:rsid w:val="001870D1"/>
    <w:rsid w:val="00187359"/>
    <w:rsid w:val="0018781E"/>
    <w:rsid w:val="00190E6B"/>
    <w:rsid w:val="0019229F"/>
    <w:rsid w:val="0019262D"/>
    <w:rsid w:val="0019291E"/>
    <w:rsid w:val="00195823"/>
    <w:rsid w:val="00196226"/>
    <w:rsid w:val="001969F1"/>
    <w:rsid w:val="00196BB6"/>
    <w:rsid w:val="00196FC2"/>
    <w:rsid w:val="00197DD0"/>
    <w:rsid w:val="001A013F"/>
    <w:rsid w:val="001A0737"/>
    <w:rsid w:val="001A0856"/>
    <w:rsid w:val="001A1B35"/>
    <w:rsid w:val="001A2975"/>
    <w:rsid w:val="001A2EA1"/>
    <w:rsid w:val="001A36F0"/>
    <w:rsid w:val="001A48A2"/>
    <w:rsid w:val="001A6F61"/>
    <w:rsid w:val="001A752D"/>
    <w:rsid w:val="001B0DEA"/>
    <w:rsid w:val="001B17AD"/>
    <w:rsid w:val="001B24A3"/>
    <w:rsid w:val="001B25BA"/>
    <w:rsid w:val="001B28F0"/>
    <w:rsid w:val="001B3467"/>
    <w:rsid w:val="001B3536"/>
    <w:rsid w:val="001B3BA5"/>
    <w:rsid w:val="001B42AE"/>
    <w:rsid w:val="001B472F"/>
    <w:rsid w:val="001B47B1"/>
    <w:rsid w:val="001B4CE1"/>
    <w:rsid w:val="001B54A0"/>
    <w:rsid w:val="001B5712"/>
    <w:rsid w:val="001B5966"/>
    <w:rsid w:val="001B615D"/>
    <w:rsid w:val="001B66F9"/>
    <w:rsid w:val="001B68C2"/>
    <w:rsid w:val="001B7246"/>
    <w:rsid w:val="001B72B8"/>
    <w:rsid w:val="001B7D7B"/>
    <w:rsid w:val="001C0054"/>
    <w:rsid w:val="001C01EE"/>
    <w:rsid w:val="001C05D4"/>
    <w:rsid w:val="001C0D40"/>
    <w:rsid w:val="001C3ACC"/>
    <w:rsid w:val="001C4BA5"/>
    <w:rsid w:val="001C512E"/>
    <w:rsid w:val="001C55CB"/>
    <w:rsid w:val="001C579B"/>
    <w:rsid w:val="001C654C"/>
    <w:rsid w:val="001C69B3"/>
    <w:rsid w:val="001C7A10"/>
    <w:rsid w:val="001D02F2"/>
    <w:rsid w:val="001D1C19"/>
    <w:rsid w:val="001D4156"/>
    <w:rsid w:val="001D4B49"/>
    <w:rsid w:val="001D4D14"/>
    <w:rsid w:val="001D52B0"/>
    <w:rsid w:val="001D5595"/>
    <w:rsid w:val="001D5B77"/>
    <w:rsid w:val="001D6008"/>
    <w:rsid w:val="001D64D6"/>
    <w:rsid w:val="001D745D"/>
    <w:rsid w:val="001D7636"/>
    <w:rsid w:val="001D7689"/>
    <w:rsid w:val="001D7874"/>
    <w:rsid w:val="001D7F22"/>
    <w:rsid w:val="001E0BE4"/>
    <w:rsid w:val="001E2E12"/>
    <w:rsid w:val="001E2F38"/>
    <w:rsid w:val="001E32EB"/>
    <w:rsid w:val="001E3738"/>
    <w:rsid w:val="001E3D2D"/>
    <w:rsid w:val="001E3F34"/>
    <w:rsid w:val="001E476A"/>
    <w:rsid w:val="001E47D0"/>
    <w:rsid w:val="001E4C81"/>
    <w:rsid w:val="001E5674"/>
    <w:rsid w:val="001E71C4"/>
    <w:rsid w:val="001F0769"/>
    <w:rsid w:val="001F0F17"/>
    <w:rsid w:val="001F2C79"/>
    <w:rsid w:val="001F3085"/>
    <w:rsid w:val="001F3347"/>
    <w:rsid w:val="001F37BB"/>
    <w:rsid w:val="001F4592"/>
    <w:rsid w:val="001F55CB"/>
    <w:rsid w:val="001F5830"/>
    <w:rsid w:val="001F5BE0"/>
    <w:rsid w:val="001F641E"/>
    <w:rsid w:val="001F69E4"/>
    <w:rsid w:val="001F69EE"/>
    <w:rsid w:val="0020019C"/>
    <w:rsid w:val="002011BB"/>
    <w:rsid w:val="00201D5B"/>
    <w:rsid w:val="00201E59"/>
    <w:rsid w:val="0020293F"/>
    <w:rsid w:val="00203521"/>
    <w:rsid w:val="002036C9"/>
    <w:rsid w:val="002039E9"/>
    <w:rsid w:val="00203E15"/>
    <w:rsid w:val="0020426F"/>
    <w:rsid w:val="002051A6"/>
    <w:rsid w:val="002063ED"/>
    <w:rsid w:val="00206E43"/>
    <w:rsid w:val="00207CBE"/>
    <w:rsid w:val="002102E6"/>
    <w:rsid w:val="00211723"/>
    <w:rsid w:val="00211C4A"/>
    <w:rsid w:val="0021239B"/>
    <w:rsid w:val="002125B4"/>
    <w:rsid w:val="00212D55"/>
    <w:rsid w:val="00213414"/>
    <w:rsid w:val="00214949"/>
    <w:rsid w:val="00214B67"/>
    <w:rsid w:val="002155B8"/>
    <w:rsid w:val="00215F05"/>
    <w:rsid w:val="002163B0"/>
    <w:rsid w:val="00216CC6"/>
    <w:rsid w:val="00221766"/>
    <w:rsid w:val="00221B86"/>
    <w:rsid w:val="00221D15"/>
    <w:rsid w:val="00221E67"/>
    <w:rsid w:val="002224C1"/>
    <w:rsid w:val="00222E6F"/>
    <w:rsid w:val="00223CCA"/>
    <w:rsid w:val="00224808"/>
    <w:rsid w:val="00224839"/>
    <w:rsid w:val="00224921"/>
    <w:rsid w:val="002249B2"/>
    <w:rsid w:val="00226574"/>
    <w:rsid w:val="0022686F"/>
    <w:rsid w:val="00226AEF"/>
    <w:rsid w:val="002271C6"/>
    <w:rsid w:val="002278EC"/>
    <w:rsid w:val="0022792F"/>
    <w:rsid w:val="00227A34"/>
    <w:rsid w:val="002304ED"/>
    <w:rsid w:val="00231DC1"/>
    <w:rsid w:val="0023280E"/>
    <w:rsid w:val="00233842"/>
    <w:rsid w:val="00236070"/>
    <w:rsid w:val="00236A1C"/>
    <w:rsid w:val="002377D1"/>
    <w:rsid w:val="00240D15"/>
    <w:rsid w:val="00240E1C"/>
    <w:rsid w:val="00240F9A"/>
    <w:rsid w:val="00241324"/>
    <w:rsid w:val="002415CE"/>
    <w:rsid w:val="00242704"/>
    <w:rsid w:val="00242E05"/>
    <w:rsid w:val="0024329C"/>
    <w:rsid w:val="002433D6"/>
    <w:rsid w:val="00243C6E"/>
    <w:rsid w:val="00243F5D"/>
    <w:rsid w:val="00244B91"/>
    <w:rsid w:val="00245FE9"/>
    <w:rsid w:val="002462A9"/>
    <w:rsid w:val="00247259"/>
    <w:rsid w:val="002506BC"/>
    <w:rsid w:val="00250839"/>
    <w:rsid w:val="002512C9"/>
    <w:rsid w:val="00251B2C"/>
    <w:rsid w:val="00251B91"/>
    <w:rsid w:val="0025293C"/>
    <w:rsid w:val="00252EE2"/>
    <w:rsid w:val="002541C1"/>
    <w:rsid w:val="00254345"/>
    <w:rsid w:val="0025628F"/>
    <w:rsid w:val="00256B00"/>
    <w:rsid w:val="00256D40"/>
    <w:rsid w:val="00256E66"/>
    <w:rsid w:val="002628C1"/>
    <w:rsid w:val="00262AC9"/>
    <w:rsid w:val="00262EEA"/>
    <w:rsid w:val="00263066"/>
    <w:rsid w:val="00263539"/>
    <w:rsid w:val="00264557"/>
    <w:rsid w:val="002647B1"/>
    <w:rsid w:val="00264898"/>
    <w:rsid w:val="00265A26"/>
    <w:rsid w:val="002708BC"/>
    <w:rsid w:val="0027106A"/>
    <w:rsid w:val="00271484"/>
    <w:rsid w:val="00272E59"/>
    <w:rsid w:val="00273284"/>
    <w:rsid w:val="002737DD"/>
    <w:rsid w:val="00274168"/>
    <w:rsid w:val="0027465A"/>
    <w:rsid w:val="00275C82"/>
    <w:rsid w:val="0027674A"/>
    <w:rsid w:val="0027701F"/>
    <w:rsid w:val="00277EF8"/>
    <w:rsid w:val="002805AB"/>
    <w:rsid w:val="00280F0A"/>
    <w:rsid w:val="00281256"/>
    <w:rsid w:val="00281D91"/>
    <w:rsid w:val="002821D0"/>
    <w:rsid w:val="0028278F"/>
    <w:rsid w:val="00284204"/>
    <w:rsid w:val="00284504"/>
    <w:rsid w:val="00284E90"/>
    <w:rsid w:val="00285107"/>
    <w:rsid w:val="002852CC"/>
    <w:rsid w:val="00285997"/>
    <w:rsid w:val="0028731F"/>
    <w:rsid w:val="00287E63"/>
    <w:rsid w:val="00291773"/>
    <w:rsid w:val="00291ACE"/>
    <w:rsid w:val="002952E5"/>
    <w:rsid w:val="00295DE1"/>
    <w:rsid w:val="002969EA"/>
    <w:rsid w:val="00296D44"/>
    <w:rsid w:val="002A168C"/>
    <w:rsid w:val="002A1FAC"/>
    <w:rsid w:val="002A2970"/>
    <w:rsid w:val="002A38E9"/>
    <w:rsid w:val="002A3D62"/>
    <w:rsid w:val="002A3DC7"/>
    <w:rsid w:val="002A44D1"/>
    <w:rsid w:val="002A461E"/>
    <w:rsid w:val="002A4644"/>
    <w:rsid w:val="002A5506"/>
    <w:rsid w:val="002A6E99"/>
    <w:rsid w:val="002A7569"/>
    <w:rsid w:val="002A7FB2"/>
    <w:rsid w:val="002B024E"/>
    <w:rsid w:val="002B0782"/>
    <w:rsid w:val="002B0F63"/>
    <w:rsid w:val="002B165F"/>
    <w:rsid w:val="002B2288"/>
    <w:rsid w:val="002B24DB"/>
    <w:rsid w:val="002B2720"/>
    <w:rsid w:val="002B28A6"/>
    <w:rsid w:val="002B290E"/>
    <w:rsid w:val="002B32F2"/>
    <w:rsid w:val="002B3428"/>
    <w:rsid w:val="002B491E"/>
    <w:rsid w:val="002B49E2"/>
    <w:rsid w:val="002B4A3B"/>
    <w:rsid w:val="002B54AB"/>
    <w:rsid w:val="002B5CD0"/>
    <w:rsid w:val="002B614E"/>
    <w:rsid w:val="002B6DBC"/>
    <w:rsid w:val="002B6DFA"/>
    <w:rsid w:val="002B76A2"/>
    <w:rsid w:val="002B7A54"/>
    <w:rsid w:val="002B7B00"/>
    <w:rsid w:val="002B7C44"/>
    <w:rsid w:val="002C13DE"/>
    <w:rsid w:val="002C232D"/>
    <w:rsid w:val="002C2B17"/>
    <w:rsid w:val="002C31AC"/>
    <w:rsid w:val="002C3A63"/>
    <w:rsid w:val="002C5C82"/>
    <w:rsid w:val="002C5E7A"/>
    <w:rsid w:val="002D023D"/>
    <w:rsid w:val="002D132B"/>
    <w:rsid w:val="002D1D6C"/>
    <w:rsid w:val="002D1FE1"/>
    <w:rsid w:val="002D2D94"/>
    <w:rsid w:val="002D377D"/>
    <w:rsid w:val="002D3DD0"/>
    <w:rsid w:val="002D4E36"/>
    <w:rsid w:val="002D7496"/>
    <w:rsid w:val="002D7C9A"/>
    <w:rsid w:val="002E09E2"/>
    <w:rsid w:val="002E0E8E"/>
    <w:rsid w:val="002E1C4F"/>
    <w:rsid w:val="002E1F3A"/>
    <w:rsid w:val="002E298A"/>
    <w:rsid w:val="002E29BC"/>
    <w:rsid w:val="002E3473"/>
    <w:rsid w:val="002E3B17"/>
    <w:rsid w:val="002E40B4"/>
    <w:rsid w:val="002E4AB7"/>
    <w:rsid w:val="002E4C67"/>
    <w:rsid w:val="002E553D"/>
    <w:rsid w:val="002E67E5"/>
    <w:rsid w:val="002E6F9B"/>
    <w:rsid w:val="002E70F8"/>
    <w:rsid w:val="002E734C"/>
    <w:rsid w:val="002E73B0"/>
    <w:rsid w:val="002E7A68"/>
    <w:rsid w:val="002E7DAB"/>
    <w:rsid w:val="002E7EC4"/>
    <w:rsid w:val="002E7F85"/>
    <w:rsid w:val="002F1048"/>
    <w:rsid w:val="002F1181"/>
    <w:rsid w:val="002F1FA7"/>
    <w:rsid w:val="002F3311"/>
    <w:rsid w:val="002F413F"/>
    <w:rsid w:val="002F5B1D"/>
    <w:rsid w:val="002F5B98"/>
    <w:rsid w:val="002F72B4"/>
    <w:rsid w:val="00300C87"/>
    <w:rsid w:val="003016E5"/>
    <w:rsid w:val="00301978"/>
    <w:rsid w:val="003027A1"/>
    <w:rsid w:val="0030332C"/>
    <w:rsid w:val="00303617"/>
    <w:rsid w:val="00304E38"/>
    <w:rsid w:val="003051C2"/>
    <w:rsid w:val="003056BF"/>
    <w:rsid w:val="00305E69"/>
    <w:rsid w:val="00305F5D"/>
    <w:rsid w:val="003063BF"/>
    <w:rsid w:val="00307E75"/>
    <w:rsid w:val="003105BE"/>
    <w:rsid w:val="00310B94"/>
    <w:rsid w:val="00311404"/>
    <w:rsid w:val="00311D4A"/>
    <w:rsid w:val="00312296"/>
    <w:rsid w:val="003125DE"/>
    <w:rsid w:val="00312E94"/>
    <w:rsid w:val="00312EE4"/>
    <w:rsid w:val="00314773"/>
    <w:rsid w:val="00314911"/>
    <w:rsid w:val="00314F0E"/>
    <w:rsid w:val="0031577C"/>
    <w:rsid w:val="003175A5"/>
    <w:rsid w:val="00321968"/>
    <w:rsid w:val="00321987"/>
    <w:rsid w:val="00321D8E"/>
    <w:rsid w:val="0032221D"/>
    <w:rsid w:val="00322509"/>
    <w:rsid w:val="003233E3"/>
    <w:rsid w:val="003239B0"/>
    <w:rsid w:val="003249FD"/>
    <w:rsid w:val="00325928"/>
    <w:rsid w:val="00326FA4"/>
    <w:rsid w:val="003305A9"/>
    <w:rsid w:val="00330620"/>
    <w:rsid w:val="003317C5"/>
    <w:rsid w:val="003321FF"/>
    <w:rsid w:val="0033250F"/>
    <w:rsid w:val="00332863"/>
    <w:rsid w:val="003337AD"/>
    <w:rsid w:val="00334993"/>
    <w:rsid w:val="00334DCA"/>
    <w:rsid w:val="003350E3"/>
    <w:rsid w:val="003367D6"/>
    <w:rsid w:val="0033684D"/>
    <w:rsid w:val="00336BC4"/>
    <w:rsid w:val="00337841"/>
    <w:rsid w:val="00337868"/>
    <w:rsid w:val="00337B42"/>
    <w:rsid w:val="00340C6D"/>
    <w:rsid w:val="00340E71"/>
    <w:rsid w:val="0034188D"/>
    <w:rsid w:val="00341949"/>
    <w:rsid w:val="00341B42"/>
    <w:rsid w:val="003420A0"/>
    <w:rsid w:val="00342666"/>
    <w:rsid w:val="00342B70"/>
    <w:rsid w:val="00342C5B"/>
    <w:rsid w:val="00342C78"/>
    <w:rsid w:val="003432C5"/>
    <w:rsid w:val="0034348F"/>
    <w:rsid w:val="00343BB7"/>
    <w:rsid w:val="00343D61"/>
    <w:rsid w:val="0034518D"/>
    <w:rsid w:val="00345622"/>
    <w:rsid w:val="003457B3"/>
    <w:rsid w:val="00346CF3"/>
    <w:rsid w:val="00346F74"/>
    <w:rsid w:val="003474DE"/>
    <w:rsid w:val="0035073C"/>
    <w:rsid w:val="00350AC4"/>
    <w:rsid w:val="00350ACC"/>
    <w:rsid w:val="00351A9F"/>
    <w:rsid w:val="003520CA"/>
    <w:rsid w:val="00352BCB"/>
    <w:rsid w:val="00353183"/>
    <w:rsid w:val="003543DF"/>
    <w:rsid w:val="00354CE1"/>
    <w:rsid w:val="00355237"/>
    <w:rsid w:val="003553DB"/>
    <w:rsid w:val="0035592E"/>
    <w:rsid w:val="00355AA2"/>
    <w:rsid w:val="00355B32"/>
    <w:rsid w:val="00356611"/>
    <w:rsid w:val="00356653"/>
    <w:rsid w:val="00356C44"/>
    <w:rsid w:val="0035743F"/>
    <w:rsid w:val="003577F9"/>
    <w:rsid w:val="00357BE2"/>
    <w:rsid w:val="00360344"/>
    <w:rsid w:val="003605E2"/>
    <w:rsid w:val="0036170C"/>
    <w:rsid w:val="00362261"/>
    <w:rsid w:val="00362F2E"/>
    <w:rsid w:val="00363B17"/>
    <w:rsid w:val="00363B40"/>
    <w:rsid w:val="003659EA"/>
    <w:rsid w:val="00365BC6"/>
    <w:rsid w:val="00366E0F"/>
    <w:rsid w:val="00366E1F"/>
    <w:rsid w:val="00367ADB"/>
    <w:rsid w:val="003710DF"/>
    <w:rsid w:val="00371510"/>
    <w:rsid w:val="0037162D"/>
    <w:rsid w:val="00372ABB"/>
    <w:rsid w:val="00372CF5"/>
    <w:rsid w:val="003734A8"/>
    <w:rsid w:val="00373B77"/>
    <w:rsid w:val="00374DC5"/>
    <w:rsid w:val="00374EF5"/>
    <w:rsid w:val="00375974"/>
    <w:rsid w:val="003759C1"/>
    <w:rsid w:val="00375E78"/>
    <w:rsid w:val="0037677B"/>
    <w:rsid w:val="00376F5E"/>
    <w:rsid w:val="00377485"/>
    <w:rsid w:val="00380470"/>
    <w:rsid w:val="00380909"/>
    <w:rsid w:val="00381A72"/>
    <w:rsid w:val="00381B01"/>
    <w:rsid w:val="00382882"/>
    <w:rsid w:val="00383071"/>
    <w:rsid w:val="0038375A"/>
    <w:rsid w:val="00384676"/>
    <w:rsid w:val="00385005"/>
    <w:rsid w:val="00386D86"/>
    <w:rsid w:val="00387013"/>
    <w:rsid w:val="00387056"/>
    <w:rsid w:val="00390857"/>
    <w:rsid w:val="00390B6F"/>
    <w:rsid w:val="00390D5C"/>
    <w:rsid w:val="00392614"/>
    <w:rsid w:val="00392FBC"/>
    <w:rsid w:val="00393183"/>
    <w:rsid w:val="0039359E"/>
    <w:rsid w:val="00393C75"/>
    <w:rsid w:val="00393F5F"/>
    <w:rsid w:val="00394FCE"/>
    <w:rsid w:val="003953F8"/>
    <w:rsid w:val="00396F21"/>
    <w:rsid w:val="003977E8"/>
    <w:rsid w:val="003A1612"/>
    <w:rsid w:val="003A23F0"/>
    <w:rsid w:val="003A29C1"/>
    <w:rsid w:val="003A310A"/>
    <w:rsid w:val="003A3B36"/>
    <w:rsid w:val="003A4194"/>
    <w:rsid w:val="003A46C9"/>
    <w:rsid w:val="003A4BA3"/>
    <w:rsid w:val="003A4BF3"/>
    <w:rsid w:val="003A5BAD"/>
    <w:rsid w:val="003A7307"/>
    <w:rsid w:val="003B1050"/>
    <w:rsid w:val="003B138D"/>
    <w:rsid w:val="003B1867"/>
    <w:rsid w:val="003B3BDC"/>
    <w:rsid w:val="003B420D"/>
    <w:rsid w:val="003B50BD"/>
    <w:rsid w:val="003B6D46"/>
    <w:rsid w:val="003C1932"/>
    <w:rsid w:val="003C2735"/>
    <w:rsid w:val="003C556E"/>
    <w:rsid w:val="003C57FA"/>
    <w:rsid w:val="003C6407"/>
    <w:rsid w:val="003C6C16"/>
    <w:rsid w:val="003C6C85"/>
    <w:rsid w:val="003C7075"/>
    <w:rsid w:val="003C74A9"/>
    <w:rsid w:val="003D1A69"/>
    <w:rsid w:val="003D21B7"/>
    <w:rsid w:val="003D2818"/>
    <w:rsid w:val="003D357F"/>
    <w:rsid w:val="003D35AA"/>
    <w:rsid w:val="003D3AF5"/>
    <w:rsid w:val="003D407E"/>
    <w:rsid w:val="003D588E"/>
    <w:rsid w:val="003D5CB0"/>
    <w:rsid w:val="003D69DB"/>
    <w:rsid w:val="003D6B32"/>
    <w:rsid w:val="003D739F"/>
    <w:rsid w:val="003D794D"/>
    <w:rsid w:val="003E0157"/>
    <w:rsid w:val="003E0D45"/>
    <w:rsid w:val="003E3058"/>
    <w:rsid w:val="003E36F8"/>
    <w:rsid w:val="003E4F30"/>
    <w:rsid w:val="003E5F70"/>
    <w:rsid w:val="003E7426"/>
    <w:rsid w:val="003E76A9"/>
    <w:rsid w:val="003E7744"/>
    <w:rsid w:val="003F0809"/>
    <w:rsid w:val="003F0B94"/>
    <w:rsid w:val="003F0F64"/>
    <w:rsid w:val="003F188A"/>
    <w:rsid w:val="003F2468"/>
    <w:rsid w:val="003F3851"/>
    <w:rsid w:val="003F4038"/>
    <w:rsid w:val="003F5543"/>
    <w:rsid w:val="003F5A9A"/>
    <w:rsid w:val="003F6099"/>
    <w:rsid w:val="003F60C1"/>
    <w:rsid w:val="003F6A4A"/>
    <w:rsid w:val="003F6A8C"/>
    <w:rsid w:val="003F755C"/>
    <w:rsid w:val="00400705"/>
    <w:rsid w:val="00400874"/>
    <w:rsid w:val="00400DF4"/>
    <w:rsid w:val="00401B89"/>
    <w:rsid w:val="00401DCE"/>
    <w:rsid w:val="0040297D"/>
    <w:rsid w:val="00403073"/>
    <w:rsid w:val="004036B3"/>
    <w:rsid w:val="00404B89"/>
    <w:rsid w:val="00405B33"/>
    <w:rsid w:val="00405BAD"/>
    <w:rsid w:val="00406F01"/>
    <w:rsid w:val="004116FC"/>
    <w:rsid w:val="00411DA2"/>
    <w:rsid w:val="0041309F"/>
    <w:rsid w:val="00413706"/>
    <w:rsid w:val="0041455F"/>
    <w:rsid w:val="004146C5"/>
    <w:rsid w:val="004153F9"/>
    <w:rsid w:val="00415773"/>
    <w:rsid w:val="004157F4"/>
    <w:rsid w:val="004159CF"/>
    <w:rsid w:val="00415BB4"/>
    <w:rsid w:val="0041676A"/>
    <w:rsid w:val="00416D50"/>
    <w:rsid w:val="00416FD5"/>
    <w:rsid w:val="00417772"/>
    <w:rsid w:val="00420585"/>
    <w:rsid w:val="00420738"/>
    <w:rsid w:val="00420E6A"/>
    <w:rsid w:val="0042176B"/>
    <w:rsid w:val="00421AE5"/>
    <w:rsid w:val="0042231E"/>
    <w:rsid w:val="004225A5"/>
    <w:rsid w:val="00422977"/>
    <w:rsid w:val="00423002"/>
    <w:rsid w:val="0042351C"/>
    <w:rsid w:val="00423CB2"/>
    <w:rsid w:val="0042409F"/>
    <w:rsid w:val="004244B1"/>
    <w:rsid w:val="00424E99"/>
    <w:rsid w:val="00425A9E"/>
    <w:rsid w:val="0042621E"/>
    <w:rsid w:val="00426963"/>
    <w:rsid w:val="00426AD6"/>
    <w:rsid w:val="00426B2B"/>
    <w:rsid w:val="00426D6B"/>
    <w:rsid w:val="00426E09"/>
    <w:rsid w:val="004272F7"/>
    <w:rsid w:val="00427895"/>
    <w:rsid w:val="00427EA3"/>
    <w:rsid w:val="00430F6F"/>
    <w:rsid w:val="004313F3"/>
    <w:rsid w:val="00431A48"/>
    <w:rsid w:val="00431E6C"/>
    <w:rsid w:val="004336D7"/>
    <w:rsid w:val="00433CE7"/>
    <w:rsid w:val="00434D50"/>
    <w:rsid w:val="00434DC0"/>
    <w:rsid w:val="0043631A"/>
    <w:rsid w:val="00437E2E"/>
    <w:rsid w:val="004400C0"/>
    <w:rsid w:val="00440695"/>
    <w:rsid w:val="00441C92"/>
    <w:rsid w:val="00441CBD"/>
    <w:rsid w:val="00441DA8"/>
    <w:rsid w:val="00441EF2"/>
    <w:rsid w:val="00442533"/>
    <w:rsid w:val="00442A6F"/>
    <w:rsid w:val="00442D6E"/>
    <w:rsid w:val="00442E98"/>
    <w:rsid w:val="00443122"/>
    <w:rsid w:val="0044369F"/>
    <w:rsid w:val="00444880"/>
    <w:rsid w:val="00444C51"/>
    <w:rsid w:val="00444E53"/>
    <w:rsid w:val="0044579D"/>
    <w:rsid w:val="00446768"/>
    <w:rsid w:val="00450644"/>
    <w:rsid w:val="00450CB9"/>
    <w:rsid w:val="00451CA3"/>
    <w:rsid w:val="0045234E"/>
    <w:rsid w:val="00452738"/>
    <w:rsid w:val="0045305B"/>
    <w:rsid w:val="00453126"/>
    <w:rsid w:val="004542A3"/>
    <w:rsid w:val="004544E4"/>
    <w:rsid w:val="0045469F"/>
    <w:rsid w:val="00454719"/>
    <w:rsid w:val="00454E7F"/>
    <w:rsid w:val="004555F5"/>
    <w:rsid w:val="004557DB"/>
    <w:rsid w:val="00456091"/>
    <w:rsid w:val="00456BB2"/>
    <w:rsid w:val="00456D7E"/>
    <w:rsid w:val="004576B1"/>
    <w:rsid w:val="00457D66"/>
    <w:rsid w:val="0046022E"/>
    <w:rsid w:val="00460375"/>
    <w:rsid w:val="00460387"/>
    <w:rsid w:val="00465F4D"/>
    <w:rsid w:val="00466321"/>
    <w:rsid w:val="00466AB9"/>
    <w:rsid w:val="0046767B"/>
    <w:rsid w:val="00470AA2"/>
    <w:rsid w:val="00472C67"/>
    <w:rsid w:val="004739D0"/>
    <w:rsid w:val="00473B6D"/>
    <w:rsid w:val="00473BCD"/>
    <w:rsid w:val="004747B7"/>
    <w:rsid w:val="00474866"/>
    <w:rsid w:val="004756C2"/>
    <w:rsid w:val="00476A11"/>
    <w:rsid w:val="00476AAA"/>
    <w:rsid w:val="00476F88"/>
    <w:rsid w:val="0047786C"/>
    <w:rsid w:val="00477B8D"/>
    <w:rsid w:val="00480F77"/>
    <w:rsid w:val="004812A8"/>
    <w:rsid w:val="00481E8C"/>
    <w:rsid w:val="0048327B"/>
    <w:rsid w:val="00483764"/>
    <w:rsid w:val="00484B9B"/>
    <w:rsid w:val="004855F6"/>
    <w:rsid w:val="00485B88"/>
    <w:rsid w:val="0048661E"/>
    <w:rsid w:val="0048696D"/>
    <w:rsid w:val="00487577"/>
    <w:rsid w:val="00487BF2"/>
    <w:rsid w:val="0049143C"/>
    <w:rsid w:val="004916AA"/>
    <w:rsid w:val="00491AEB"/>
    <w:rsid w:val="00492EF0"/>
    <w:rsid w:val="004932EA"/>
    <w:rsid w:val="0049344B"/>
    <w:rsid w:val="00493D6D"/>
    <w:rsid w:val="004940F7"/>
    <w:rsid w:val="00494670"/>
    <w:rsid w:val="004954DF"/>
    <w:rsid w:val="004968B9"/>
    <w:rsid w:val="004969D5"/>
    <w:rsid w:val="00497F97"/>
    <w:rsid w:val="004A0302"/>
    <w:rsid w:val="004A0768"/>
    <w:rsid w:val="004A1A58"/>
    <w:rsid w:val="004A2559"/>
    <w:rsid w:val="004A3465"/>
    <w:rsid w:val="004A3823"/>
    <w:rsid w:val="004A4B63"/>
    <w:rsid w:val="004A66A6"/>
    <w:rsid w:val="004A7EAE"/>
    <w:rsid w:val="004B0397"/>
    <w:rsid w:val="004B1579"/>
    <w:rsid w:val="004B179E"/>
    <w:rsid w:val="004B19FB"/>
    <w:rsid w:val="004B4DB2"/>
    <w:rsid w:val="004B6784"/>
    <w:rsid w:val="004B6A10"/>
    <w:rsid w:val="004B6DFD"/>
    <w:rsid w:val="004B78FE"/>
    <w:rsid w:val="004C0734"/>
    <w:rsid w:val="004C5697"/>
    <w:rsid w:val="004C5BAD"/>
    <w:rsid w:val="004C6113"/>
    <w:rsid w:val="004C6730"/>
    <w:rsid w:val="004D01C2"/>
    <w:rsid w:val="004D047F"/>
    <w:rsid w:val="004D11D0"/>
    <w:rsid w:val="004D1350"/>
    <w:rsid w:val="004D22C5"/>
    <w:rsid w:val="004D33B7"/>
    <w:rsid w:val="004D537A"/>
    <w:rsid w:val="004D5E1A"/>
    <w:rsid w:val="004D637E"/>
    <w:rsid w:val="004D716B"/>
    <w:rsid w:val="004D762E"/>
    <w:rsid w:val="004E05F6"/>
    <w:rsid w:val="004E08D2"/>
    <w:rsid w:val="004E0BE6"/>
    <w:rsid w:val="004E192C"/>
    <w:rsid w:val="004E24CE"/>
    <w:rsid w:val="004E39CA"/>
    <w:rsid w:val="004E40EE"/>
    <w:rsid w:val="004E5114"/>
    <w:rsid w:val="004E6356"/>
    <w:rsid w:val="004E6946"/>
    <w:rsid w:val="004E6A78"/>
    <w:rsid w:val="004E7915"/>
    <w:rsid w:val="004E7924"/>
    <w:rsid w:val="004F0DA8"/>
    <w:rsid w:val="004F1AD8"/>
    <w:rsid w:val="004F1CAA"/>
    <w:rsid w:val="004F2924"/>
    <w:rsid w:val="004F301C"/>
    <w:rsid w:val="004F3B42"/>
    <w:rsid w:val="004F3C7E"/>
    <w:rsid w:val="004F5C48"/>
    <w:rsid w:val="004F64E8"/>
    <w:rsid w:val="004F6530"/>
    <w:rsid w:val="004F6537"/>
    <w:rsid w:val="004F694C"/>
    <w:rsid w:val="004F7C77"/>
    <w:rsid w:val="0050032B"/>
    <w:rsid w:val="00501656"/>
    <w:rsid w:val="00501E09"/>
    <w:rsid w:val="005031ED"/>
    <w:rsid w:val="00503581"/>
    <w:rsid w:val="005039CB"/>
    <w:rsid w:val="00503D8B"/>
    <w:rsid w:val="00503FB8"/>
    <w:rsid w:val="0050558F"/>
    <w:rsid w:val="00505D30"/>
    <w:rsid w:val="00506286"/>
    <w:rsid w:val="005066AD"/>
    <w:rsid w:val="00506B76"/>
    <w:rsid w:val="00507271"/>
    <w:rsid w:val="0051035D"/>
    <w:rsid w:val="00510813"/>
    <w:rsid w:val="0051149C"/>
    <w:rsid w:val="00511990"/>
    <w:rsid w:val="00511DE0"/>
    <w:rsid w:val="005124A6"/>
    <w:rsid w:val="00514639"/>
    <w:rsid w:val="005146F7"/>
    <w:rsid w:val="00514870"/>
    <w:rsid w:val="00514AFA"/>
    <w:rsid w:val="00514B9B"/>
    <w:rsid w:val="00515075"/>
    <w:rsid w:val="00515942"/>
    <w:rsid w:val="00517F02"/>
    <w:rsid w:val="005202D1"/>
    <w:rsid w:val="00520A53"/>
    <w:rsid w:val="005220B9"/>
    <w:rsid w:val="00522A97"/>
    <w:rsid w:val="00522BCD"/>
    <w:rsid w:val="00522DD8"/>
    <w:rsid w:val="00524303"/>
    <w:rsid w:val="005250D6"/>
    <w:rsid w:val="00525341"/>
    <w:rsid w:val="00525622"/>
    <w:rsid w:val="005258A2"/>
    <w:rsid w:val="005263F2"/>
    <w:rsid w:val="005272A4"/>
    <w:rsid w:val="005272E7"/>
    <w:rsid w:val="00527D3A"/>
    <w:rsid w:val="0053084D"/>
    <w:rsid w:val="005308BA"/>
    <w:rsid w:val="00530E3C"/>
    <w:rsid w:val="005314F9"/>
    <w:rsid w:val="00531809"/>
    <w:rsid w:val="00531824"/>
    <w:rsid w:val="00531901"/>
    <w:rsid w:val="00532A16"/>
    <w:rsid w:val="00533C58"/>
    <w:rsid w:val="00533F00"/>
    <w:rsid w:val="00535BE8"/>
    <w:rsid w:val="00536D2E"/>
    <w:rsid w:val="00537A8F"/>
    <w:rsid w:val="00537E9C"/>
    <w:rsid w:val="005401AE"/>
    <w:rsid w:val="00540584"/>
    <w:rsid w:val="0054235B"/>
    <w:rsid w:val="00542CBE"/>
    <w:rsid w:val="00542E07"/>
    <w:rsid w:val="005433C8"/>
    <w:rsid w:val="0054509C"/>
    <w:rsid w:val="00545424"/>
    <w:rsid w:val="00546D89"/>
    <w:rsid w:val="00546F17"/>
    <w:rsid w:val="005475B7"/>
    <w:rsid w:val="0054770B"/>
    <w:rsid w:val="005478DE"/>
    <w:rsid w:val="005479A0"/>
    <w:rsid w:val="00547B42"/>
    <w:rsid w:val="005502A0"/>
    <w:rsid w:val="005524E2"/>
    <w:rsid w:val="005535FA"/>
    <w:rsid w:val="00553690"/>
    <w:rsid w:val="00554630"/>
    <w:rsid w:val="005549C7"/>
    <w:rsid w:val="00554A7B"/>
    <w:rsid w:val="00554EA1"/>
    <w:rsid w:val="00555206"/>
    <w:rsid w:val="0055572C"/>
    <w:rsid w:val="00555BEC"/>
    <w:rsid w:val="00555CAD"/>
    <w:rsid w:val="005561B5"/>
    <w:rsid w:val="0055709E"/>
    <w:rsid w:val="00557768"/>
    <w:rsid w:val="005604B6"/>
    <w:rsid w:val="00560791"/>
    <w:rsid w:val="005607F3"/>
    <w:rsid w:val="00560F2D"/>
    <w:rsid w:val="0056106A"/>
    <w:rsid w:val="005614C9"/>
    <w:rsid w:val="00561561"/>
    <w:rsid w:val="00561939"/>
    <w:rsid w:val="005621C7"/>
    <w:rsid w:val="005625AD"/>
    <w:rsid w:val="00562647"/>
    <w:rsid w:val="0056470B"/>
    <w:rsid w:val="00564953"/>
    <w:rsid w:val="00565282"/>
    <w:rsid w:val="00565C16"/>
    <w:rsid w:val="00565DE1"/>
    <w:rsid w:val="005661ED"/>
    <w:rsid w:val="00570533"/>
    <w:rsid w:val="00571133"/>
    <w:rsid w:val="00571481"/>
    <w:rsid w:val="00571531"/>
    <w:rsid w:val="00571C80"/>
    <w:rsid w:val="00571FF2"/>
    <w:rsid w:val="005720AE"/>
    <w:rsid w:val="005727AE"/>
    <w:rsid w:val="005741C8"/>
    <w:rsid w:val="0057529B"/>
    <w:rsid w:val="00575433"/>
    <w:rsid w:val="00576099"/>
    <w:rsid w:val="00576C02"/>
    <w:rsid w:val="00576F88"/>
    <w:rsid w:val="0058056D"/>
    <w:rsid w:val="00580D0F"/>
    <w:rsid w:val="00581726"/>
    <w:rsid w:val="00581AA0"/>
    <w:rsid w:val="00581F83"/>
    <w:rsid w:val="0058316B"/>
    <w:rsid w:val="00583E00"/>
    <w:rsid w:val="00584215"/>
    <w:rsid w:val="0058487E"/>
    <w:rsid w:val="00584E90"/>
    <w:rsid w:val="00584FE1"/>
    <w:rsid w:val="00585F99"/>
    <w:rsid w:val="00587452"/>
    <w:rsid w:val="005876DE"/>
    <w:rsid w:val="0059259D"/>
    <w:rsid w:val="00594077"/>
    <w:rsid w:val="00594133"/>
    <w:rsid w:val="00594836"/>
    <w:rsid w:val="00594D77"/>
    <w:rsid w:val="00595AB0"/>
    <w:rsid w:val="0059637E"/>
    <w:rsid w:val="005969E4"/>
    <w:rsid w:val="00596AD1"/>
    <w:rsid w:val="00597824"/>
    <w:rsid w:val="00597EBE"/>
    <w:rsid w:val="005A06B7"/>
    <w:rsid w:val="005A10D0"/>
    <w:rsid w:val="005A1759"/>
    <w:rsid w:val="005A1CD3"/>
    <w:rsid w:val="005A2631"/>
    <w:rsid w:val="005A29DA"/>
    <w:rsid w:val="005A4388"/>
    <w:rsid w:val="005A464C"/>
    <w:rsid w:val="005A60EC"/>
    <w:rsid w:val="005A68A7"/>
    <w:rsid w:val="005A7D72"/>
    <w:rsid w:val="005B0155"/>
    <w:rsid w:val="005B044B"/>
    <w:rsid w:val="005B13E8"/>
    <w:rsid w:val="005B1A2F"/>
    <w:rsid w:val="005B49D0"/>
    <w:rsid w:val="005B4CE9"/>
    <w:rsid w:val="005B4ED0"/>
    <w:rsid w:val="005B60EE"/>
    <w:rsid w:val="005B6945"/>
    <w:rsid w:val="005B79FD"/>
    <w:rsid w:val="005B7AF9"/>
    <w:rsid w:val="005C08F9"/>
    <w:rsid w:val="005C0AFD"/>
    <w:rsid w:val="005C0B98"/>
    <w:rsid w:val="005C109C"/>
    <w:rsid w:val="005C2339"/>
    <w:rsid w:val="005C23C7"/>
    <w:rsid w:val="005C3921"/>
    <w:rsid w:val="005C3E8E"/>
    <w:rsid w:val="005C4003"/>
    <w:rsid w:val="005C4D7A"/>
    <w:rsid w:val="005C533F"/>
    <w:rsid w:val="005C57E2"/>
    <w:rsid w:val="005C6EC8"/>
    <w:rsid w:val="005D0E44"/>
    <w:rsid w:val="005D124B"/>
    <w:rsid w:val="005D158D"/>
    <w:rsid w:val="005D203E"/>
    <w:rsid w:val="005D261D"/>
    <w:rsid w:val="005D2804"/>
    <w:rsid w:val="005D303C"/>
    <w:rsid w:val="005D36AB"/>
    <w:rsid w:val="005D3910"/>
    <w:rsid w:val="005D39FC"/>
    <w:rsid w:val="005D4105"/>
    <w:rsid w:val="005D53AD"/>
    <w:rsid w:val="005E06D4"/>
    <w:rsid w:val="005E1030"/>
    <w:rsid w:val="005E1389"/>
    <w:rsid w:val="005E14EA"/>
    <w:rsid w:val="005E1883"/>
    <w:rsid w:val="005E2526"/>
    <w:rsid w:val="005E254E"/>
    <w:rsid w:val="005E27A5"/>
    <w:rsid w:val="005E2BFC"/>
    <w:rsid w:val="005E3795"/>
    <w:rsid w:val="005E3BCD"/>
    <w:rsid w:val="005E487D"/>
    <w:rsid w:val="005E5A79"/>
    <w:rsid w:val="005E5CB7"/>
    <w:rsid w:val="005E624D"/>
    <w:rsid w:val="005E6A2C"/>
    <w:rsid w:val="005F00F6"/>
    <w:rsid w:val="005F0716"/>
    <w:rsid w:val="005F0977"/>
    <w:rsid w:val="005F0A1D"/>
    <w:rsid w:val="005F1083"/>
    <w:rsid w:val="005F226E"/>
    <w:rsid w:val="005F284E"/>
    <w:rsid w:val="005F3D74"/>
    <w:rsid w:val="005F3EDD"/>
    <w:rsid w:val="005F45AE"/>
    <w:rsid w:val="005F77BA"/>
    <w:rsid w:val="005F7C97"/>
    <w:rsid w:val="00600292"/>
    <w:rsid w:val="00600E13"/>
    <w:rsid w:val="00600E34"/>
    <w:rsid w:val="00601DA1"/>
    <w:rsid w:val="00603297"/>
    <w:rsid w:val="006034BD"/>
    <w:rsid w:val="00604A52"/>
    <w:rsid w:val="006056EB"/>
    <w:rsid w:val="00606062"/>
    <w:rsid w:val="0060606A"/>
    <w:rsid w:val="006063D8"/>
    <w:rsid w:val="006063EB"/>
    <w:rsid w:val="0060684E"/>
    <w:rsid w:val="00606BBF"/>
    <w:rsid w:val="00606D5E"/>
    <w:rsid w:val="00607531"/>
    <w:rsid w:val="0060774A"/>
    <w:rsid w:val="00610070"/>
    <w:rsid w:val="006104D3"/>
    <w:rsid w:val="00610702"/>
    <w:rsid w:val="00610761"/>
    <w:rsid w:val="006110B5"/>
    <w:rsid w:val="00612052"/>
    <w:rsid w:val="00612583"/>
    <w:rsid w:val="006138F5"/>
    <w:rsid w:val="00614621"/>
    <w:rsid w:val="006153D9"/>
    <w:rsid w:val="00615A22"/>
    <w:rsid w:val="0061630F"/>
    <w:rsid w:val="006166C2"/>
    <w:rsid w:val="00616D3C"/>
    <w:rsid w:val="00616D86"/>
    <w:rsid w:val="00617CC3"/>
    <w:rsid w:val="006218DB"/>
    <w:rsid w:val="00622205"/>
    <w:rsid w:val="00622694"/>
    <w:rsid w:val="006231B2"/>
    <w:rsid w:val="00623414"/>
    <w:rsid w:val="0062345C"/>
    <w:rsid w:val="006240C6"/>
    <w:rsid w:val="0062418E"/>
    <w:rsid w:val="00624375"/>
    <w:rsid w:val="00624583"/>
    <w:rsid w:val="00624B62"/>
    <w:rsid w:val="00624DCA"/>
    <w:rsid w:val="00627F3D"/>
    <w:rsid w:val="00627F59"/>
    <w:rsid w:val="00630309"/>
    <w:rsid w:val="00632029"/>
    <w:rsid w:val="0063377F"/>
    <w:rsid w:val="0063381A"/>
    <w:rsid w:val="00634083"/>
    <w:rsid w:val="00634C12"/>
    <w:rsid w:val="00634E3A"/>
    <w:rsid w:val="00636246"/>
    <w:rsid w:val="00636D34"/>
    <w:rsid w:val="00637173"/>
    <w:rsid w:val="006377A6"/>
    <w:rsid w:val="00637A3D"/>
    <w:rsid w:val="006411EF"/>
    <w:rsid w:val="006414E2"/>
    <w:rsid w:val="006427F0"/>
    <w:rsid w:val="00643D37"/>
    <w:rsid w:val="00643E29"/>
    <w:rsid w:val="0064436F"/>
    <w:rsid w:val="00644375"/>
    <w:rsid w:val="0064519D"/>
    <w:rsid w:val="00645C6C"/>
    <w:rsid w:val="006479FE"/>
    <w:rsid w:val="00647D1C"/>
    <w:rsid w:val="00650395"/>
    <w:rsid w:val="00650520"/>
    <w:rsid w:val="00650924"/>
    <w:rsid w:val="00650CB5"/>
    <w:rsid w:val="00651AAE"/>
    <w:rsid w:val="006528BF"/>
    <w:rsid w:val="006549F8"/>
    <w:rsid w:val="00655A43"/>
    <w:rsid w:val="00655C75"/>
    <w:rsid w:val="00655E2F"/>
    <w:rsid w:val="00657656"/>
    <w:rsid w:val="0066081A"/>
    <w:rsid w:val="00660FDD"/>
    <w:rsid w:val="00661525"/>
    <w:rsid w:val="00661B3B"/>
    <w:rsid w:val="00662249"/>
    <w:rsid w:val="00662365"/>
    <w:rsid w:val="006631AC"/>
    <w:rsid w:val="006652FD"/>
    <w:rsid w:val="00665614"/>
    <w:rsid w:val="006670E8"/>
    <w:rsid w:val="00667A8F"/>
    <w:rsid w:val="0067045D"/>
    <w:rsid w:val="00670D64"/>
    <w:rsid w:val="00671C76"/>
    <w:rsid w:val="00672638"/>
    <w:rsid w:val="006748B8"/>
    <w:rsid w:val="00674B67"/>
    <w:rsid w:val="00675089"/>
    <w:rsid w:val="0067544A"/>
    <w:rsid w:val="00675774"/>
    <w:rsid w:val="00675A9D"/>
    <w:rsid w:val="00676100"/>
    <w:rsid w:val="006769DF"/>
    <w:rsid w:val="00676EDE"/>
    <w:rsid w:val="006774D4"/>
    <w:rsid w:val="006775C3"/>
    <w:rsid w:val="006805EE"/>
    <w:rsid w:val="00680993"/>
    <w:rsid w:val="00681C5E"/>
    <w:rsid w:val="0068251D"/>
    <w:rsid w:val="00682A4D"/>
    <w:rsid w:val="00683A19"/>
    <w:rsid w:val="006840B6"/>
    <w:rsid w:val="00685B9B"/>
    <w:rsid w:val="00685D2D"/>
    <w:rsid w:val="00686E00"/>
    <w:rsid w:val="00687C0D"/>
    <w:rsid w:val="00690715"/>
    <w:rsid w:val="006907D3"/>
    <w:rsid w:val="00690AD4"/>
    <w:rsid w:val="00691BC7"/>
    <w:rsid w:val="00691E9C"/>
    <w:rsid w:val="00692206"/>
    <w:rsid w:val="0069290A"/>
    <w:rsid w:val="00692934"/>
    <w:rsid w:val="00693285"/>
    <w:rsid w:val="006935BD"/>
    <w:rsid w:val="00694749"/>
    <w:rsid w:val="006954FF"/>
    <w:rsid w:val="0069675F"/>
    <w:rsid w:val="00696F78"/>
    <w:rsid w:val="0069775A"/>
    <w:rsid w:val="00697813"/>
    <w:rsid w:val="006A0565"/>
    <w:rsid w:val="006A10A1"/>
    <w:rsid w:val="006A1874"/>
    <w:rsid w:val="006A19F3"/>
    <w:rsid w:val="006A2B4A"/>
    <w:rsid w:val="006A2F53"/>
    <w:rsid w:val="006A3DE4"/>
    <w:rsid w:val="006A3EE8"/>
    <w:rsid w:val="006A4B2A"/>
    <w:rsid w:val="006A53D7"/>
    <w:rsid w:val="006A5B2E"/>
    <w:rsid w:val="006A6972"/>
    <w:rsid w:val="006A72BF"/>
    <w:rsid w:val="006B03F2"/>
    <w:rsid w:val="006B1C63"/>
    <w:rsid w:val="006B1F18"/>
    <w:rsid w:val="006B2DFE"/>
    <w:rsid w:val="006B3704"/>
    <w:rsid w:val="006B37DC"/>
    <w:rsid w:val="006B39A6"/>
    <w:rsid w:val="006B4F68"/>
    <w:rsid w:val="006B50BB"/>
    <w:rsid w:val="006B5321"/>
    <w:rsid w:val="006B5F17"/>
    <w:rsid w:val="006B72BE"/>
    <w:rsid w:val="006B75C1"/>
    <w:rsid w:val="006B7CA0"/>
    <w:rsid w:val="006C0592"/>
    <w:rsid w:val="006C21CA"/>
    <w:rsid w:val="006C272E"/>
    <w:rsid w:val="006C32BD"/>
    <w:rsid w:val="006C45B0"/>
    <w:rsid w:val="006C4C53"/>
    <w:rsid w:val="006C5479"/>
    <w:rsid w:val="006D038D"/>
    <w:rsid w:val="006D13B5"/>
    <w:rsid w:val="006D2629"/>
    <w:rsid w:val="006D27B0"/>
    <w:rsid w:val="006D2A45"/>
    <w:rsid w:val="006D30D9"/>
    <w:rsid w:val="006D3404"/>
    <w:rsid w:val="006D4624"/>
    <w:rsid w:val="006D7B85"/>
    <w:rsid w:val="006E12FF"/>
    <w:rsid w:val="006E2BCE"/>
    <w:rsid w:val="006E34B6"/>
    <w:rsid w:val="006E4041"/>
    <w:rsid w:val="006E5192"/>
    <w:rsid w:val="006E5202"/>
    <w:rsid w:val="006E5A1D"/>
    <w:rsid w:val="006E5C79"/>
    <w:rsid w:val="006E607E"/>
    <w:rsid w:val="006E6A6A"/>
    <w:rsid w:val="006E7406"/>
    <w:rsid w:val="006E7CA6"/>
    <w:rsid w:val="006F0495"/>
    <w:rsid w:val="006F08A7"/>
    <w:rsid w:val="006F0CF7"/>
    <w:rsid w:val="006F2124"/>
    <w:rsid w:val="006F21F3"/>
    <w:rsid w:val="006F2DA3"/>
    <w:rsid w:val="006F2EDC"/>
    <w:rsid w:val="006F3803"/>
    <w:rsid w:val="006F4013"/>
    <w:rsid w:val="006F445B"/>
    <w:rsid w:val="006F505C"/>
    <w:rsid w:val="006F50D7"/>
    <w:rsid w:val="006F5FE6"/>
    <w:rsid w:val="006F60B9"/>
    <w:rsid w:val="006F73E1"/>
    <w:rsid w:val="006F77F3"/>
    <w:rsid w:val="00701969"/>
    <w:rsid w:val="007048C9"/>
    <w:rsid w:val="00704C4A"/>
    <w:rsid w:val="00706C5D"/>
    <w:rsid w:val="00707942"/>
    <w:rsid w:val="00707A47"/>
    <w:rsid w:val="00710683"/>
    <w:rsid w:val="00710CF9"/>
    <w:rsid w:val="00710D89"/>
    <w:rsid w:val="00711240"/>
    <w:rsid w:val="00711332"/>
    <w:rsid w:val="00711E02"/>
    <w:rsid w:val="00712F44"/>
    <w:rsid w:val="007144B9"/>
    <w:rsid w:val="00715186"/>
    <w:rsid w:val="00715DF0"/>
    <w:rsid w:val="00716C6C"/>
    <w:rsid w:val="007174EB"/>
    <w:rsid w:val="00720D67"/>
    <w:rsid w:val="00720EFC"/>
    <w:rsid w:val="00721888"/>
    <w:rsid w:val="00721CCF"/>
    <w:rsid w:val="00723201"/>
    <w:rsid w:val="007232ED"/>
    <w:rsid w:val="00723615"/>
    <w:rsid w:val="007236A0"/>
    <w:rsid w:val="00725026"/>
    <w:rsid w:val="007253A7"/>
    <w:rsid w:val="0072562A"/>
    <w:rsid w:val="007258BD"/>
    <w:rsid w:val="0072657A"/>
    <w:rsid w:val="007268DA"/>
    <w:rsid w:val="0072754E"/>
    <w:rsid w:val="007276CE"/>
    <w:rsid w:val="00730659"/>
    <w:rsid w:val="00730EC4"/>
    <w:rsid w:val="007310AC"/>
    <w:rsid w:val="00731518"/>
    <w:rsid w:val="007316D1"/>
    <w:rsid w:val="00731EF8"/>
    <w:rsid w:val="00731F58"/>
    <w:rsid w:val="00732922"/>
    <w:rsid w:val="007329B4"/>
    <w:rsid w:val="00734995"/>
    <w:rsid w:val="00735FA9"/>
    <w:rsid w:val="007364AE"/>
    <w:rsid w:val="007365DD"/>
    <w:rsid w:val="00736C40"/>
    <w:rsid w:val="00737897"/>
    <w:rsid w:val="00737AEE"/>
    <w:rsid w:val="00740134"/>
    <w:rsid w:val="007422C2"/>
    <w:rsid w:val="00743AC2"/>
    <w:rsid w:val="007440E8"/>
    <w:rsid w:val="007441B4"/>
    <w:rsid w:val="00744C44"/>
    <w:rsid w:val="00744F73"/>
    <w:rsid w:val="00745440"/>
    <w:rsid w:val="00746255"/>
    <w:rsid w:val="00746AFD"/>
    <w:rsid w:val="00746C5B"/>
    <w:rsid w:val="0074740A"/>
    <w:rsid w:val="00747CE0"/>
    <w:rsid w:val="007508EC"/>
    <w:rsid w:val="00750BCD"/>
    <w:rsid w:val="0075162E"/>
    <w:rsid w:val="00751CC1"/>
    <w:rsid w:val="00752244"/>
    <w:rsid w:val="007522CF"/>
    <w:rsid w:val="00752F56"/>
    <w:rsid w:val="00754034"/>
    <w:rsid w:val="00754949"/>
    <w:rsid w:val="00755060"/>
    <w:rsid w:val="00755E54"/>
    <w:rsid w:val="00756556"/>
    <w:rsid w:val="00757346"/>
    <w:rsid w:val="0076173F"/>
    <w:rsid w:val="007618C4"/>
    <w:rsid w:val="0076230C"/>
    <w:rsid w:val="00762D51"/>
    <w:rsid w:val="00764536"/>
    <w:rsid w:val="00764AF9"/>
    <w:rsid w:val="0076603B"/>
    <w:rsid w:val="0076663B"/>
    <w:rsid w:val="00767980"/>
    <w:rsid w:val="00767B62"/>
    <w:rsid w:val="0077023E"/>
    <w:rsid w:val="007703C8"/>
    <w:rsid w:val="00770B19"/>
    <w:rsid w:val="00770FD1"/>
    <w:rsid w:val="0077224B"/>
    <w:rsid w:val="00772420"/>
    <w:rsid w:val="007726E3"/>
    <w:rsid w:val="00772F1F"/>
    <w:rsid w:val="00773A44"/>
    <w:rsid w:val="0077463F"/>
    <w:rsid w:val="00774A8A"/>
    <w:rsid w:val="007758C5"/>
    <w:rsid w:val="00777777"/>
    <w:rsid w:val="00777A86"/>
    <w:rsid w:val="007800D9"/>
    <w:rsid w:val="00780A8E"/>
    <w:rsid w:val="00781298"/>
    <w:rsid w:val="00781407"/>
    <w:rsid w:val="007814BC"/>
    <w:rsid w:val="0078156D"/>
    <w:rsid w:val="0078236A"/>
    <w:rsid w:val="007832A6"/>
    <w:rsid w:val="007836EA"/>
    <w:rsid w:val="00784893"/>
    <w:rsid w:val="00784922"/>
    <w:rsid w:val="00784CDA"/>
    <w:rsid w:val="007859F6"/>
    <w:rsid w:val="00785F10"/>
    <w:rsid w:val="007864DC"/>
    <w:rsid w:val="00786CDC"/>
    <w:rsid w:val="00786F90"/>
    <w:rsid w:val="00790211"/>
    <w:rsid w:val="007906C4"/>
    <w:rsid w:val="00790E13"/>
    <w:rsid w:val="00790FBC"/>
    <w:rsid w:val="007926D2"/>
    <w:rsid w:val="00792AF7"/>
    <w:rsid w:val="00792F1D"/>
    <w:rsid w:val="00793122"/>
    <w:rsid w:val="00793A2D"/>
    <w:rsid w:val="00793DAC"/>
    <w:rsid w:val="007940EA"/>
    <w:rsid w:val="00794404"/>
    <w:rsid w:val="00794D6A"/>
    <w:rsid w:val="0079545B"/>
    <w:rsid w:val="007954C9"/>
    <w:rsid w:val="007967E8"/>
    <w:rsid w:val="007979E3"/>
    <w:rsid w:val="007A0E3F"/>
    <w:rsid w:val="007A1439"/>
    <w:rsid w:val="007A1EA3"/>
    <w:rsid w:val="007A2170"/>
    <w:rsid w:val="007A22BF"/>
    <w:rsid w:val="007A24BA"/>
    <w:rsid w:val="007A31DF"/>
    <w:rsid w:val="007A3323"/>
    <w:rsid w:val="007A3787"/>
    <w:rsid w:val="007A419A"/>
    <w:rsid w:val="007A44F8"/>
    <w:rsid w:val="007A4F3C"/>
    <w:rsid w:val="007A4FF2"/>
    <w:rsid w:val="007A5E0A"/>
    <w:rsid w:val="007A6290"/>
    <w:rsid w:val="007B1C2F"/>
    <w:rsid w:val="007B1FBF"/>
    <w:rsid w:val="007B2179"/>
    <w:rsid w:val="007B2D58"/>
    <w:rsid w:val="007B2F62"/>
    <w:rsid w:val="007B3BF7"/>
    <w:rsid w:val="007B3D05"/>
    <w:rsid w:val="007B4B3C"/>
    <w:rsid w:val="007B4C15"/>
    <w:rsid w:val="007B5E67"/>
    <w:rsid w:val="007B72B8"/>
    <w:rsid w:val="007B7A58"/>
    <w:rsid w:val="007C0B33"/>
    <w:rsid w:val="007C0ECD"/>
    <w:rsid w:val="007C11E8"/>
    <w:rsid w:val="007C1343"/>
    <w:rsid w:val="007C16EE"/>
    <w:rsid w:val="007C196D"/>
    <w:rsid w:val="007C1AC2"/>
    <w:rsid w:val="007C2092"/>
    <w:rsid w:val="007C21B5"/>
    <w:rsid w:val="007C3B1E"/>
    <w:rsid w:val="007C4C5D"/>
    <w:rsid w:val="007C50F7"/>
    <w:rsid w:val="007C514C"/>
    <w:rsid w:val="007C5572"/>
    <w:rsid w:val="007C5B56"/>
    <w:rsid w:val="007C7588"/>
    <w:rsid w:val="007C760F"/>
    <w:rsid w:val="007D04A2"/>
    <w:rsid w:val="007D0EA8"/>
    <w:rsid w:val="007D27C5"/>
    <w:rsid w:val="007D4402"/>
    <w:rsid w:val="007D47C0"/>
    <w:rsid w:val="007D4997"/>
    <w:rsid w:val="007D4C41"/>
    <w:rsid w:val="007D4E0B"/>
    <w:rsid w:val="007D5859"/>
    <w:rsid w:val="007D59FE"/>
    <w:rsid w:val="007D5F5F"/>
    <w:rsid w:val="007D60F7"/>
    <w:rsid w:val="007D6423"/>
    <w:rsid w:val="007D6A3B"/>
    <w:rsid w:val="007E1B05"/>
    <w:rsid w:val="007E2142"/>
    <w:rsid w:val="007E2693"/>
    <w:rsid w:val="007E32F5"/>
    <w:rsid w:val="007E3C69"/>
    <w:rsid w:val="007E4244"/>
    <w:rsid w:val="007E4B54"/>
    <w:rsid w:val="007E4BD2"/>
    <w:rsid w:val="007E5A64"/>
    <w:rsid w:val="007E7183"/>
    <w:rsid w:val="007E7F5D"/>
    <w:rsid w:val="007F06CE"/>
    <w:rsid w:val="007F0757"/>
    <w:rsid w:val="007F0A87"/>
    <w:rsid w:val="007F226F"/>
    <w:rsid w:val="007F456F"/>
    <w:rsid w:val="007F464E"/>
    <w:rsid w:val="007F47E5"/>
    <w:rsid w:val="007F47F8"/>
    <w:rsid w:val="007F4CBB"/>
    <w:rsid w:val="007F577B"/>
    <w:rsid w:val="007F7CA4"/>
    <w:rsid w:val="008000DB"/>
    <w:rsid w:val="008003E7"/>
    <w:rsid w:val="00800C6F"/>
    <w:rsid w:val="00801393"/>
    <w:rsid w:val="00801731"/>
    <w:rsid w:val="00802F88"/>
    <w:rsid w:val="0080465E"/>
    <w:rsid w:val="008059C5"/>
    <w:rsid w:val="008059C6"/>
    <w:rsid w:val="00806DC7"/>
    <w:rsid w:val="00807137"/>
    <w:rsid w:val="00807469"/>
    <w:rsid w:val="00807743"/>
    <w:rsid w:val="00807EE7"/>
    <w:rsid w:val="00810362"/>
    <w:rsid w:val="008104A9"/>
    <w:rsid w:val="00810C8F"/>
    <w:rsid w:val="0081109B"/>
    <w:rsid w:val="008113B6"/>
    <w:rsid w:val="008115F2"/>
    <w:rsid w:val="00811BB0"/>
    <w:rsid w:val="0081293E"/>
    <w:rsid w:val="00812FCE"/>
    <w:rsid w:val="008136C6"/>
    <w:rsid w:val="0081456C"/>
    <w:rsid w:val="00815465"/>
    <w:rsid w:val="008157FD"/>
    <w:rsid w:val="008166F0"/>
    <w:rsid w:val="00816ADD"/>
    <w:rsid w:val="00817E9A"/>
    <w:rsid w:val="008202E4"/>
    <w:rsid w:val="008221D0"/>
    <w:rsid w:val="008222F8"/>
    <w:rsid w:val="008257AD"/>
    <w:rsid w:val="0082600E"/>
    <w:rsid w:val="00827F3C"/>
    <w:rsid w:val="00830619"/>
    <w:rsid w:val="008306BD"/>
    <w:rsid w:val="00830976"/>
    <w:rsid w:val="00830B8A"/>
    <w:rsid w:val="00831A80"/>
    <w:rsid w:val="0083279E"/>
    <w:rsid w:val="00832E2A"/>
    <w:rsid w:val="00833309"/>
    <w:rsid w:val="00833743"/>
    <w:rsid w:val="008340A4"/>
    <w:rsid w:val="00834465"/>
    <w:rsid w:val="00834BE8"/>
    <w:rsid w:val="00835C03"/>
    <w:rsid w:val="00836955"/>
    <w:rsid w:val="00836F08"/>
    <w:rsid w:val="008370B5"/>
    <w:rsid w:val="0083749C"/>
    <w:rsid w:val="00837C19"/>
    <w:rsid w:val="00837D2A"/>
    <w:rsid w:val="00840A90"/>
    <w:rsid w:val="00841056"/>
    <w:rsid w:val="008412F3"/>
    <w:rsid w:val="0084189C"/>
    <w:rsid w:val="00841CDB"/>
    <w:rsid w:val="0084288F"/>
    <w:rsid w:val="008428D5"/>
    <w:rsid w:val="008431AC"/>
    <w:rsid w:val="0084479C"/>
    <w:rsid w:val="00845673"/>
    <w:rsid w:val="0084615D"/>
    <w:rsid w:val="008461F8"/>
    <w:rsid w:val="00846266"/>
    <w:rsid w:val="00846C8E"/>
    <w:rsid w:val="00846E50"/>
    <w:rsid w:val="0084729F"/>
    <w:rsid w:val="00850439"/>
    <w:rsid w:val="00850449"/>
    <w:rsid w:val="00850CEB"/>
    <w:rsid w:val="0085151F"/>
    <w:rsid w:val="00852336"/>
    <w:rsid w:val="00854C79"/>
    <w:rsid w:val="00854F5A"/>
    <w:rsid w:val="00855084"/>
    <w:rsid w:val="0085766B"/>
    <w:rsid w:val="00857F62"/>
    <w:rsid w:val="00860A0C"/>
    <w:rsid w:val="00860EDC"/>
    <w:rsid w:val="00861160"/>
    <w:rsid w:val="008617A2"/>
    <w:rsid w:val="00861CB6"/>
    <w:rsid w:val="00862451"/>
    <w:rsid w:val="00862896"/>
    <w:rsid w:val="00862C70"/>
    <w:rsid w:val="00862CED"/>
    <w:rsid w:val="008635AF"/>
    <w:rsid w:val="00863A32"/>
    <w:rsid w:val="00864092"/>
    <w:rsid w:val="008644E7"/>
    <w:rsid w:val="0086470F"/>
    <w:rsid w:val="0086481F"/>
    <w:rsid w:val="00864E65"/>
    <w:rsid w:val="00865046"/>
    <w:rsid w:val="00865627"/>
    <w:rsid w:val="00865AD7"/>
    <w:rsid w:val="00865FC3"/>
    <w:rsid w:val="008701E9"/>
    <w:rsid w:val="0087021E"/>
    <w:rsid w:val="0087135F"/>
    <w:rsid w:val="00871BB5"/>
    <w:rsid w:val="0087242D"/>
    <w:rsid w:val="00872A54"/>
    <w:rsid w:val="00872D94"/>
    <w:rsid w:val="0087597C"/>
    <w:rsid w:val="00876D65"/>
    <w:rsid w:val="00877B8C"/>
    <w:rsid w:val="00880105"/>
    <w:rsid w:val="00880364"/>
    <w:rsid w:val="00880701"/>
    <w:rsid w:val="0088162C"/>
    <w:rsid w:val="0088238E"/>
    <w:rsid w:val="0088274C"/>
    <w:rsid w:val="0088280F"/>
    <w:rsid w:val="00883A62"/>
    <w:rsid w:val="00884B0A"/>
    <w:rsid w:val="00886044"/>
    <w:rsid w:val="0088631E"/>
    <w:rsid w:val="0088668B"/>
    <w:rsid w:val="00886722"/>
    <w:rsid w:val="00890849"/>
    <w:rsid w:val="00890B85"/>
    <w:rsid w:val="00890BB0"/>
    <w:rsid w:val="00891592"/>
    <w:rsid w:val="00891E9E"/>
    <w:rsid w:val="008927A2"/>
    <w:rsid w:val="00892A93"/>
    <w:rsid w:val="0089304A"/>
    <w:rsid w:val="00893FE0"/>
    <w:rsid w:val="008957C8"/>
    <w:rsid w:val="00895AB2"/>
    <w:rsid w:val="008A04B4"/>
    <w:rsid w:val="008A051B"/>
    <w:rsid w:val="008A29ED"/>
    <w:rsid w:val="008A2F68"/>
    <w:rsid w:val="008A3B8D"/>
    <w:rsid w:val="008A3E19"/>
    <w:rsid w:val="008A4674"/>
    <w:rsid w:val="008A4A9D"/>
    <w:rsid w:val="008A4BAC"/>
    <w:rsid w:val="008A4CF9"/>
    <w:rsid w:val="008A54E1"/>
    <w:rsid w:val="008A5EA6"/>
    <w:rsid w:val="008A6267"/>
    <w:rsid w:val="008A6E57"/>
    <w:rsid w:val="008A7B28"/>
    <w:rsid w:val="008B0173"/>
    <w:rsid w:val="008B0271"/>
    <w:rsid w:val="008B12FC"/>
    <w:rsid w:val="008B1410"/>
    <w:rsid w:val="008B2E37"/>
    <w:rsid w:val="008B3829"/>
    <w:rsid w:val="008B491F"/>
    <w:rsid w:val="008B4ED9"/>
    <w:rsid w:val="008B4FA6"/>
    <w:rsid w:val="008B5282"/>
    <w:rsid w:val="008B53FC"/>
    <w:rsid w:val="008B598C"/>
    <w:rsid w:val="008B6638"/>
    <w:rsid w:val="008B67E5"/>
    <w:rsid w:val="008B6CD4"/>
    <w:rsid w:val="008B6DA6"/>
    <w:rsid w:val="008B744C"/>
    <w:rsid w:val="008B7C17"/>
    <w:rsid w:val="008C031C"/>
    <w:rsid w:val="008C0766"/>
    <w:rsid w:val="008C087C"/>
    <w:rsid w:val="008C1879"/>
    <w:rsid w:val="008C2D01"/>
    <w:rsid w:val="008C376B"/>
    <w:rsid w:val="008C39D9"/>
    <w:rsid w:val="008C40E6"/>
    <w:rsid w:val="008C46B7"/>
    <w:rsid w:val="008C5607"/>
    <w:rsid w:val="008C581F"/>
    <w:rsid w:val="008C6033"/>
    <w:rsid w:val="008C7592"/>
    <w:rsid w:val="008C7EC8"/>
    <w:rsid w:val="008D03DB"/>
    <w:rsid w:val="008D0666"/>
    <w:rsid w:val="008D0C00"/>
    <w:rsid w:val="008D0F7A"/>
    <w:rsid w:val="008D2590"/>
    <w:rsid w:val="008D2826"/>
    <w:rsid w:val="008D3C1C"/>
    <w:rsid w:val="008D3C5E"/>
    <w:rsid w:val="008D466B"/>
    <w:rsid w:val="008D5A45"/>
    <w:rsid w:val="008D5BC6"/>
    <w:rsid w:val="008D632C"/>
    <w:rsid w:val="008D68E4"/>
    <w:rsid w:val="008D6CFD"/>
    <w:rsid w:val="008E0506"/>
    <w:rsid w:val="008E0CFF"/>
    <w:rsid w:val="008E1828"/>
    <w:rsid w:val="008E1AA3"/>
    <w:rsid w:val="008E2332"/>
    <w:rsid w:val="008E4616"/>
    <w:rsid w:val="008E4F2F"/>
    <w:rsid w:val="008E5703"/>
    <w:rsid w:val="008E5D6B"/>
    <w:rsid w:val="008E607D"/>
    <w:rsid w:val="008E66CE"/>
    <w:rsid w:val="008E6723"/>
    <w:rsid w:val="008E76F0"/>
    <w:rsid w:val="008F0411"/>
    <w:rsid w:val="008F046B"/>
    <w:rsid w:val="008F13F9"/>
    <w:rsid w:val="008F15FE"/>
    <w:rsid w:val="008F1BB3"/>
    <w:rsid w:val="008F2D29"/>
    <w:rsid w:val="008F408B"/>
    <w:rsid w:val="008F46E0"/>
    <w:rsid w:val="008F5187"/>
    <w:rsid w:val="008F5683"/>
    <w:rsid w:val="008F60D8"/>
    <w:rsid w:val="008F6A01"/>
    <w:rsid w:val="008F7044"/>
    <w:rsid w:val="008F77F7"/>
    <w:rsid w:val="008F7C0D"/>
    <w:rsid w:val="00901045"/>
    <w:rsid w:val="00901AD5"/>
    <w:rsid w:val="00901AF4"/>
    <w:rsid w:val="00902166"/>
    <w:rsid w:val="00902465"/>
    <w:rsid w:val="00902727"/>
    <w:rsid w:val="0090312B"/>
    <w:rsid w:val="0090524F"/>
    <w:rsid w:val="00907739"/>
    <w:rsid w:val="00907F47"/>
    <w:rsid w:val="009100E6"/>
    <w:rsid w:val="00910CA8"/>
    <w:rsid w:val="00910D94"/>
    <w:rsid w:val="00911163"/>
    <w:rsid w:val="009112AF"/>
    <w:rsid w:val="0091145F"/>
    <w:rsid w:val="00911FB7"/>
    <w:rsid w:val="009122F4"/>
    <w:rsid w:val="009128E3"/>
    <w:rsid w:val="00912C7C"/>
    <w:rsid w:val="00913058"/>
    <w:rsid w:val="009138EF"/>
    <w:rsid w:val="00913E0C"/>
    <w:rsid w:val="00914C66"/>
    <w:rsid w:val="0091530C"/>
    <w:rsid w:val="009164E7"/>
    <w:rsid w:val="00916D70"/>
    <w:rsid w:val="00916F6E"/>
    <w:rsid w:val="0091736D"/>
    <w:rsid w:val="009200C4"/>
    <w:rsid w:val="00920608"/>
    <w:rsid w:val="00920CAF"/>
    <w:rsid w:val="00920F33"/>
    <w:rsid w:val="0092120D"/>
    <w:rsid w:val="009217ED"/>
    <w:rsid w:val="009219C7"/>
    <w:rsid w:val="00922B2D"/>
    <w:rsid w:val="00924F16"/>
    <w:rsid w:val="009259FA"/>
    <w:rsid w:val="00925DF6"/>
    <w:rsid w:val="00926591"/>
    <w:rsid w:val="00926B3D"/>
    <w:rsid w:val="00926B9F"/>
    <w:rsid w:val="009273A1"/>
    <w:rsid w:val="0092789A"/>
    <w:rsid w:val="0093007A"/>
    <w:rsid w:val="0093037A"/>
    <w:rsid w:val="009305E0"/>
    <w:rsid w:val="00932614"/>
    <w:rsid w:val="00933200"/>
    <w:rsid w:val="009332E4"/>
    <w:rsid w:val="00933527"/>
    <w:rsid w:val="00933DDD"/>
    <w:rsid w:val="00935013"/>
    <w:rsid w:val="00936105"/>
    <w:rsid w:val="00936C47"/>
    <w:rsid w:val="00936E4A"/>
    <w:rsid w:val="00936FA4"/>
    <w:rsid w:val="009376A8"/>
    <w:rsid w:val="00937E10"/>
    <w:rsid w:val="00940137"/>
    <w:rsid w:val="00940356"/>
    <w:rsid w:val="0094090E"/>
    <w:rsid w:val="0094154D"/>
    <w:rsid w:val="009415E7"/>
    <w:rsid w:val="00941E50"/>
    <w:rsid w:val="00942588"/>
    <w:rsid w:val="00942595"/>
    <w:rsid w:val="0094277A"/>
    <w:rsid w:val="00943D51"/>
    <w:rsid w:val="00944253"/>
    <w:rsid w:val="009444E8"/>
    <w:rsid w:val="009457CB"/>
    <w:rsid w:val="00947A41"/>
    <w:rsid w:val="009510B5"/>
    <w:rsid w:val="009512F9"/>
    <w:rsid w:val="0095155F"/>
    <w:rsid w:val="00951B50"/>
    <w:rsid w:val="00951E36"/>
    <w:rsid w:val="00952918"/>
    <w:rsid w:val="009533BC"/>
    <w:rsid w:val="00953452"/>
    <w:rsid w:val="00953951"/>
    <w:rsid w:val="00954429"/>
    <w:rsid w:val="009548E3"/>
    <w:rsid w:val="009555D6"/>
    <w:rsid w:val="009563C4"/>
    <w:rsid w:val="009563CE"/>
    <w:rsid w:val="0095677E"/>
    <w:rsid w:val="009578B0"/>
    <w:rsid w:val="00957FBD"/>
    <w:rsid w:val="00960077"/>
    <w:rsid w:val="00960207"/>
    <w:rsid w:val="00960A66"/>
    <w:rsid w:val="00960E61"/>
    <w:rsid w:val="0096159D"/>
    <w:rsid w:val="009617A1"/>
    <w:rsid w:val="00962BA4"/>
    <w:rsid w:val="00962DF6"/>
    <w:rsid w:val="00963801"/>
    <w:rsid w:val="00963930"/>
    <w:rsid w:val="00963E3F"/>
    <w:rsid w:val="00965377"/>
    <w:rsid w:val="0096580C"/>
    <w:rsid w:val="009666DD"/>
    <w:rsid w:val="00966B06"/>
    <w:rsid w:val="00966DC0"/>
    <w:rsid w:val="00967281"/>
    <w:rsid w:val="0096775F"/>
    <w:rsid w:val="009677FE"/>
    <w:rsid w:val="00967D01"/>
    <w:rsid w:val="00967FFE"/>
    <w:rsid w:val="009702A1"/>
    <w:rsid w:val="00970A38"/>
    <w:rsid w:val="00970BE0"/>
    <w:rsid w:val="009711FC"/>
    <w:rsid w:val="0097149E"/>
    <w:rsid w:val="00971537"/>
    <w:rsid w:val="009715A6"/>
    <w:rsid w:val="00971EF4"/>
    <w:rsid w:val="009722C1"/>
    <w:rsid w:val="0097348D"/>
    <w:rsid w:val="00973F33"/>
    <w:rsid w:val="0097466C"/>
    <w:rsid w:val="00974885"/>
    <w:rsid w:val="00975C15"/>
    <w:rsid w:val="0097621C"/>
    <w:rsid w:val="00976328"/>
    <w:rsid w:val="0097680D"/>
    <w:rsid w:val="009805BA"/>
    <w:rsid w:val="00980973"/>
    <w:rsid w:val="00980E2C"/>
    <w:rsid w:val="00981882"/>
    <w:rsid w:val="00982438"/>
    <w:rsid w:val="00983019"/>
    <w:rsid w:val="00983D5B"/>
    <w:rsid w:val="00983E2C"/>
    <w:rsid w:val="00983F30"/>
    <w:rsid w:val="0098404C"/>
    <w:rsid w:val="00984131"/>
    <w:rsid w:val="0098485D"/>
    <w:rsid w:val="00984970"/>
    <w:rsid w:val="00985283"/>
    <w:rsid w:val="00985CE7"/>
    <w:rsid w:val="009867F4"/>
    <w:rsid w:val="009868D8"/>
    <w:rsid w:val="0098697B"/>
    <w:rsid w:val="00986AC8"/>
    <w:rsid w:val="00986F26"/>
    <w:rsid w:val="00987358"/>
    <w:rsid w:val="00987444"/>
    <w:rsid w:val="0098744B"/>
    <w:rsid w:val="00987BB8"/>
    <w:rsid w:val="00990FC1"/>
    <w:rsid w:val="00991721"/>
    <w:rsid w:val="00991D99"/>
    <w:rsid w:val="00992C4F"/>
    <w:rsid w:val="00993151"/>
    <w:rsid w:val="00994FC2"/>
    <w:rsid w:val="0099513F"/>
    <w:rsid w:val="00995992"/>
    <w:rsid w:val="00997366"/>
    <w:rsid w:val="00997DE5"/>
    <w:rsid w:val="009A03E5"/>
    <w:rsid w:val="009A0F3B"/>
    <w:rsid w:val="009A18BB"/>
    <w:rsid w:val="009A1BB4"/>
    <w:rsid w:val="009A2628"/>
    <w:rsid w:val="009A3200"/>
    <w:rsid w:val="009A3700"/>
    <w:rsid w:val="009A3863"/>
    <w:rsid w:val="009A3900"/>
    <w:rsid w:val="009A4A00"/>
    <w:rsid w:val="009A4C80"/>
    <w:rsid w:val="009A585B"/>
    <w:rsid w:val="009A73C3"/>
    <w:rsid w:val="009A768B"/>
    <w:rsid w:val="009A775C"/>
    <w:rsid w:val="009A7C0B"/>
    <w:rsid w:val="009B0897"/>
    <w:rsid w:val="009B0E20"/>
    <w:rsid w:val="009B1AB4"/>
    <w:rsid w:val="009B2962"/>
    <w:rsid w:val="009B2AAD"/>
    <w:rsid w:val="009B3692"/>
    <w:rsid w:val="009B3D64"/>
    <w:rsid w:val="009B409F"/>
    <w:rsid w:val="009B423E"/>
    <w:rsid w:val="009B4248"/>
    <w:rsid w:val="009B48F6"/>
    <w:rsid w:val="009B50E8"/>
    <w:rsid w:val="009B5E0A"/>
    <w:rsid w:val="009B7BD9"/>
    <w:rsid w:val="009B7D4E"/>
    <w:rsid w:val="009C02C9"/>
    <w:rsid w:val="009C0883"/>
    <w:rsid w:val="009C0FC5"/>
    <w:rsid w:val="009C15F0"/>
    <w:rsid w:val="009C27C9"/>
    <w:rsid w:val="009C2F69"/>
    <w:rsid w:val="009C3107"/>
    <w:rsid w:val="009C3452"/>
    <w:rsid w:val="009C3666"/>
    <w:rsid w:val="009C3953"/>
    <w:rsid w:val="009C4273"/>
    <w:rsid w:val="009C562C"/>
    <w:rsid w:val="009C5784"/>
    <w:rsid w:val="009C5C6C"/>
    <w:rsid w:val="009C6AC1"/>
    <w:rsid w:val="009C7A92"/>
    <w:rsid w:val="009C7D7C"/>
    <w:rsid w:val="009C7DD5"/>
    <w:rsid w:val="009D09F1"/>
    <w:rsid w:val="009D0E74"/>
    <w:rsid w:val="009D1C80"/>
    <w:rsid w:val="009D1E67"/>
    <w:rsid w:val="009D27C4"/>
    <w:rsid w:val="009D362E"/>
    <w:rsid w:val="009D3E35"/>
    <w:rsid w:val="009D4944"/>
    <w:rsid w:val="009D7D90"/>
    <w:rsid w:val="009E095F"/>
    <w:rsid w:val="009E0DCC"/>
    <w:rsid w:val="009E1F3C"/>
    <w:rsid w:val="009E1F5B"/>
    <w:rsid w:val="009E223A"/>
    <w:rsid w:val="009E227D"/>
    <w:rsid w:val="009E260F"/>
    <w:rsid w:val="009E2D51"/>
    <w:rsid w:val="009E2E40"/>
    <w:rsid w:val="009E3DEE"/>
    <w:rsid w:val="009E4FB9"/>
    <w:rsid w:val="009E5019"/>
    <w:rsid w:val="009E56A6"/>
    <w:rsid w:val="009E606D"/>
    <w:rsid w:val="009F06FC"/>
    <w:rsid w:val="009F0B3C"/>
    <w:rsid w:val="009F18F7"/>
    <w:rsid w:val="009F1BA8"/>
    <w:rsid w:val="009F2406"/>
    <w:rsid w:val="009F25A8"/>
    <w:rsid w:val="009F39A9"/>
    <w:rsid w:val="009F3DD3"/>
    <w:rsid w:val="009F4826"/>
    <w:rsid w:val="009F4DA4"/>
    <w:rsid w:val="009F600D"/>
    <w:rsid w:val="009F6440"/>
    <w:rsid w:val="009F65C1"/>
    <w:rsid w:val="009F7B61"/>
    <w:rsid w:val="009F7DC7"/>
    <w:rsid w:val="00A01335"/>
    <w:rsid w:val="00A0139D"/>
    <w:rsid w:val="00A01937"/>
    <w:rsid w:val="00A01A24"/>
    <w:rsid w:val="00A02017"/>
    <w:rsid w:val="00A0262F"/>
    <w:rsid w:val="00A027F5"/>
    <w:rsid w:val="00A02D49"/>
    <w:rsid w:val="00A02FB5"/>
    <w:rsid w:val="00A04998"/>
    <w:rsid w:val="00A04C66"/>
    <w:rsid w:val="00A04E91"/>
    <w:rsid w:val="00A04F1B"/>
    <w:rsid w:val="00A0501B"/>
    <w:rsid w:val="00A05797"/>
    <w:rsid w:val="00A060BC"/>
    <w:rsid w:val="00A06B55"/>
    <w:rsid w:val="00A07C1A"/>
    <w:rsid w:val="00A1038D"/>
    <w:rsid w:val="00A10CB4"/>
    <w:rsid w:val="00A11F08"/>
    <w:rsid w:val="00A12808"/>
    <w:rsid w:val="00A1355D"/>
    <w:rsid w:val="00A14049"/>
    <w:rsid w:val="00A14947"/>
    <w:rsid w:val="00A15022"/>
    <w:rsid w:val="00A16625"/>
    <w:rsid w:val="00A16C53"/>
    <w:rsid w:val="00A16C77"/>
    <w:rsid w:val="00A1706B"/>
    <w:rsid w:val="00A17799"/>
    <w:rsid w:val="00A178C1"/>
    <w:rsid w:val="00A17F26"/>
    <w:rsid w:val="00A2035A"/>
    <w:rsid w:val="00A20598"/>
    <w:rsid w:val="00A20C3A"/>
    <w:rsid w:val="00A21CF5"/>
    <w:rsid w:val="00A23B97"/>
    <w:rsid w:val="00A250DE"/>
    <w:rsid w:val="00A255FB"/>
    <w:rsid w:val="00A25842"/>
    <w:rsid w:val="00A25BF8"/>
    <w:rsid w:val="00A26101"/>
    <w:rsid w:val="00A26423"/>
    <w:rsid w:val="00A26AC7"/>
    <w:rsid w:val="00A26D56"/>
    <w:rsid w:val="00A26D81"/>
    <w:rsid w:val="00A2742E"/>
    <w:rsid w:val="00A27441"/>
    <w:rsid w:val="00A304AB"/>
    <w:rsid w:val="00A30AEE"/>
    <w:rsid w:val="00A31E30"/>
    <w:rsid w:val="00A32A83"/>
    <w:rsid w:val="00A34E10"/>
    <w:rsid w:val="00A35006"/>
    <w:rsid w:val="00A35EC5"/>
    <w:rsid w:val="00A361E0"/>
    <w:rsid w:val="00A368DB"/>
    <w:rsid w:val="00A36AB3"/>
    <w:rsid w:val="00A37235"/>
    <w:rsid w:val="00A40142"/>
    <w:rsid w:val="00A4072C"/>
    <w:rsid w:val="00A40738"/>
    <w:rsid w:val="00A411DD"/>
    <w:rsid w:val="00A4229E"/>
    <w:rsid w:val="00A423AA"/>
    <w:rsid w:val="00A446CB"/>
    <w:rsid w:val="00A46F64"/>
    <w:rsid w:val="00A479CC"/>
    <w:rsid w:val="00A50450"/>
    <w:rsid w:val="00A509C5"/>
    <w:rsid w:val="00A51EA0"/>
    <w:rsid w:val="00A53D16"/>
    <w:rsid w:val="00A53EC6"/>
    <w:rsid w:val="00A5433E"/>
    <w:rsid w:val="00A55792"/>
    <w:rsid w:val="00A55C0F"/>
    <w:rsid w:val="00A56380"/>
    <w:rsid w:val="00A56539"/>
    <w:rsid w:val="00A56B27"/>
    <w:rsid w:val="00A579BA"/>
    <w:rsid w:val="00A57C8C"/>
    <w:rsid w:val="00A61948"/>
    <w:rsid w:val="00A620D3"/>
    <w:rsid w:val="00A64F71"/>
    <w:rsid w:val="00A6542A"/>
    <w:rsid w:val="00A67276"/>
    <w:rsid w:val="00A672A6"/>
    <w:rsid w:val="00A67D87"/>
    <w:rsid w:val="00A70069"/>
    <w:rsid w:val="00A7073C"/>
    <w:rsid w:val="00A708FB"/>
    <w:rsid w:val="00A70E43"/>
    <w:rsid w:val="00A7155E"/>
    <w:rsid w:val="00A72505"/>
    <w:rsid w:val="00A72CDA"/>
    <w:rsid w:val="00A73F03"/>
    <w:rsid w:val="00A7613A"/>
    <w:rsid w:val="00A76503"/>
    <w:rsid w:val="00A76BEC"/>
    <w:rsid w:val="00A774C3"/>
    <w:rsid w:val="00A7752D"/>
    <w:rsid w:val="00A8004D"/>
    <w:rsid w:val="00A805CD"/>
    <w:rsid w:val="00A825D5"/>
    <w:rsid w:val="00A82C64"/>
    <w:rsid w:val="00A83A1F"/>
    <w:rsid w:val="00A849F8"/>
    <w:rsid w:val="00A84C58"/>
    <w:rsid w:val="00A85CF5"/>
    <w:rsid w:val="00A861F8"/>
    <w:rsid w:val="00A8698E"/>
    <w:rsid w:val="00A86A3E"/>
    <w:rsid w:val="00A8713F"/>
    <w:rsid w:val="00A90BA1"/>
    <w:rsid w:val="00A90D65"/>
    <w:rsid w:val="00A90F86"/>
    <w:rsid w:val="00A94706"/>
    <w:rsid w:val="00A94C85"/>
    <w:rsid w:val="00A9569D"/>
    <w:rsid w:val="00A9573F"/>
    <w:rsid w:val="00A972EC"/>
    <w:rsid w:val="00A9787F"/>
    <w:rsid w:val="00A97A9A"/>
    <w:rsid w:val="00AA0671"/>
    <w:rsid w:val="00AA0837"/>
    <w:rsid w:val="00AA1E8E"/>
    <w:rsid w:val="00AA216F"/>
    <w:rsid w:val="00AA2531"/>
    <w:rsid w:val="00AA348C"/>
    <w:rsid w:val="00AA3996"/>
    <w:rsid w:val="00AA47DE"/>
    <w:rsid w:val="00AA53D0"/>
    <w:rsid w:val="00AA5A6A"/>
    <w:rsid w:val="00AA5F4A"/>
    <w:rsid w:val="00AA7052"/>
    <w:rsid w:val="00AA75B7"/>
    <w:rsid w:val="00AA79E0"/>
    <w:rsid w:val="00AB04C7"/>
    <w:rsid w:val="00AB0549"/>
    <w:rsid w:val="00AB1E09"/>
    <w:rsid w:val="00AB3B1D"/>
    <w:rsid w:val="00AB4375"/>
    <w:rsid w:val="00AB446F"/>
    <w:rsid w:val="00AB4F78"/>
    <w:rsid w:val="00AB5330"/>
    <w:rsid w:val="00AB5487"/>
    <w:rsid w:val="00AB70C0"/>
    <w:rsid w:val="00AB71C6"/>
    <w:rsid w:val="00AB73B9"/>
    <w:rsid w:val="00AB7747"/>
    <w:rsid w:val="00AB787E"/>
    <w:rsid w:val="00AB79DD"/>
    <w:rsid w:val="00AC00AB"/>
    <w:rsid w:val="00AC14CE"/>
    <w:rsid w:val="00AC29E1"/>
    <w:rsid w:val="00AC2A56"/>
    <w:rsid w:val="00AC2D78"/>
    <w:rsid w:val="00AC407C"/>
    <w:rsid w:val="00AC4A08"/>
    <w:rsid w:val="00AC4AED"/>
    <w:rsid w:val="00AC614D"/>
    <w:rsid w:val="00AC6941"/>
    <w:rsid w:val="00AC6C1A"/>
    <w:rsid w:val="00AC72B6"/>
    <w:rsid w:val="00AC7397"/>
    <w:rsid w:val="00AC741C"/>
    <w:rsid w:val="00AC7902"/>
    <w:rsid w:val="00AD055E"/>
    <w:rsid w:val="00AD2274"/>
    <w:rsid w:val="00AD2AD6"/>
    <w:rsid w:val="00AD2EB0"/>
    <w:rsid w:val="00AD36E6"/>
    <w:rsid w:val="00AD3C26"/>
    <w:rsid w:val="00AD3E5E"/>
    <w:rsid w:val="00AD3F50"/>
    <w:rsid w:val="00AD4691"/>
    <w:rsid w:val="00AD47A7"/>
    <w:rsid w:val="00AD48CC"/>
    <w:rsid w:val="00AD52AE"/>
    <w:rsid w:val="00AD7BC7"/>
    <w:rsid w:val="00AE0158"/>
    <w:rsid w:val="00AE0541"/>
    <w:rsid w:val="00AE1672"/>
    <w:rsid w:val="00AE1CA5"/>
    <w:rsid w:val="00AE29E1"/>
    <w:rsid w:val="00AE4274"/>
    <w:rsid w:val="00AE54E7"/>
    <w:rsid w:val="00AF01CC"/>
    <w:rsid w:val="00AF0CBF"/>
    <w:rsid w:val="00AF1C09"/>
    <w:rsid w:val="00AF257F"/>
    <w:rsid w:val="00AF26E9"/>
    <w:rsid w:val="00AF31F4"/>
    <w:rsid w:val="00AF33CF"/>
    <w:rsid w:val="00AF4D50"/>
    <w:rsid w:val="00AF5167"/>
    <w:rsid w:val="00AF6179"/>
    <w:rsid w:val="00AF61E5"/>
    <w:rsid w:val="00AF64A1"/>
    <w:rsid w:val="00AF66B6"/>
    <w:rsid w:val="00AF6B3F"/>
    <w:rsid w:val="00AF799E"/>
    <w:rsid w:val="00AF7A84"/>
    <w:rsid w:val="00B004DD"/>
    <w:rsid w:val="00B00A0B"/>
    <w:rsid w:val="00B00B89"/>
    <w:rsid w:val="00B01522"/>
    <w:rsid w:val="00B016A9"/>
    <w:rsid w:val="00B02E51"/>
    <w:rsid w:val="00B0300E"/>
    <w:rsid w:val="00B044BC"/>
    <w:rsid w:val="00B057AA"/>
    <w:rsid w:val="00B06082"/>
    <w:rsid w:val="00B068EE"/>
    <w:rsid w:val="00B06942"/>
    <w:rsid w:val="00B071F8"/>
    <w:rsid w:val="00B07449"/>
    <w:rsid w:val="00B07C88"/>
    <w:rsid w:val="00B11545"/>
    <w:rsid w:val="00B11AD7"/>
    <w:rsid w:val="00B1248A"/>
    <w:rsid w:val="00B1295A"/>
    <w:rsid w:val="00B1316F"/>
    <w:rsid w:val="00B140B0"/>
    <w:rsid w:val="00B14355"/>
    <w:rsid w:val="00B145EC"/>
    <w:rsid w:val="00B1548D"/>
    <w:rsid w:val="00B17932"/>
    <w:rsid w:val="00B17D5D"/>
    <w:rsid w:val="00B20A45"/>
    <w:rsid w:val="00B21E24"/>
    <w:rsid w:val="00B21F00"/>
    <w:rsid w:val="00B222AA"/>
    <w:rsid w:val="00B224AF"/>
    <w:rsid w:val="00B22C5C"/>
    <w:rsid w:val="00B232F3"/>
    <w:rsid w:val="00B235A9"/>
    <w:rsid w:val="00B24E50"/>
    <w:rsid w:val="00B24F30"/>
    <w:rsid w:val="00B2508A"/>
    <w:rsid w:val="00B2510C"/>
    <w:rsid w:val="00B251C3"/>
    <w:rsid w:val="00B300CB"/>
    <w:rsid w:val="00B3041D"/>
    <w:rsid w:val="00B30B24"/>
    <w:rsid w:val="00B30C4A"/>
    <w:rsid w:val="00B30C91"/>
    <w:rsid w:val="00B30E22"/>
    <w:rsid w:val="00B31ABF"/>
    <w:rsid w:val="00B31F3A"/>
    <w:rsid w:val="00B32937"/>
    <w:rsid w:val="00B33BE3"/>
    <w:rsid w:val="00B35913"/>
    <w:rsid w:val="00B3591C"/>
    <w:rsid w:val="00B35BA5"/>
    <w:rsid w:val="00B374C9"/>
    <w:rsid w:val="00B40432"/>
    <w:rsid w:val="00B408BC"/>
    <w:rsid w:val="00B40CF2"/>
    <w:rsid w:val="00B411E4"/>
    <w:rsid w:val="00B414EB"/>
    <w:rsid w:val="00B430C6"/>
    <w:rsid w:val="00B435EB"/>
    <w:rsid w:val="00B44278"/>
    <w:rsid w:val="00B4774E"/>
    <w:rsid w:val="00B478CE"/>
    <w:rsid w:val="00B505DD"/>
    <w:rsid w:val="00B52071"/>
    <w:rsid w:val="00B52869"/>
    <w:rsid w:val="00B538AC"/>
    <w:rsid w:val="00B53A97"/>
    <w:rsid w:val="00B53B5D"/>
    <w:rsid w:val="00B53D27"/>
    <w:rsid w:val="00B56307"/>
    <w:rsid w:val="00B57260"/>
    <w:rsid w:val="00B57BC3"/>
    <w:rsid w:val="00B6055E"/>
    <w:rsid w:val="00B60EF7"/>
    <w:rsid w:val="00B60FEC"/>
    <w:rsid w:val="00B61005"/>
    <w:rsid w:val="00B6111D"/>
    <w:rsid w:val="00B6183D"/>
    <w:rsid w:val="00B621E9"/>
    <w:rsid w:val="00B62FDB"/>
    <w:rsid w:val="00B6317D"/>
    <w:rsid w:val="00B635BD"/>
    <w:rsid w:val="00B64805"/>
    <w:rsid w:val="00B64B27"/>
    <w:rsid w:val="00B66BCE"/>
    <w:rsid w:val="00B67973"/>
    <w:rsid w:val="00B67AC4"/>
    <w:rsid w:val="00B7019F"/>
    <w:rsid w:val="00B70937"/>
    <w:rsid w:val="00B72F64"/>
    <w:rsid w:val="00B7305A"/>
    <w:rsid w:val="00B73B59"/>
    <w:rsid w:val="00B73B87"/>
    <w:rsid w:val="00B73C11"/>
    <w:rsid w:val="00B74EA4"/>
    <w:rsid w:val="00B75B68"/>
    <w:rsid w:val="00B7723F"/>
    <w:rsid w:val="00B77548"/>
    <w:rsid w:val="00B779C4"/>
    <w:rsid w:val="00B80003"/>
    <w:rsid w:val="00B80534"/>
    <w:rsid w:val="00B83CC5"/>
    <w:rsid w:val="00B8433C"/>
    <w:rsid w:val="00B86290"/>
    <w:rsid w:val="00B86416"/>
    <w:rsid w:val="00B86C55"/>
    <w:rsid w:val="00B87491"/>
    <w:rsid w:val="00B87914"/>
    <w:rsid w:val="00B90F80"/>
    <w:rsid w:val="00B91783"/>
    <w:rsid w:val="00B91BBE"/>
    <w:rsid w:val="00B91DE4"/>
    <w:rsid w:val="00B93249"/>
    <w:rsid w:val="00B935EC"/>
    <w:rsid w:val="00B936DA"/>
    <w:rsid w:val="00B93CB2"/>
    <w:rsid w:val="00B942E6"/>
    <w:rsid w:val="00B94411"/>
    <w:rsid w:val="00B944B6"/>
    <w:rsid w:val="00B9458C"/>
    <w:rsid w:val="00B95415"/>
    <w:rsid w:val="00B96429"/>
    <w:rsid w:val="00B966A8"/>
    <w:rsid w:val="00B96ED5"/>
    <w:rsid w:val="00B96FD9"/>
    <w:rsid w:val="00BA0162"/>
    <w:rsid w:val="00BA0C82"/>
    <w:rsid w:val="00BA122F"/>
    <w:rsid w:val="00BA17A3"/>
    <w:rsid w:val="00BA2850"/>
    <w:rsid w:val="00BA29E9"/>
    <w:rsid w:val="00BA4290"/>
    <w:rsid w:val="00BA444A"/>
    <w:rsid w:val="00BA46EF"/>
    <w:rsid w:val="00BA4D04"/>
    <w:rsid w:val="00BA5335"/>
    <w:rsid w:val="00BA7142"/>
    <w:rsid w:val="00BA7651"/>
    <w:rsid w:val="00BA78DA"/>
    <w:rsid w:val="00BB17C0"/>
    <w:rsid w:val="00BB1C0F"/>
    <w:rsid w:val="00BB1CD7"/>
    <w:rsid w:val="00BB1E5E"/>
    <w:rsid w:val="00BB2327"/>
    <w:rsid w:val="00BB237C"/>
    <w:rsid w:val="00BB26A4"/>
    <w:rsid w:val="00BB3498"/>
    <w:rsid w:val="00BB3C2C"/>
    <w:rsid w:val="00BB3E4D"/>
    <w:rsid w:val="00BB41A3"/>
    <w:rsid w:val="00BB4460"/>
    <w:rsid w:val="00BB477D"/>
    <w:rsid w:val="00BB67B8"/>
    <w:rsid w:val="00BC031C"/>
    <w:rsid w:val="00BC062A"/>
    <w:rsid w:val="00BC0C85"/>
    <w:rsid w:val="00BC0F60"/>
    <w:rsid w:val="00BC32DC"/>
    <w:rsid w:val="00BC35B6"/>
    <w:rsid w:val="00BC35B8"/>
    <w:rsid w:val="00BC4623"/>
    <w:rsid w:val="00BC480A"/>
    <w:rsid w:val="00BC4AF6"/>
    <w:rsid w:val="00BC4FAE"/>
    <w:rsid w:val="00BC5022"/>
    <w:rsid w:val="00BC63F6"/>
    <w:rsid w:val="00BC6772"/>
    <w:rsid w:val="00BC70B2"/>
    <w:rsid w:val="00BD0695"/>
    <w:rsid w:val="00BD093F"/>
    <w:rsid w:val="00BD167E"/>
    <w:rsid w:val="00BD1B51"/>
    <w:rsid w:val="00BD235D"/>
    <w:rsid w:val="00BD23BE"/>
    <w:rsid w:val="00BD4596"/>
    <w:rsid w:val="00BD504F"/>
    <w:rsid w:val="00BD52AE"/>
    <w:rsid w:val="00BD5370"/>
    <w:rsid w:val="00BD5EFF"/>
    <w:rsid w:val="00BD6459"/>
    <w:rsid w:val="00BD66E2"/>
    <w:rsid w:val="00BD6F3B"/>
    <w:rsid w:val="00BE0411"/>
    <w:rsid w:val="00BE0B2A"/>
    <w:rsid w:val="00BE0D02"/>
    <w:rsid w:val="00BE1405"/>
    <w:rsid w:val="00BE312D"/>
    <w:rsid w:val="00BE5245"/>
    <w:rsid w:val="00BE590E"/>
    <w:rsid w:val="00BE6136"/>
    <w:rsid w:val="00BE657E"/>
    <w:rsid w:val="00BE659C"/>
    <w:rsid w:val="00BE67BC"/>
    <w:rsid w:val="00BE6A9B"/>
    <w:rsid w:val="00BE73EB"/>
    <w:rsid w:val="00BE7548"/>
    <w:rsid w:val="00BF08D6"/>
    <w:rsid w:val="00BF0963"/>
    <w:rsid w:val="00BF18DE"/>
    <w:rsid w:val="00BF1C20"/>
    <w:rsid w:val="00BF2FCE"/>
    <w:rsid w:val="00BF30E1"/>
    <w:rsid w:val="00BF3289"/>
    <w:rsid w:val="00BF3531"/>
    <w:rsid w:val="00BF3D48"/>
    <w:rsid w:val="00BF3E23"/>
    <w:rsid w:val="00BF4A1E"/>
    <w:rsid w:val="00BF53E1"/>
    <w:rsid w:val="00BF66CD"/>
    <w:rsid w:val="00C013CA"/>
    <w:rsid w:val="00C0146C"/>
    <w:rsid w:val="00C025F6"/>
    <w:rsid w:val="00C027CA"/>
    <w:rsid w:val="00C04390"/>
    <w:rsid w:val="00C046B4"/>
    <w:rsid w:val="00C04772"/>
    <w:rsid w:val="00C051B6"/>
    <w:rsid w:val="00C0562D"/>
    <w:rsid w:val="00C05CBF"/>
    <w:rsid w:val="00C06059"/>
    <w:rsid w:val="00C066B6"/>
    <w:rsid w:val="00C0698D"/>
    <w:rsid w:val="00C077FA"/>
    <w:rsid w:val="00C102E6"/>
    <w:rsid w:val="00C10578"/>
    <w:rsid w:val="00C10719"/>
    <w:rsid w:val="00C1115A"/>
    <w:rsid w:val="00C114E4"/>
    <w:rsid w:val="00C11A94"/>
    <w:rsid w:val="00C11ADD"/>
    <w:rsid w:val="00C11EFF"/>
    <w:rsid w:val="00C124E1"/>
    <w:rsid w:val="00C12526"/>
    <w:rsid w:val="00C12836"/>
    <w:rsid w:val="00C1323C"/>
    <w:rsid w:val="00C1329C"/>
    <w:rsid w:val="00C132A6"/>
    <w:rsid w:val="00C135BC"/>
    <w:rsid w:val="00C147C9"/>
    <w:rsid w:val="00C14AAC"/>
    <w:rsid w:val="00C15123"/>
    <w:rsid w:val="00C152B5"/>
    <w:rsid w:val="00C15BDF"/>
    <w:rsid w:val="00C15C95"/>
    <w:rsid w:val="00C1657B"/>
    <w:rsid w:val="00C169F1"/>
    <w:rsid w:val="00C173AE"/>
    <w:rsid w:val="00C2045F"/>
    <w:rsid w:val="00C21853"/>
    <w:rsid w:val="00C22BC8"/>
    <w:rsid w:val="00C22C8D"/>
    <w:rsid w:val="00C22CFF"/>
    <w:rsid w:val="00C23ED8"/>
    <w:rsid w:val="00C2402B"/>
    <w:rsid w:val="00C24F7A"/>
    <w:rsid w:val="00C2596A"/>
    <w:rsid w:val="00C25E69"/>
    <w:rsid w:val="00C26EDA"/>
    <w:rsid w:val="00C27537"/>
    <w:rsid w:val="00C27720"/>
    <w:rsid w:val="00C27BE5"/>
    <w:rsid w:val="00C27CD5"/>
    <w:rsid w:val="00C313E6"/>
    <w:rsid w:val="00C31451"/>
    <w:rsid w:val="00C32530"/>
    <w:rsid w:val="00C328FE"/>
    <w:rsid w:val="00C33141"/>
    <w:rsid w:val="00C33507"/>
    <w:rsid w:val="00C3363B"/>
    <w:rsid w:val="00C3389D"/>
    <w:rsid w:val="00C33D81"/>
    <w:rsid w:val="00C33E07"/>
    <w:rsid w:val="00C34151"/>
    <w:rsid w:val="00C3421B"/>
    <w:rsid w:val="00C34D9C"/>
    <w:rsid w:val="00C36A8E"/>
    <w:rsid w:val="00C3747C"/>
    <w:rsid w:val="00C37C4C"/>
    <w:rsid w:val="00C40C9B"/>
    <w:rsid w:val="00C41077"/>
    <w:rsid w:val="00C4145F"/>
    <w:rsid w:val="00C417C3"/>
    <w:rsid w:val="00C41F00"/>
    <w:rsid w:val="00C42ED4"/>
    <w:rsid w:val="00C4409D"/>
    <w:rsid w:val="00C44E72"/>
    <w:rsid w:val="00C451F5"/>
    <w:rsid w:val="00C4567C"/>
    <w:rsid w:val="00C45A06"/>
    <w:rsid w:val="00C45A61"/>
    <w:rsid w:val="00C4685E"/>
    <w:rsid w:val="00C46FFB"/>
    <w:rsid w:val="00C4707D"/>
    <w:rsid w:val="00C47E5B"/>
    <w:rsid w:val="00C503C7"/>
    <w:rsid w:val="00C50AAF"/>
    <w:rsid w:val="00C52E35"/>
    <w:rsid w:val="00C52F27"/>
    <w:rsid w:val="00C52FF2"/>
    <w:rsid w:val="00C53ADD"/>
    <w:rsid w:val="00C5481A"/>
    <w:rsid w:val="00C54A19"/>
    <w:rsid w:val="00C556EB"/>
    <w:rsid w:val="00C55F0B"/>
    <w:rsid w:val="00C56037"/>
    <w:rsid w:val="00C56775"/>
    <w:rsid w:val="00C56D16"/>
    <w:rsid w:val="00C5725A"/>
    <w:rsid w:val="00C57850"/>
    <w:rsid w:val="00C60ADF"/>
    <w:rsid w:val="00C61E4B"/>
    <w:rsid w:val="00C6209E"/>
    <w:rsid w:val="00C6211D"/>
    <w:rsid w:val="00C62130"/>
    <w:rsid w:val="00C62519"/>
    <w:rsid w:val="00C62FE0"/>
    <w:rsid w:val="00C631EC"/>
    <w:rsid w:val="00C63450"/>
    <w:rsid w:val="00C6394F"/>
    <w:rsid w:val="00C63AF8"/>
    <w:rsid w:val="00C63B96"/>
    <w:rsid w:val="00C63EF1"/>
    <w:rsid w:val="00C6434D"/>
    <w:rsid w:val="00C64955"/>
    <w:rsid w:val="00C64BFF"/>
    <w:rsid w:val="00C66AEB"/>
    <w:rsid w:val="00C67749"/>
    <w:rsid w:val="00C702B1"/>
    <w:rsid w:val="00C704E9"/>
    <w:rsid w:val="00C717CD"/>
    <w:rsid w:val="00C717E1"/>
    <w:rsid w:val="00C71802"/>
    <w:rsid w:val="00C72F26"/>
    <w:rsid w:val="00C7309A"/>
    <w:rsid w:val="00C73586"/>
    <w:rsid w:val="00C7437E"/>
    <w:rsid w:val="00C74A46"/>
    <w:rsid w:val="00C75703"/>
    <w:rsid w:val="00C75918"/>
    <w:rsid w:val="00C75C24"/>
    <w:rsid w:val="00C763C9"/>
    <w:rsid w:val="00C77968"/>
    <w:rsid w:val="00C80057"/>
    <w:rsid w:val="00C803C9"/>
    <w:rsid w:val="00C80C58"/>
    <w:rsid w:val="00C80E23"/>
    <w:rsid w:val="00C80ECA"/>
    <w:rsid w:val="00C80F98"/>
    <w:rsid w:val="00C82035"/>
    <w:rsid w:val="00C82232"/>
    <w:rsid w:val="00C82461"/>
    <w:rsid w:val="00C82913"/>
    <w:rsid w:val="00C82AAD"/>
    <w:rsid w:val="00C82F28"/>
    <w:rsid w:val="00C83012"/>
    <w:rsid w:val="00C84D5F"/>
    <w:rsid w:val="00C84E96"/>
    <w:rsid w:val="00C8506E"/>
    <w:rsid w:val="00C85375"/>
    <w:rsid w:val="00C862B5"/>
    <w:rsid w:val="00C86504"/>
    <w:rsid w:val="00C86E12"/>
    <w:rsid w:val="00C8734B"/>
    <w:rsid w:val="00C874C0"/>
    <w:rsid w:val="00C87BD4"/>
    <w:rsid w:val="00C901EA"/>
    <w:rsid w:val="00C918CB"/>
    <w:rsid w:val="00C93462"/>
    <w:rsid w:val="00C93DF5"/>
    <w:rsid w:val="00C952AB"/>
    <w:rsid w:val="00C95ACD"/>
    <w:rsid w:val="00C963FB"/>
    <w:rsid w:val="00C96714"/>
    <w:rsid w:val="00C96C3E"/>
    <w:rsid w:val="00C972B1"/>
    <w:rsid w:val="00C97904"/>
    <w:rsid w:val="00C97FA7"/>
    <w:rsid w:val="00CA01CF"/>
    <w:rsid w:val="00CA0C29"/>
    <w:rsid w:val="00CA1E94"/>
    <w:rsid w:val="00CA2896"/>
    <w:rsid w:val="00CA2CCE"/>
    <w:rsid w:val="00CA43C8"/>
    <w:rsid w:val="00CA43FD"/>
    <w:rsid w:val="00CA4B58"/>
    <w:rsid w:val="00CA5700"/>
    <w:rsid w:val="00CA73F9"/>
    <w:rsid w:val="00CA78EA"/>
    <w:rsid w:val="00CA7C43"/>
    <w:rsid w:val="00CA7EF8"/>
    <w:rsid w:val="00CB1439"/>
    <w:rsid w:val="00CB1E5C"/>
    <w:rsid w:val="00CB1F87"/>
    <w:rsid w:val="00CB312A"/>
    <w:rsid w:val="00CB3E93"/>
    <w:rsid w:val="00CB56CB"/>
    <w:rsid w:val="00CB5B5D"/>
    <w:rsid w:val="00CB5C58"/>
    <w:rsid w:val="00CB5F67"/>
    <w:rsid w:val="00CB693E"/>
    <w:rsid w:val="00CB7718"/>
    <w:rsid w:val="00CB7BA4"/>
    <w:rsid w:val="00CC17C9"/>
    <w:rsid w:val="00CC1A01"/>
    <w:rsid w:val="00CC3E65"/>
    <w:rsid w:val="00CC4729"/>
    <w:rsid w:val="00CC489B"/>
    <w:rsid w:val="00CC5E95"/>
    <w:rsid w:val="00CC619C"/>
    <w:rsid w:val="00CC6EC4"/>
    <w:rsid w:val="00CC70DC"/>
    <w:rsid w:val="00CD24F3"/>
    <w:rsid w:val="00CD2692"/>
    <w:rsid w:val="00CD2BCD"/>
    <w:rsid w:val="00CD3A4C"/>
    <w:rsid w:val="00CD42E7"/>
    <w:rsid w:val="00CD49FB"/>
    <w:rsid w:val="00CD4AB1"/>
    <w:rsid w:val="00CD4AE6"/>
    <w:rsid w:val="00CD5C17"/>
    <w:rsid w:val="00CD6657"/>
    <w:rsid w:val="00CD6E37"/>
    <w:rsid w:val="00CE10E9"/>
    <w:rsid w:val="00CE1634"/>
    <w:rsid w:val="00CE1D50"/>
    <w:rsid w:val="00CE1E3D"/>
    <w:rsid w:val="00CE28D0"/>
    <w:rsid w:val="00CE28DA"/>
    <w:rsid w:val="00CE2910"/>
    <w:rsid w:val="00CE2EB7"/>
    <w:rsid w:val="00CE2FE2"/>
    <w:rsid w:val="00CE3108"/>
    <w:rsid w:val="00CE31DD"/>
    <w:rsid w:val="00CE3ADF"/>
    <w:rsid w:val="00CE3C09"/>
    <w:rsid w:val="00CE42AD"/>
    <w:rsid w:val="00CE5393"/>
    <w:rsid w:val="00CE5EBD"/>
    <w:rsid w:val="00CE631C"/>
    <w:rsid w:val="00CE679E"/>
    <w:rsid w:val="00CE68A0"/>
    <w:rsid w:val="00CE7437"/>
    <w:rsid w:val="00CF0411"/>
    <w:rsid w:val="00CF0A78"/>
    <w:rsid w:val="00CF164C"/>
    <w:rsid w:val="00CF19B6"/>
    <w:rsid w:val="00CF1F56"/>
    <w:rsid w:val="00CF2052"/>
    <w:rsid w:val="00CF2313"/>
    <w:rsid w:val="00CF27FB"/>
    <w:rsid w:val="00CF3609"/>
    <w:rsid w:val="00CF36BE"/>
    <w:rsid w:val="00CF3F25"/>
    <w:rsid w:val="00CF6000"/>
    <w:rsid w:val="00CF6227"/>
    <w:rsid w:val="00CF71B9"/>
    <w:rsid w:val="00CF7E81"/>
    <w:rsid w:val="00D003F3"/>
    <w:rsid w:val="00D011D0"/>
    <w:rsid w:val="00D0198C"/>
    <w:rsid w:val="00D0255C"/>
    <w:rsid w:val="00D02ECD"/>
    <w:rsid w:val="00D03514"/>
    <w:rsid w:val="00D03542"/>
    <w:rsid w:val="00D0364F"/>
    <w:rsid w:val="00D03E8C"/>
    <w:rsid w:val="00D048AB"/>
    <w:rsid w:val="00D04A0A"/>
    <w:rsid w:val="00D05D0B"/>
    <w:rsid w:val="00D06834"/>
    <w:rsid w:val="00D0723A"/>
    <w:rsid w:val="00D111C9"/>
    <w:rsid w:val="00D11899"/>
    <w:rsid w:val="00D12594"/>
    <w:rsid w:val="00D15037"/>
    <w:rsid w:val="00D15608"/>
    <w:rsid w:val="00D156D0"/>
    <w:rsid w:val="00D15956"/>
    <w:rsid w:val="00D15AD7"/>
    <w:rsid w:val="00D15EA9"/>
    <w:rsid w:val="00D166BF"/>
    <w:rsid w:val="00D16CD5"/>
    <w:rsid w:val="00D17DF4"/>
    <w:rsid w:val="00D20FAC"/>
    <w:rsid w:val="00D222AD"/>
    <w:rsid w:val="00D2323A"/>
    <w:rsid w:val="00D23398"/>
    <w:rsid w:val="00D233E9"/>
    <w:rsid w:val="00D23571"/>
    <w:rsid w:val="00D23ED4"/>
    <w:rsid w:val="00D2443B"/>
    <w:rsid w:val="00D27B16"/>
    <w:rsid w:val="00D308ED"/>
    <w:rsid w:val="00D30A11"/>
    <w:rsid w:val="00D30AAA"/>
    <w:rsid w:val="00D321C4"/>
    <w:rsid w:val="00D348F4"/>
    <w:rsid w:val="00D35E16"/>
    <w:rsid w:val="00D36D86"/>
    <w:rsid w:val="00D37D7B"/>
    <w:rsid w:val="00D40546"/>
    <w:rsid w:val="00D428AA"/>
    <w:rsid w:val="00D43074"/>
    <w:rsid w:val="00D43696"/>
    <w:rsid w:val="00D43AE2"/>
    <w:rsid w:val="00D4482E"/>
    <w:rsid w:val="00D44939"/>
    <w:rsid w:val="00D45E6C"/>
    <w:rsid w:val="00D46291"/>
    <w:rsid w:val="00D46A27"/>
    <w:rsid w:val="00D46C1F"/>
    <w:rsid w:val="00D47252"/>
    <w:rsid w:val="00D4778F"/>
    <w:rsid w:val="00D50A34"/>
    <w:rsid w:val="00D51549"/>
    <w:rsid w:val="00D5154A"/>
    <w:rsid w:val="00D51D65"/>
    <w:rsid w:val="00D52735"/>
    <w:rsid w:val="00D53909"/>
    <w:rsid w:val="00D53EDF"/>
    <w:rsid w:val="00D53EFA"/>
    <w:rsid w:val="00D541EE"/>
    <w:rsid w:val="00D54576"/>
    <w:rsid w:val="00D554B6"/>
    <w:rsid w:val="00D563FC"/>
    <w:rsid w:val="00D5659D"/>
    <w:rsid w:val="00D56E2F"/>
    <w:rsid w:val="00D60709"/>
    <w:rsid w:val="00D61BE1"/>
    <w:rsid w:val="00D62DDC"/>
    <w:rsid w:val="00D63686"/>
    <w:rsid w:val="00D63E49"/>
    <w:rsid w:val="00D6697C"/>
    <w:rsid w:val="00D66D21"/>
    <w:rsid w:val="00D67F1C"/>
    <w:rsid w:val="00D704B4"/>
    <w:rsid w:val="00D712CE"/>
    <w:rsid w:val="00D71543"/>
    <w:rsid w:val="00D71599"/>
    <w:rsid w:val="00D72368"/>
    <w:rsid w:val="00D72434"/>
    <w:rsid w:val="00D72D19"/>
    <w:rsid w:val="00D74BCD"/>
    <w:rsid w:val="00D758C8"/>
    <w:rsid w:val="00D760AF"/>
    <w:rsid w:val="00D76CFA"/>
    <w:rsid w:val="00D773A7"/>
    <w:rsid w:val="00D80E50"/>
    <w:rsid w:val="00D81D93"/>
    <w:rsid w:val="00D82903"/>
    <w:rsid w:val="00D840D2"/>
    <w:rsid w:val="00D84912"/>
    <w:rsid w:val="00D853C2"/>
    <w:rsid w:val="00D85732"/>
    <w:rsid w:val="00D860D2"/>
    <w:rsid w:val="00D904A5"/>
    <w:rsid w:val="00D908DC"/>
    <w:rsid w:val="00D90F9C"/>
    <w:rsid w:val="00D91AA4"/>
    <w:rsid w:val="00D92331"/>
    <w:rsid w:val="00D93505"/>
    <w:rsid w:val="00D94A7C"/>
    <w:rsid w:val="00D95896"/>
    <w:rsid w:val="00D96FBE"/>
    <w:rsid w:val="00D97BDC"/>
    <w:rsid w:val="00D97CE4"/>
    <w:rsid w:val="00DA0BCD"/>
    <w:rsid w:val="00DA1061"/>
    <w:rsid w:val="00DA24A9"/>
    <w:rsid w:val="00DA26FD"/>
    <w:rsid w:val="00DA2A0A"/>
    <w:rsid w:val="00DA3C94"/>
    <w:rsid w:val="00DA4388"/>
    <w:rsid w:val="00DA4524"/>
    <w:rsid w:val="00DA5038"/>
    <w:rsid w:val="00DA540E"/>
    <w:rsid w:val="00DA7216"/>
    <w:rsid w:val="00DB08E9"/>
    <w:rsid w:val="00DB1566"/>
    <w:rsid w:val="00DB1754"/>
    <w:rsid w:val="00DB18FA"/>
    <w:rsid w:val="00DB1ABC"/>
    <w:rsid w:val="00DB2983"/>
    <w:rsid w:val="00DB2CE5"/>
    <w:rsid w:val="00DB37C1"/>
    <w:rsid w:val="00DB3B91"/>
    <w:rsid w:val="00DB55EC"/>
    <w:rsid w:val="00DB7040"/>
    <w:rsid w:val="00DB7497"/>
    <w:rsid w:val="00DB77DC"/>
    <w:rsid w:val="00DC078D"/>
    <w:rsid w:val="00DC07EC"/>
    <w:rsid w:val="00DC0C6B"/>
    <w:rsid w:val="00DC1257"/>
    <w:rsid w:val="00DC16DC"/>
    <w:rsid w:val="00DC1CE4"/>
    <w:rsid w:val="00DC2040"/>
    <w:rsid w:val="00DC210B"/>
    <w:rsid w:val="00DC22BC"/>
    <w:rsid w:val="00DC2338"/>
    <w:rsid w:val="00DC23A0"/>
    <w:rsid w:val="00DC2E55"/>
    <w:rsid w:val="00DC30EE"/>
    <w:rsid w:val="00DC3481"/>
    <w:rsid w:val="00DC3DC0"/>
    <w:rsid w:val="00DC40BB"/>
    <w:rsid w:val="00DC4CCF"/>
    <w:rsid w:val="00DC4DAF"/>
    <w:rsid w:val="00DC5B2B"/>
    <w:rsid w:val="00DC6198"/>
    <w:rsid w:val="00DC658A"/>
    <w:rsid w:val="00DC75B8"/>
    <w:rsid w:val="00DC76D3"/>
    <w:rsid w:val="00DC7E9A"/>
    <w:rsid w:val="00DD19A3"/>
    <w:rsid w:val="00DD318D"/>
    <w:rsid w:val="00DD3900"/>
    <w:rsid w:val="00DD3952"/>
    <w:rsid w:val="00DD3DD4"/>
    <w:rsid w:val="00DD592F"/>
    <w:rsid w:val="00DD66CF"/>
    <w:rsid w:val="00DD690E"/>
    <w:rsid w:val="00DD7187"/>
    <w:rsid w:val="00DD7245"/>
    <w:rsid w:val="00DE1867"/>
    <w:rsid w:val="00DE1CD1"/>
    <w:rsid w:val="00DE304D"/>
    <w:rsid w:val="00DE31E4"/>
    <w:rsid w:val="00DE366D"/>
    <w:rsid w:val="00DE386E"/>
    <w:rsid w:val="00DE3B50"/>
    <w:rsid w:val="00DE454B"/>
    <w:rsid w:val="00DE4589"/>
    <w:rsid w:val="00DE4A47"/>
    <w:rsid w:val="00DE4D14"/>
    <w:rsid w:val="00DE6140"/>
    <w:rsid w:val="00DE6647"/>
    <w:rsid w:val="00DE68EB"/>
    <w:rsid w:val="00DE7775"/>
    <w:rsid w:val="00DF0AFE"/>
    <w:rsid w:val="00DF113D"/>
    <w:rsid w:val="00DF153B"/>
    <w:rsid w:val="00DF1580"/>
    <w:rsid w:val="00DF1C13"/>
    <w:rsid w:val="00DF1E1C"/>
    <w:rsid w:val="00DF22CC"/>
    <w:rsid w:val="00DF2E12"/>
    <w:rsid w:val="00DF31AE"/>
    <w:rsid w:val="00DF4488"/>
    <w:rsid w:val="00DF449F"/>
    <w:rsid w:val="00DF514A"/>
    <w:rsid w:val="00DF6690"/>
    <w:rsid w:val="00DF67E2"/>
    <w:rsid w:val="00DF6804"/>
    <w:rsid w:val="00DF6D55"/>
    <w:rsid w:val="00DF7705"/>
    <w:rsid w:val="00E005E5"/>
    <w:rsid w:val="00E017FF"/>
    <w:rsid w:val="00E018DF"/>
    <w:rsid w:val="00E01F74"/>
    <w:rsid w:val="00E02B32"/>
    <w:rsid w:val="00E02FFD"/>
    <w:rsid w:val="00E0358D"/>
    <w:rsid w:val="00E03DCE"/>
    <w:rsid w:val="00E04323"/>
    <w:rsid w:val="00E04BBF"/>
    <w:rsid w:val="00E04C87"/>
    <w:rsid w:val="00E06827"/>
    <w:rsid w:val="00E070A2"/>
    <w:rsid w:val="00E07509"/>
    <w:rsid w:val="00E10074"/>
    <w:rsid w:val="00E100DD"/>
    <w:rsid w:val="00E105F6"/>
    <w:rsid w:val="00E1093F"/>
    <w:rsid w:val="00E1206A"/>
    <w:rsid w:val="00E1310B"/>
    <w:rsid w:val="00E14222"/>
    <w:rsid w:val="00E14AF1"/>
    <w:rsid w:val="00E14E9C"/>
    <w:rsid w:val="00E15186"/>
    <w:rsid w:val="00E15CB7"/>
    <w:rsid w:val="00E16A64"/>
    <w:rsid w:val="00E178BB"/>
    <w:rsid w:val="00E17E20"/>
    <w:rsid w:val="00E20577"/>
    <w:rsid w:val="00E20D43"/>
    <w:rsid w:val="00E20EC0"/>
    <w:rsid w:val="00E220E7"/>
    <w:rsid w:val="00E22E9B"/>
    <w:rsid w:val="00E23ABA"/>
    <w:rsid w:val="00E2656A"/>
    <w:rsid w:val="00E302C1"/>
    <w:rsid w:val="00E31117"/>
    <w:rsid w:val="00E317CC"/>
    <w:rsid w:val="00E3210F"/>
    <w:rsid w:val="00E32448"/>
    <w:rsid w:val="00E33396"/>
    <w:rsid w:val="00E34D93"/>
    <w:rsid w:val="00E35E3A"/>
    <w:rsid w:val="00E361A4"/>
    <w:rsid w:val="00E3752E"/>
    <w:rsid w:val="00E37DCA"/>
    <w:rsid w:val="00E4081A"/>
    <w:rsid w:val="00E40BC3"/>
    <w:rsid w:val="00E410C1"/>
    <w:rsid w:val="00E412D0"/>
    <w:rsid w:val="00E416CE"/>
    <w:rsid w:val="00E4195C"/>
    <w:rsid w:val="00E41C8F"/>
    <w:rsid w:val="00E421EF"/>
    <w:rsid w:val="00E436CB"/>
    <w:rsid w:val="00E440ED"/>
    <w:rsid w:val="00E44EB2"/>
    <w:rsid w:val="00E45137"/>
    <w:rsid w:val="00E452B6"/>
    <w:rsid w:val="00E453A6"/>
    <w:rsid w:val="00E45899"/>
    <w:rsid w:val="00E46760"/>
    <w:rsid w:val="00E4683E"/>
    <w:rsid w:val="00E46B3E"/>
    <w:rsid w:val="00E4751E"/>
    <w:rsid w:val="00E47F5B"/>
    <w:rsid w:val="00E47F80"/>
    <w:rsid w:val="00E50CC6"/>
    <w:rsid w:val="00E50F3B"/>
    <w:rsid w:val="00E52340"/>
    <w:rsid w:val="00E52853"/>
    <w:rsid w:val="00E52A16"/>
    <w:rsid w:val="00E52C3C"/>
    <w:rsid w:val="00E539FE"/>
    <w:rsid w:val="00E5485D"/>
    <w:rsid w:val="00E56322"/>
    <w:rsid w:val="00E5781A"/>
    <w:rsid w:val="00E57CE5"/>
    <w:rsid w:val="00E60982"/>
    <w:rsid w:val="00E60FD5"/>
    <w:rsid w:val="00E610F3"/>
    <w:rsid w:val="00E617C1"/>
    <w:rsid w:val="00E624E5"/>
    <w:rsid w:val="00E62B25"/>
    <w:rsid w:val="00E62C62"/>
    <w:rsid w:val="00E6303E"/>
    <w:rsid w:val="00E63DD1"/>
    <w:rsid w:val="00E63F8C"/>
    <w:rsid w:val="00E654C1"/>
    <w:rsid w:val="00E65D97"/>
    <w:rsid w:val="00E66165"/>
    <w:rsid w:val="00E66470"/>
    <w:rsid w:val="00E666F2"/>
    <w:rsid w:val="00E71681"/>
    <w:rsid w:val="00E717DE"/>
    <w:rsid w:val="00E72500"/>
    <w:rsid w:val="00E725C6"/>
    <w:rsid w:val="00E72A5A"/>
    <w:rsid w:val="00E72A6B"/>
    <w:rsid w:val="00E73354"/>
    <w:rsid w:val="00E73523"/>
    <w:rsid w:val="00E73655"/>
    <w:rsid w:val="00E73807"/>
    <w:rsid w:val="00E753BD"/>
    <w:rsid w:val="00E754BF"/>
    <w:rsid w:val="00E75A1B"/>
    <w:rsid w:val="00E761B6"/>
    <w:rsid w:val="00E77194"/>
    <w:rsid w:val="00E826B8"/>
    <w:rsid w:val="00E82A51"/>
    <w:rsid w:val="00E835D8"/>
    <w:rsid w:val="00E837E8"/>
    <w:rsid w:val="00E83B2D"/>
    <w:rsid w:val="00E84D64"/>
    <w:rsid w:val="00E86CFE"/>
    <w:rsid w:val="00E90919"/>
    <w:rsid w:val="00E91099"/>
    <w:rsid w:val="00E9157A"/>
    <w:rsid w:val="00E91BC5"/>
    <w:rsid w:val="00E9242D"/>
    <w:rsid w:val="00E935D2"/>
    <w:rsid w:val="00E9399D"/>
    <w:rsid w:val="00E93AAE"/>
    <w:rsid w:val="00E94025"/>
    <w:rsid w:val="00E94618"/>
    <w:rsid w:val="00E94C80"/>
    <w:rsid w:val="00E950F0"/>
    <w:rsid w:val="00E95703"/>
    <w:rsid w:val="00E95FDA"/>
    <w:rsid w:val="00E96438"/>
    <w:rsid w:val="00E97140"/>
    <w:rsid w:val="00E97ABF"/>
    <w:rsid w:val="00E97DFF"/>
    <w:rsid w:val="00EA0358"/>
    <w:rsid w:val="00EA136E"/>
    <w:rsid w:val="00EA13DB"/>
    <w:rsid w:val="00EA345D"/>
    <w:rsid w:val="00EA3522"/>
    <w:rsid w:val="00EA3A08"/>
    <w:rsid w:val="00EA42D5"/>
    <w:rsid w:val="00EA57E8"/>
    <w:rsid w:val="00EA6D9B"/>
    <w:rsid w:val="00EA6F38"/>
    <w:rsid w:val="00EA754F"/>
    <w:rsid w:val="00EA7EC0"/>
    <w:rsid w:val="00EB04A3"/>
    <w:rsid w:val="00EB1979"/>
    <w:rsid w:val="00EB2E52"/>
    <w:rsid w:val="00EB3202"/>
    <w:rsid w:val="00EB5255"/>
    <w:rsid w:val="00EB56B0"/>
    <w:rsid w:val="00EB585D"/>
    <w:rsid w:val="00EB5A30"/>
    <w:rsid w:val="00EB5C47"/>
    <w:rsid w:val="00EB628E"/>
    <w:rsid w:val="00EB6CF0"/>
    <w:rsid w:val="00EB73E8"/>
    <w:rsid w:val="00EC02F2"/>
    <w:rsid w:val="00EC0B50"/>
    <w:rsid w:val="00EC1794"/>
    <w:rsid w:val="00EC3963"/>
    <w:rsid w:val="00EC3FD9"/>
    <w:rsid w:val="00EC412A"/>
    <w:rsid w:val="00EC4684"/>
    <w:rsid w:val="00EC4F55"/>
    <w:rsid w:val="00EC5A9B"/>
    <w:rsid w:val="00EC668C"/>
    <w:rsid w:val="00EC6FE2"/>
    <w:rsid w:val="00ED0639"/>
    <w:rsid w:val="00ED0747"/>
    <w:rsid w:val="00ED0AE0"/>
    <w:rsid w:val="00ED0E58"/>
    <w:rsid w:val="00ED1262"/>
    <w:rsid w:val="00ED146D"/>
    <w:rsid w:val="00ED15CE"/>
    <w:rsid w:val="00ED1958"/>
    <w:rsid w:val="00ED1F6F"/>
    <w:rsid w:val="00ED24BF"/>
    <w:rsid w:val="00ED29C8"/>
    <w:rsid w:val="00ED2D4E"/>
    <w:rsid w:val="00ED2EE1"/>
    <w:rsid w:val="00ED41FA"/>
    <w:rsid w:val="00ED43A7"/>
    <w:rsid w:val="00ED5863"/>
    <w:rsid w:val="00ED6844"/>
    <w:rsid w:val="00ED6C51"/>
    <w:rsid w:val="00ED7D61"/>
    <w:rsid w:val="00EE12B2"/>
    <w:rsid w:val="00EE2B3E"/>
    <w:rsid w:val="00EE2E5B"/>
    <w:rsid w:val="00EE3282"/>
    <w:rsid w:val="00EE3D5F"/>
    <w:rsid w:val="00EE4BB0"/>
    <w:rsid w:val="00EE524F"/>
    <w:rsid w:val="00EE5AAC"/>
    <w:rsid w:val="00EE67FC"/>
    <w:rsid w:val="00EE6FA3"/>
    <w:rsid w:val="00EE7AB7"/>
    <w:rsid w:val="00EF0675"/>
    <w:rsid w:val="00EF3384"/>
    <w:rsid w:val="00EF3454"/>
    <w:rsid w:val="00EF354E"/>
    <w:rsid w:val="00EF448A"/>
    <w:rsid w:val="00EF4755"/>
    <w:rsid w:val="00EF5C0D"/>
    <w:rsid w:val="00EF6A0B"/>
    <w:rsid w:val="00EF7135"/>
    <w:rsid w:val="00EF7827"/>
    <w:rsid w:val="00F00A7E"/>
    <w:rsid w:val="00F019D1"/>
    <w:rsid w:val="00F027DB"/>
    <w:rsid w:val="00F03848"/>
    <w:rsid w:val="00F03F8B"/>
    <w:rsid w:val="00F064EC"/>
    <w:rsid w:val="00F07666"/>
    <w:rsid w:val="00F07C68"/>
    <w:rsid w:val="00F10533"/>
    <w:rsid w:val="00F10D3A"/>
    <w:rsid w:val="00F113FA"/>
    <w:rsid w:val="00F12C82"/>
    <w:rsid w:val="00F12D82"/>
    <w:rsid w:val="00F137F5"/>
    <w:rsid w:val="00F1448F"/>
    <w:rsid w:val="00F14A7A"/>
    <w:rsid w:val="00F1500E"/>
    <w:rsid w:val="00F15E4D"/>
    <w:rsid w:val="00F161B0"/>
    <w:rsid w:val="00F175FA"/>
    <w:rsid w:val="00F21283"/>
    <w:rsid w:val="00F21A60"/>
    <w:rsid w:val="00F22442"/>
    <w:rsid w:val="00F2274E"/>
    <w:rsid w:val="00F22985"/>
    <w:rsid w:val="00F23141"/>
    <w:rsid w:val="00F23428"/>
    <w:rsid w:val="00F2381C"/>
    <w:rsid w:val="00F24CF2"/>
    <w:rsid w:val="00F24E99"/>
    <w:rsid w:val="00F24EED"/>
    <w:rsid w:val="00F26D7B"/>
    <w:rsid w:val="00F27143"/>
    <w:rsid w:val="00F27893"/>
    <w:rsid w:val="00F3040C"/>
    <w:rsid w:val="00F3144E"/>
    <w:rsid w:val="00F319CF"/>
    <w:rsid w:val="00F32F1D"/>
    <w:rsid w:val="00F3383E"/>
    <w:rsid w:val="00F35F32"/>
    <w:rsid w:val="00F36B3F"/>
    <w:rsid w:val="00F36C41"/>
    <w:rsid w:val="00F37813"/>
    <w:rsid w:val="00F40709"/>
    <w:rsid w:val="00F40715"/>
    <w:rsid w:val="00F40FC2"/>
    <w:rsid w:val="00F429A2"/>
    <w:rsid w:val="00F433CB"/>
    <w:rsid w:val="00F4441C"/>
    <w:rsid w:val="00F44B42"/>
    <w:rsid w:val="00F45931"/>
    <w:rsid w:val="00F45A51"/>
    <w:rsid w:val="00F461C7"/>
    <w:rsid w:val="00F465A7"/>
    <w:rsid w:val="00F46B93"/>
    <w:rsid w:val="00F50517"/>
    <w:rsid w:val="00F50904"/>
    <w:rsid w:val="00F50B7C"/>
    <w:rsid w:val="00F5152C"/>
    <w:rsid w:val="00F51625"/>
    <w:rsid w:val="00F52234"/>
    <w:rsid w:val="00F524DA"/>
    <w:rsid w:val="00F52BBE"/>
    <w:rsid w:val="00F53B7B"/>
    <w:rsid w:val="00F54105"/>
    <w:rsid w:val="00F5463E"/>
    <w:rsid w:val="00F548F6"/>
    <w:rsid w:val="00F54A2B"/>
    <w:rsid w:val="00F54E4E"/>
    <w:rsid w:val="00F5507F"/>
    <w:rsid w:val="00F550E6"/>
    <w:rsid w:val="00F55A51"/>
    <w:rsid w:val="00F56441"/>
    <w:rsid w:val="00F5663A"/>
    <w:rsid w:val="00F566CB"/>
    <w:rsid w:val="00F56E76"/>
    <w:rsid w:val="00F57ADA"/>
    <w:rsid w:val="00F6089F"/>
    <w:rsid w:val="00F610C5"/>
    <w:rsid w:val="00F61CDC"/>
    <w:rsid w:val="00F61E5F"/>
    <w:rsid w:val="00F626FB"/>
    <w:rsid w:val="00F62F69"/>
    <w:rsid w:val="00F62F9D"/>
    <w:rsid w:val="00F63357"/>
    <w:rsid w:val="00F63431"/>
    <w:rsid w:val="00F63D11"/>
    <w:rsid w:val="00F63D57"/>
    <w:rsid w:val="00F641BB"/>
    <w:rsid w:val="00F64817"/>
    <w:rsid w:val="00F65EF0"/>
    <w:rsid w:val="00F67B53"/>
    <w:rsid w:val="00F7136E"/>
    <w:rsid w:val="00F717C8"/>
    <w:rsid w:val="00F71840"/>
    <w:rsid w:val="00F71980"/>
    <w:rsid w:val="00F72E7E"/>
    <w:rsid w:val="00F736F1"/>
    <w:rsid w:val="00F742AB"/>
    <w:rsid w:val="00F74345"/>
    <w:rsid w:val="00F7655C"/>
    <w:rsid w:val="00F76B7A"/>
    <w:rsid w:val="00F77280"/>
    <w:rsid w:val="00F77718"/>
    <w:rsid w:val="00F80559"/>
    <w:rsid w:val="00F80A0A"/>
    <w:rsid w:val="00F81DB6"/>
    <w:rsid w:val="00F81E8C"/>
    <w:rsid w:val="00F82B19"/>
    <w:rsid w:val="00F83230"/>
    <w:rsid w:val="00F83D15"/>
    <w:rsid w:val="00F83D1C"/>
    <w:rsid w:val="00F84FB9"/>
    <w:rsid w:val="00F86D65"/>
    <w:rsid w:val="00F86D6A"/>
    <w:rsid w:val="00F874DA"/>
    <w:rsid w:val="00F9143A"/>
    <w:rsid w:val="00F9212D"/>
    <w:rsid w:val="00F9285A"/>
    <w:rsid w:val="00F93270"/>
    <w:rsid w:val="00F9369A"/>
    <w:rsid w:val="00F93FB5"/>
    <w:rsid w:val="00F952E9"/>
    <w:rsid w:val="00F964DD"/>
    <w:rsid w:val="00F9654F"/>
    <w:rsid w:val="00F965DA"/>
    <w:rsid w:val="00F96BB2"/>
    <w:rsid w:val="00F96D70"/>
    <w:rsid w:val="00F96FCE"/>
    <w:rsid w:val="00FA023A"/>
    <w:rsid w:val="00FA16F2"/>
    <w:rsid w:val="00FA17D9"/>
    <w:rsid w:val="00FA2B71"/>
    <w:rsid w:val="00FA324A"/>
    <w:rsid w:val="00FA36DA"/>
    <w:rsid w:val="00FA406A"/>
    <w:rsid w:val="00FA4662"/>
    <w:rsid w:val="00FA47AD"/>
    <w:rsid w:val="00FA520C"/>
    <w:rsid w:val="00FA59EE"/>
    <w:rsid w:val="00FA5D94"/>
    <w:rsid w:val="00FA6A3D"/>
    <w:rsid w:val="00FA77F7"/>
    <w:rsid w:val="00FB07E5"/>
    <w:rsid w:val="00FB0851"/>
    <w:rsid w:val="00FB0A3B"/>
    <w:rsid w:val="00FB23E6"/>
    <w:rsid w:val="00FB2C56"/>
    <w:rsid w:val="00FB4F8F"/>
    <w:rsid w:val="00FB503A"/>
    <w:rsid w:val="00FB516C"/>
    <w:rsid w:val="00FB52E9"/>
    <w:rsid w:val="00FB55C8"/>
    <w:rsid w:val="00FB78DB"/>
    <w:rsid w:val="00FB7CEB"/>
    <w:rsid w:val="00FC02D1"/>
    <w:rsid w:val="00FC1BBF"/>
    <w:rsid w:val="00FC1F11"/>
    <w:rsid w:val="00FC23DB"/>
    <w:rsid w:val="00FC23FE"/>
    <w:rsid w:val="00FC2914"/>
    <w:rsid w:val="00FC299F"/>
    <w:rsid w:val="00FC2B0F"/>
    <w:rsid w:val="00FC2BA1"/>
    <w:rsid w:val="00FC37C5"/>
    <w:rsid w:val="00FC3B27"/>
    <w:rsid w:val="00FC428A"/>
    <w:rsid w:val="00FC44EC"/>
    <w:rsid w:val="00FC70FD"/>
    <w:rsid w:val="00FC7A64"/>
    <w:rsid w:val="00FC7B7E"/>
    <w:rsid w:val="00FD0236"/>
    <w:rsid w:val="00FD03CA"/>
    <w:rsid w:val="00FD0899"/>
    <w:rsid w:val="00FD0F53"/>
    <w:rsid w:val="00FD18F4"/>
    <w:rsid w:val="00FD20E2"/>
    <w:rsid w:val="00FD2225"/>
    <w:rsid w:val="00FD29EA"/>
    <w:rsid w:val="00FD3615"/>
    <w:rsid w:val="00FD44F2"/>
    <w:rsid w:val="00FD54DB"/>
    <w:rsid w:val="00FD5777"/>
    <w:rsid w:val="00FD5999"/>
    <w:rsid w:val="00FD619F"/>
    <w:rsid w:val="00FD6299"/>
    <w:rsid w:val="00FD62B9"/>
    <w:rsid w:val="00FD6369"/>
    <w:rsid w:val="00FD696A"/>
    <w:rsid w:val="00FD7242"/>
    <w:rsid w:val="00FD7536"/>
    <w:rsid w:val="00FE0620"/>
    <w:rsid w:val="00FE07EC"/>
    <w:rsid w:val="00FE161D"/>
    <w:rsid w:val="00FE1DC2"/>
    <w:rsid w:val="00FE26A9"/>
    <w:rsid w:val="00FE37A8"/>
    <w:rsid w:val="00FE407D"/>
    <w:rsid w:val="00FE4551"/>
    <w:rsid w:val="00FE5396"/>
    <w:rsid w:val="00FE6929"/>
    <w:rsid w:val="00FF109F"/>
    <w:rsid w:val="00FF1A3C"/>
    <w:rsid w:val="00FF2542"/>
    <w:rsid w:val="00FF2585"/>
    <w:rsid w:val="00FF3479"/>
    <w:rsid w:val="00FF34F0"/>
    <w:rsid w:val="00FF3D81"/>
    <w:rsid w:val="00FF3FF6"/>
    <w:rsid w:val="00FF5F6E"/>
    <w:rsid w:val="00FF65BD"/>
    <w:rsid w:val="00FF66AE"/>
    <w:rsid w:val="00FF6A3A"/>
    <w:rsid w:val="00FF73A1"/>
    <w:rsid w:val="00FF768B"/>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DA06E9B"/>
    <w:rsid w:val="0E73034D"/>
    <w:rsid w:val="0F13775A"/>
    <w:rsid w:val="0F5F45FE"/>
    <w:rsid w:val="0F9A112B"/>
    <w:rsid w:val="106D2F64"/>
    <w:rsid w:val="10B63710"/>
    <w:rsid w:val="10F10820"/>
    <w:rsid w:val="111C2F7A"/>
    <w:rsid w:val="11665CA1"/>
    <w:rsid w:val="13951726"/>
    <w:rsid w:val="13B2332B"/>
    <w:rsid w:val="14396509"/>
    <w:rsid w:val="14790727"/>
    <w:rsid w:val="14DD2C3C"/>
    <w:rsid w:val="16087E1D"/>
    <w:rsid w:val="163E160E"/>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3543E6"/>
    <w:rsid w:val="205D0BB0"/>
    <w:rsid w:val="20671BE0"/>
    <w:rsid w:val="20963CB8"/>
    <w:rsid w:val="20A81A1B"/>
    <w:rsid w:val="20B07FB6"/>
    <w:rsid w:val="20B646FB"/>
    <w:rsid w:val="213B74B1"/>
    <w:rsid w:val="215A2310"/>
    <w:rsid w:val="21DE318A"/>
    <w:rsid w:val="21EF5B80"/>
    <w:rsid w:val="223D0F38"/>
    <w:rsid w:val="22576990"/>
    <w:rsid w:val="22F47480"/>
    <w:rsid w:val="23DE1C48"/>
    <w:rsid w:val="240210CD"/>
    <w:rsid w:val="24BF09F7"/>
    <w:rsid w:val="252D53FE"/>
    <w:rsid w:val="25EC2D81"/>
    <w:rsid w:val="277057A2"/>
    <w:rsid w:val="28D74EB5"/>
    <w:rsid w:val="28FE6835"/>
    <w:rsid w:val="29206EB8"/>
    <w:rsid w:val="29595666"/>
    <w:rsid w:val="29874881"/>
    <w:rsid w:val="29E325E0"/>
    <w:rsid w:val="2A452503"/>
    <w:rsid w:val="2A5622B6"/>
    <w:rsid w:val="2BA936A8"/>
    <w:rsid w:val="2C315A5A"/>
    <w:rsid w:val="2C4B1C25"/>
    <w:rsid w:val="2C99296C"/>
    <w:rsid w:val="2D9E56F5"/>
    <w:rsid w:val="2E667F96"/>
    <w:rsid w:val="2E8226AB"/>
    <w:rsid w:val="2FD065E6"/>
    <w:rsid w:val="2FD96870"/>
    <w:rsid w:val="30580BC9"/>
    <w:rsid w:val="311E2ED7"/>
    <w:rsid w:val="315619EE"/>
    <w:rsid w:val="315C449C"/>
    <w:rsid w:val="31B82709"/>
    <w:rsid w:val="31D05482"/>
    <w:rsid w:val="32400B34"/>
    <w:rsid w:val="329E6876"/>
    <w:rsid w:val="33247082"/>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9355DE8"/>
    <w:rsid w:val="39C037CE"/>
    <w:rsid w:val="3A872856"/>
    <w:rsid w:val="3B3763D1"/>
    <w:rsid w:val="3BA53211"/>
    <w:rsid w:val="3BC1190E"/>
    <w:rsid w:val="3C2F6E1E"/>
    <w:rsid w:val="3C4F64BA"/>
    <w:rsid w:val="3C5A4BB1"/>
    <w:rsid w:val="3CDA245A"/>
    <w:rsid w:val="3D1E06B7"/>
    <w:rsid w:val="3EDA0523"/>
    <w:rsid w:val="407A6407"/>
    <w:rsid w:val="410D537A"/>
    <w:rsid w:val="41126768"/>
    <w:rsid w:val="412D5CE2"/>
    <w:rsid w:val="4200449D"/>
    <w:rsid w:val="423A3BCC"/>
    <w:rsid w:val="424E57D2"/>
    <w:rsid w:val="42B26C49"/>
    <w:rsid w:val="433A6FE6"/>
    <w:rsid w:val="43480868"/>
    <w:rsid w:val="4350713C"/>
    <w:rsid w:val="436653E0"/>
    <w:rsid w:val="43B57E54"/>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0A0029B"/>
    <w:rsid w:val="5162104E"/>
    <w:rsid w:val="51DE62B4"/>
    <w:rsid w:val="52711BCE"/>
    <w:rsid w:val="53A039CC"/>
    <w:rsid w:val="53A1505A"/>
    <w:rsid w:val="54063E08"/>
    <w:rsid w:val="543437E8"/>
    <w:rsid w:val="54F73313"/>
    <w:rsid w:val="54F80955"/>
    <w:rsid w:val="555170A7"/>
    <w:rsid w:val="5587536D"/>
    <w:rsid w:val="559B174B"/>
    <w:rsid w:val="55CE0CF4"/>
    <w:rsid w:val="55EA27FF"/>
    <w:rsid w:val="56B22A9C"/>
    <w:rsid w:val="57923801"/>
    <w:rsid w:val="57B72A76"/>
    <w:rsid w:val="57C3426C"/>
    <w:rsid w:val="57CE1F93"/>
    <w:rsid w:val="580F0885"/>
    <w:rsid w:val="583B67DA"/>
    <w:rsid w:val="588743D1"/>
    <w:rsid w:val="5887701A"/>
    <w:rsid w:val="58C843E8"/>
    <w:rsid w:val="59725797"/>
    <w:rsid w:val="59C0439F"/>
    <w:rsid w:val="5ABE2233"/>
    <w:rsid w:val="5B3F3170"/>
    <w:rsid w:val="5BDF5D95"/>
    <w:rsid w:val="5BFE7528"/>
    <w:rsid w:val="5E0E02E9"/>
    <w:rsid w:val="5E2467F1"/>
    <w:rsid w:val="5E363F9E"/>
    <w:rsid w:val="5F1A2B43"/>
    <w:rsid w:val="5FB837BB"/>
    <w:rsid w:val="60CC405A"/>
    <w:rsid w:val="61E215D8"/>
    <w:rsid w:val="621B3775"/>
    <w:rsid w:val="62364782"/>
    <w:rsid w:val="6394356A"/>
    <w:rsid w:val="63C61B2C"/>
    <w:rsid w:val="63D40BE9"/>
    <w:rsid w:val="64102431"/>
    <w:rsid w:val="64A5243A"/>
    <w:rsid w:val="64F531DE"/>
    <w:rsid w:val="65373578"/>
    <w:rsid w:val="671F124A"/>
    <w:rsid w:val="67445F38"/>
    <w:rsid w:val="677A33C6"/>
    <w:rsid w:val="678533E6"/>
    <w:rsid w:val="681F6961"/>
    <w:rsid w:val="68610A2F"/>
    <w:rsid w:val="68805514"/>
    <w:rsid w:val="69316E2F"/>
    <w:rsid w:val="694E2071"/>
    <w:rsid w:val="69766163"/>
    <w:rsid w:val="697A3B33"/>
    <w:rsid w:val="69D44760"/>
    <w:rsid w:val="6A30670F"/>
    <w:rsid w:val="6A520EC7"/>
    <w:rsid w:val="6AF87E20"/>
    <w:rsid w:val="6B322639"/>
    <w:rsid w:val="6BBB005B"/>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4DD6C73"/>
    <w:rsid w:val="7635099D"/>
    <w:rsid w:val="77762421"/>
    <w:rsid w:val="77B56B1F"/>
    <w:rsid w:val="780F09F4"/>
    <w:rsid w:val="78A90480"/>
    <w:rsid w:val="7A364017"/>
    <w:rsid w:val="7A662B9C"/>
    <w:rsid w:val="7A8265E1"/>
    <w:rsid w:val="7B686D42"/>
    <w:rsid w:val="7B841746"/>
    <w:rsid w:val="7C6C5AC7"/>
    <w:rsid w:val="7CC6544B"/>
    <w:rsid w:val="7D0239FF"/>
    <w:rsid w:val="7D5E40CD"/>
    <w:rsid w:val="7DCD56F2"/>
    <w:rsid w:val="7EBE547D"/>
    <w:rsid w:val="7F001CE7"/>
    <w:rsid w:val="7FE47E50"/>
    <w:rsid w:val="EFB71A77"/>
    <w:rsid w:val="F1F35856"/>
    <w:rsid w:val="FF6D8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qFormat="1"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99" w:semiHidden="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qFormat="1" w:unhideWhenUsed="0" w:uiPriority="0" w:semiHidden="0" w:name="List" w:locked="1"/>
    <w:lsdException w:uiPriority="0" w:name="List Bullet" w:locked="1"/>
    <w:lsdException w:unhideWhenUsed="0" w:uiPriority="0" w:semiHidden="0" w:name="List Number" w:locked="1"/>
    <w:lsdException w:uiPriority="0" w:name="List 2" w:locked="1"/>
    <w:lsdException w:qFormat="1" w:uiPriority="0" w:semiHidden="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iPriority="0" w:name="Block Text" w:locked="1"/>
    <w:lsdException w:uiPriority="0" w:name="Hyperlink" w:locked="1"/>
    <w:lsdException w:uiPriority="0" w:name="FollowedHyperlink" w:locked="1"/>
    <w:lsdException w:qFormat="1" w:unhideWhenUsed="0" w:uiPriority="22" w:semiHidden="0" w:name="Strong" w:locked="1"/>
    <w:lsdException w:unhideWhenUsed="0" w:uiPriority="0" w:semiHidden="0" w:name="Emphasis" w:locked="1"/>
    <w:lsdException w:qFormat="1" w:uiPriority="0" w:semiHidden="0" w:name="Document Map" w:locked="1"/>
    <w:lsdException w:qFormat="1" w:unhideWhenUsed="0" w:uiPriority="0" w:semiHidden="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qFormat="1" w:unhideWhenUsed="0" w:uiPriority="0" w:semiHidden="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93"/>
    <w:qFormat/>
    <w:locked/>
    <w:uiPriority w:val="0"/>
    <w:pPr>
      <w:keepNext/>
      <w:overflowPunct w:val="0"/>
      <w:spacing w:line="259" w:lineRule="auto"/>
      <w:ind w:firstLine="0" w:firstLineChars="0"/>
      <w:jc w:val="center"/>
      <w:outlineLvl w:val="0"/>
    </w:pPr>
    <w:rPr>
      <w:rFonts w:eastAsia="黑体"/>
      <w:b/>
      <w:bCs/>
      <w:color w:val="000000"/>
      <w:kern w:val="44"/>
      <w:sz w:val="30"/>
      <w:szCs w:val="30"/>
    </w:rPr>
  </w:style>
  <w:style w:type="paragraph" w:styleId="6">
    <w:name w:val="heading 2"/>
    <w:basedOn w:val="1"/>
    <w:next w:val="1"/>
    <w:link w:val="85"/>
    <w:qFormat/>
    <w:locked/>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link w:val="86"/>
    <w:qFormat/>
    <w:locked/>
    <w:uiPriority w:val="0"/>
    <w:pPr>
      <w:keepNext/>
      <w:keepLines/>
      <w:spacing w:before="260" w:after="260" w:line="416" w:lineRule="auto"/>
      <w:outlineLvl w:val="2"/>
    </w:pPr>
    <w:rPr>
      <w:b/>
      <w:bCs/>
      <w:sz w:val="32"/>
      <w:szCs w:val="32"/>
    </w:rPr>
  </w:style>
  <w:style w:type="paragraph" w:styleId="8">
    <w:name w:val="heading 4"/>
    <w:basedOn w:val="1"/>
    <w:next w:val="1"/>
    <w:link w:val="87"/>
    <w:qFormat/>
    <w:locked/>
    <w:uiPriority w:val="0"/>
    <w:pPr>
      <w:keepNext/>
      <w:keepLines/>
      <w:spacing w:before="280" w:after="290" w:line="376" w:lineRule="auto"/>
      <w:outlineLvl w:val="3"/>
    </w:pPr>
    <w:rPr>
      <w:rFonts w:ascii="Arial" w:hAnsi="Arial" w:eastAsia="黑体"/>
      <w:b/>
      <w:bCs/>
      <w:sz w:val="28"/>
      <w:szCs w:val="28"/>
    </w:rPr>
  </w:style>
  <w:style w:type="paragraph" w:styleId="9">
    <w:name w:val="heading 5"/>
    <w:basedOn w:val="1"/>
    <w:next w:val="1"/>
    <w:link w:val="88"/>
    <w:qFormat/>
    <w:locked/>
    <w:uiPriority w:val="0"/>
    <w:pPr>
      <w:keepNext/>
      <w:keepLines/>
      <w:spacing w:before="280" w:after="290" w:line="376" w:lineRule="atLeast"/>
      <w:outlineLvl w:val="4"/>
    </w:pPr>
    <w:rPr>
      <w:b/>
      <w:bCs/>
      <w:kern w:val="0"/>
      <w:sz w:val="28"/>
      <w:szCs w:val="28"/>
    </w:rPr>
  </w:style>
  <w:style w:type="paragraph" w:styleId="10">
    <w:name w:val="heading 6"/>
    <w:basedOn w:val="1"/>
    <w:next w:val="1"/>
    <w:link w:val="89"/>
    <w:qFormat/>
    <w:locked/>
    <w:uiPriority w:val="0"/>
    <w:pPr>
      <w:keepNext/>
      <w:keepLines/>
      <w:spacing w:before="240" w:after="64" w:line="320" w:lineRule="atLeast"/>
      <w:outlineLvl w:val="5"/>
    </w:pPr>
    <w:rPr>
      <w:rFonts w:ascii="Cambria" w:hAnsi="Cambria"/>
      <w:b/>
      <w:bCs/>
      <w:kern w:val="0"/>
      <w:sz w:val="24"/>
    </w:rPr>
  </w:style>
  <w:style w:type="paragraph" w:styleId="11">
    <w:name w:val="heading 7"/>
    <w:basedOn w:val="1"/>
    <w:next w:val="1"/>
    <w:link w:val="90"/>
    <w:qFormat/>
    <w:locked/>
    <w:uiPriority w:val="0"/>
    <w:pPr>
      <w:keepNext/>
      <w:keepLines/>
      <w:spacing w:before="240" w:after="64" w:line="320" w:lineRule="atLeast"/>
      <w:textAlignment w:val="baseline"/>
      <w:outlineLvl w:val="6"/>
    </w:pPr>
    <w:rPr>
      <w:b/>
      <w:kern w:val="0"/>
      <w:sz w:val="24"/>
      <w:szCs w:val="20"/>
    </w:rPr>
  </w:style>
  <w:style w:type="paragraph" w:styleId="12">
    <w:name w:val="heading 8"/>
    <w:basedOn w:val="1"/>
    <w:next w:val="1"/>
    <w:link w:val="91"/>
    <w:qFormat/>
    <w:locked/>
    <w:uiPriority w:val="0"/>
    <w:pPr>
      <w:keepNext/>
      <w:keepLines/>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92"/>
    <w:qFormat/>
    <w:locked/>
    <w:uiPriority w:val="0"/>
    <w:pPr>
      <w:keepNext/>
      <w:keepLines/>
      <w:spacing w:before="240" w:after="64" w:line="320" w:lineRule="atLeast"/>
      <w:textAlignment w:val="baseline"/>
      <w:outlineLvl w:val="8"/>
    </w:pPr>
    <w:rPr>
      <w:rFonts w:ascii="Arial" w:hAnsi="Arial" w:eastAsia="黑体"/>
      <w:kern w:val="0"/>
      <w:szCs w:val="20"/>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
    <w:basedOn w:val="3"/>
    <w:next w:val="4"/>
    <w:qFormat/>
    <w:uiPriority w:val="0"/>
    <w:pPr>
      <w:autoSpaceDE w:val="0"/>
      <w:autoSpaceDN w:val="0"/>
    </w:pPr>
    <w:rPr>
      <w:rFonts w:hAnsi="Times New Roman" w:cs="宋体"/>
      <w:color w:val="000000"/>
    </w:rPr>
  </w:style>
  <w:style w:type="paragraph" w:customStyle="1" w:styleId="3">
    <w:name w:val="纯文本1"/>
    <w:basedOn w:val="1"/>
    <w:qFormat/>
    <w:uiPriority w:val="0"/>
    <w:pPr>
      <w:jc w:val="center"/>
      <w:textAlignment w:val="baseline"/>
    </w:pPr>
    <w:rPr>
      <w:rFonts w:ascii="宋体" w:hAnsi="Courier New"/>
      <w:snapToGrid w:val="0"/>
      <w:kern w:val="0"/>
      <w:sz w:val="24"/>
    </w:rPr>
  </w:style>
  <w:style w:type="paragraph" w:styleId="4">
    <w:name w:val="List 3"/>
    <w:basedOn w:val="1"/>
    <w:next w:val="1"/>
    <w:unhideWhenUsed/>
    <w:qFormat/>
    <w:locked/>
    <w:uiPriority w:val="0"/>
    <w:pPr>
      <w:ind w:left="100" w:leftChars="400" w:hanging="200" w:hangingChars="200"/>
      <w:contextualSpacing/>
    </w:pPr>
  </w:style>
  <w:style w:type="paragraph" w:styleId="14">
    <w:name w:val="Note Heading"/>
    <w:basedOn w:val="1"/>
    <w:next w:val="1"/>
    <w:link w:val="95"/>
    <w:qFormat/>
    <w:locked/>
    <w:uiPriority w:val="0"/>
    <w:pPr>
      <w:jc w:val="center"/>
    </w:pPr>
  </w:style>
  <w:style w:type="paragraph" w:styleId="15">
    <w:name w:val="Normal Indent"/>
    <w:basedOn w:val="1"/>
    <w:link w:val="97"/>
    <w:qFormat/>
    <w:locked/>
    <w:uiPriority w:val="0"/>
    <w:pPr>
      <w:ind w:firstLine="420"/>
    </w:pPr>
    <w:rPr>
      <w:sz w:val="28"/>
      <w:szCs w:val="20"/>
    </w:rPr>
  </w:style>
  <w:style w:type="paragraph" w:styleId="16">
    <w:name w:val="caption"/>
    <w:basedOn w:val="1"/>
    <w:next w:val="1"/>
    <w:link w:val="98"/>
    <w:qFormat/>
    <w:locked/>
    <w:uiPriority w:val="0"/>
    <w:pPr>
      <w:spacing w:before="120" w:line="480" w:lineRule="exact"/>
      <w:textAlignment w:val="baseline"/>
    </w:pPr>
    <w:rPr>
      <w:rFonts w:ascii="Arial" w:hAnsi="Arial" w:eastAsia="黑体"/>
      <w:b/>
      <w:bCs/>
      <w:color w:val="000000"/>
      <w:kern w:val="0"/>
      <w:sz w:val="28"/>
      <w:szCs w:val="28"/>
    </w:rPr>
  </w:style>
  <w:style w:type="paragraph" w:styleId="17">
    <w:name w:val="Document Map"/>
    <w:basedOn w:val="1"/>
    <w:link w:val="99"/>
    <w:unhideWhenUsed/>
    <w:qFormat/>
    <w:locked/>
    <w:uiPriority w:val="0"/>
    <w:rPr>
      <w:rFonts w:ascii="宋体"/>
      <w:sz w:val="18"/>
      <w:szCs w:val="18"/>
    </w:rPr>
  </w:style>
  <w:style w:type="paragraph" w:styleId="18">
    <w:name w:val="annotation text"/>
    <w:basedOn w:val="1"/>
    <w:link w:val="52"/>
    <w:qFormat/>
    <w:uiPriority w:val="0"/>
    <w:pPr>
      <w:jc w:val="left"/>
    </w:pPr>
    <w:rPr>
      <w:kern w:val="0"/>
      <w:sz w:val="24"/>
      <w:szCs w:val="20"/>
    </w:rPr>
  </w:style>
  <w:style w:type="paragraph" w:styleId="19">
    <w:name w:val="Salutation"/>
    <w:basedOn w:val="1"/>
    <w:next w:val="1"/>
    <w:link w:val="101"/>
    <w:qFormat/>
    <w:locked/>
    <w:uiPriority w:val="0"/>
    <w:rPr>
      <w:sz w:val="24"/>
      <w:szCs w:val="20"/>
    </w:rPr>
  </w:style>
  <w:style w:type="paragraph" w:styleId="20">
    <w:name w:val="Body Text 3"/>
    <w:basedOn w:val="1"/>
    <w:link w:val="103"/>
    <w:qFormat/>
    <w:locked/>
    <w:uiPriority w:val="0"/>
    <w:pPr>
      <w:spacing w:line="500" w:lineRule="exact"/>
    </w:pPr>
    <w:rPr>
      <w:rFonts w:ascii="楷体_GB2312" w:eastAsia="楷体_GB2312"/>
      <w:sz w:val="28"/>
      <w:szCs w:val="20"/>
    </w:rPr>
  </w:style>
  <w:style w:type="paragraph" w:styleId="21">
    <w:name w:val="Body Text"/>
    <w:basedOn w:val="1"/>
    <w:link w:val="51"/>
    <w:qFormat/>
    <w:uiPriority w:val="0"/>
    <w:pPr>
      <w:widowControl/>
      <w:spacing w:before="60" w:after="160" w:line="259" w:lineRule="auto"/>
      <w:ind w:right="113"/>
    </w:pPr>
    <w:rPr>
      <w:kern w:val="0"/>
      <w:sz w:val="18"/>
      <w:szCs w:val="20"/>
    </w:rPr>
  </w:style>
  <w:style w:type="paragraph" w:styleId="22">
    <w:name w:val="Body Text Indent"/>
    <w:basedOn w:val="1"/>
    <w:link w:val="60"/>
    <w:qFormat/>
    <w:uiPriority w:val="0"/>
    <w:pPr>
      <w:spacing w:after="120"/>
      <w:ind w:left="420" w:leftChars="200"/>
    </w:pPr>
    <w:rPr>
      <w:kern w:val="0"/>
      <w:sz w:val="24"/>
      <w:szCs w:val="20"/>
    </w:rPr>
  </w:style>
  <w:style w:type="paragraph" w:styleId="23">
    <w:name w:val="Plain Text"/>
    <w:basedOn w:val="1"/>
    <w:link w:val="79"/>
    <w:qFormat/>
    <w:locked/>
    <w:uiPriority w:val="0"/>
    <w:rPr>
      <w:rFonts w:ascii="宋体" w:hAnsi="Courier New" w:cs="Courier New"/>
      <w:szCs w:val="21"/>
    </w:rPr>
  </w:style>
  <w:style w:type="paragraph" w:styleId="24">
    <w:name w:val="Date"/>
    <w:basedOn w:val="1"/>
    <w:next w:val="1"/>
    <w:link w:val="47"/>
    <w:qFormat/>
    <w:uiPriority w:val="0"/>
    <w:pPr>
      <w:ind w:left="100" w:leftChars="2500"/>
    </w:pPr>
    <w:rPr>
      <w:kern w:val="0"/>
      <w:sz w:val="24"/>
      <w:szCs w:val="20"/>
    </w:rPr>
  </w:style>
  <w:style w:type="paragraph" w:styleId="25">
    <w:name w:val="Body Text Indent 2"/>
    <w:basedOn w:val="1"/>
    <w:link w:val="105"/>
    <w:qFormat/>
    <w:locked/>
    <w:uiPriority w:val="0"/>
    <w:pPr>
      <w:ind w:firstLine="629"/>
    </w:pPr>
    <w:rPr>
      <w:rFonts w:ascii="楷体_GB2312" w:eastAsia="楷体_GB2312"/>
      <w:sz w:val="28"/>
      <w:szCs w:val="28"/>
    </w:rPr>
  </w:style>
  <w:style w:type="paragraph" w:styleId="26">
    <w:name w:val="Balloon Text"/>
    <w:basedOn w:val="1"/>
    <w:link w:val="56"/>
    <w:qFormat/>
    <w:uiPriority w:val="0"/>
    <w:rPr>
      <w:kern w:val="0"/>
      <w:sz w:val="18"/>
      <w:szCs w:val="20"/>
    </w:rPr>
  </w:style>
  <w:style w:type="paragraph" w:styleId="27">
    <w:name w:val="footer"/>
    <w:basedOn w:val="1"/>
    <w:link w:val="46"/>
    <w:qFormat/>
    <w:uiPriority w:val="99"/>
    <w:pPr>
      <w:tabs>
        <w:tab w:val="center" w:pos="4153"/>
        <w:tab w:val="right" w:pos="8306"/>
      </w:tabs>
      <w:jc w:val="left"/>
    </w:pPr>
    <w:rPr>
      <w:kern w:val="0"/>
      <w:sz w:val="18"/>
      <w:szCs w:val="20"/>
    </w:rPr>
  </w:style>
  <w:style w:type="paragraph" w:styleId="28">
    <w:name w:val="header"/>
    <w:basedOn w:val="1"/>
    <w:link w:val="58"/>
    <w:qFormat/>
    <w:uiPriority w:val="0"/>
    <w:pPr>
      <w:pBdr>
        <w:bottom w:val="single" w:color="auto" w:sz="6" w:space="1"/>
      </w:pBdr>
      <w:tabs>
        <w:tab w:val="center" w:pos="4153"/>
        <w:tab w:val="right" w:pos="8306"/>
      </w:tabs>
      <w:jc w:val="center"/>
    </w:pPr>
    <w:rPr>
      <w:kern w:val="0"/>
      <w:sz w:val="18"/>
      <w:szCs w:val="20"/>
    </w:rPr>
  </w:style>
  <w:style w:type="paragraph" w:styleId="29">
    <w:name w:val="Subtitle"/>
    <w:basedOn w:val="1"/>
    <w:link w:val="107"/>
    <w:qFormat/>
    <w:locked/>
    <w:uiPriority w:val="0"/>
    <w:pPr>
      <w:spacing w:after="60" w:line="480" w:lineRule="exact"/>
      <w:ind w:firstLine="567"/>
      <w:jc w:val="center"/>
      <w:textAlignment w:val="baseline"/>
    </w:pPr>
    <w:rPr>
      <w:rFonts w:ascii="Arial" w:hAnsi="Arial" w:eastAsia="黑体" w:cs="Arial"/>
      <w:i/>
      <w:iCs/>
      <w:color w:val="000000"/>
      <w:sz w:val="28"/>
      <w:szCs w:val="28"/>
    </w:rPr>
  </w:style>
  <w:style w:type="paragraph" w:styleId="30">
    <w:name w:val="List"/>
    <w:basedOn w:val="1"/>
    <w:link w:val="109"/>
    <w:qFormat/>
    <w:locked/>
    <w:uiPriority w:val="0"/>
    <w:pPr>
      <w:spacing w:line="440" w:lineRule="exact"/>
      <w:jc w:val="center"/>
      <w:textAlignment w:val="baseline"/>
    </w:pPr>
    <w:rPr>
      <w:rFonts w:ascii="宋体" w:hAnsi="宋体" w:cs="Arial Unicode MS"/>
      <w:szCs w:val="21"/>
    </w:rPr>
  </w:style>
  <w:style w:type="paragraph" w:styleId="31">
    <w:name w:val="footnote text"/>
    <w:basedOn w:val="1"/>
    <w:link w:val="110"/>
    <w:qFormat/>
    <w:locked/>
    <w:uiPriority w:val="0"/>
    <w:pPr>
      <w:jc w:val="left"/>
    </w:pPr>
    <w:rPr>
      <w:sz w:val="18"/>
      <w:szCs w:val="18"/>
    </w:rPr>
  </w:style>
  <w:style w:type="paragraph" w:styleId="32">
    <w:name w:val="Body Text Indent 3"/>
    <w:basedOn w:val="1"/>
    <w:link w:val="112"/>
    <w:qFormat/>
    <w:locked/>
    <w:uiPriority w:val="0"/>
    <w:pPr>
      <w:spacing w:line="360" w:lineRule="exact"/>
      <w:ind w:firstLine="620"/>
    </w:pPr>
    <w:rPr>
      <w:rFonts w:ascii="楷体_GB2312" w:eastAsia="楷体_GB2312"/>
      <w:sz w:val="24"/>
      <w:szCs w:val="20"/>
    </w:rPr>
  </w:style>
  <w:style w:type="paragraph" w:styleId="33">
    <w:name w:val="Body Text 2"/>
    <w:basedOn w:val="1"/>
    <w:link w:val="114"/>
    <w:qFormat/>
    <w:locked/>
    <w:uiPriority w:val="0"/>
    <w:pPr>
      <w:jc w:val="center"/>
    </w:pPr>
    <w:rPr>
      <w:b/>
      <w:bCs/>
      <w:sz w:val="24"/>
    </w:rPr>
  </w:style>
  <w:style w:type="paragraph" w:styleId="34">
    <w:name w:val="HTML Preformatted"/>
    <w:basedOn w:val="1"/>
    <w:link w:val="116"/>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5">
    <w:name w:val="Normal (Web)"/>
    <w:basedOn w:val="1"/>
    <w:link w:val="49"/>
    <w:qFormat/>
    <w:uiPriority w:val="0"/>
    <w:pPr>
      <w:widowControl/>
      <w:spacing w:before="100" w:beforeAutospacing="1" w:after="100" w:afterAutospacing="1"/>
      <w:jc w:val="left"/>
    </w:pPr>
    <w:rPr>
      <w:rFonts w:ascii="宋体" w:hAnsi="宋体"/>
      <w:kern w:val="0"/>
      <w:sz w:val="24"/>
      <w:szCs w:val="20"/>
    </w:rPr>
  </w:style>
  <w:style w:type="paragraph" w:styleId="36">
    <w:name w:val="Title"/>
    <w:basedOn w:val="1"/>
    <w:next w:val="1"/>
    <w:link w:val="118"/>
    <w:qFormat/>
    <w:locked/>
    <w:uiPriority w:val="0"/>
    <w:pPr>
      <w:spacing w:before="240" w:after="60" w:line="480" w:lineRule="exact"/>
      <w:jc w:val="left"/>
      <w:outlineLvl w:val="0"/>
    </w:pPr>
    <w:rPr>
      <w:rFonts w:ascii="Cambria" w:hAnsi="Cambria"/>
      <w:b/>
      <w:bCs/>
      <w:sz w:val="32"/>
      <w:szCs w:val="32"/>
    </w:rPr>
  </w:style>
  <w:style w:type="paragraph" w:styleId="37">
    <w:name w:val="annotation subject"/>
    <w:basedOn w:val="18"/>
    <w:next w:val="18"/>
    <w:link w:val="57"/>
    <w:qFormat/>
    <w:uiPriority w:val="0"/>
    <w:rPr>
      <w:b/>
    </w:rPr>
  </w:style>
  <w:style w:type="paragraph" w:styleId="38">
    <w:name w:val="Body Text First Indent"/>
    <w:basedOn w:val="21"/>
    <w:link w:val="120"/>
    <w:qFormat/>
    <w:locked/>
    <w:uiPriority w:val="0"/>
    <w:pPr>
      <w:widowControl w:val="0"/>
      <w:snapToGrid/>
      <w:spacing w:before="0" w:after="120" w:line="240" w:lineRule="auto"/>
      <w:ind w:right="0" w:firstLine="420" w:firstLineChars="100"/>
    </w:pPr>
    <w:rPr>
      <w:kern w:val="2"/>
      <w:sz w:val="21"/>
      <w:szCs w:val="24"/>
    </w:rPr>
  </w:style>
  <w:style w:type="paragraph" w:styleId="39">
    <w:name w:val="Body Text First Indent 2"/>
    <w:basedOn w:val="22"/>
    <w:link w:val="122"/>
    <w:qFormat/>
    <w:locked/>
    <w:uiPriority w:val="0"/>
    <w:pPr>
      <w:ind w:firstLine="420"/>
    </w:pPr>
    <w:rPr>
      <w:kern w:val="2"/>
      <w:sz w:val="21"/>
      <w:szCs w:val="24"/>
    </w:rPr>
  </w:style>
  <w:style w:type="table" w:styleId="41">
    <w:name w:val="Table Grid"/>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3">
    <w:name w:val="Strong"/>
    <w:basedOn w:val="42"/>
    <w:qFormat/>
    <w:locked/>
    <w:uiPriority w:val="22"/>
    <w:rPr>
      <w:b/>
      <w:bCs/>
    </w:rPr>
  </w:style>
  <w:style w:type="character" w:styleId="44">
    <w:name w:val="page number"/>
    <w:basedOn w:val="42"/>
    <w:qFormat/>
    <w:locked/>
    <w:uiPriority w:val="0"/>
  </w:style>
  <w:style w:type="character" w:styleId="45">
    <w:name w:val="annotation reference"/>
    <w:qFormat/>
    <w:uiPriority w:val="99"/>
    <w:rPr>
      <w:sz w:val="21"/>
    </w:rPr>
  </w:style>
  <w:style w:type="character" w:customStyle="1" w:styleId="46">
    <w:name w:val="页脚 Char"/>
    <w:link w:val="27"/>
    <w:qFormat/>
    <w:locked/>
    <w:uiPriority w:val="99"/>
    <w:rPr>
      <w:sz w:val="18"/>
    </w:rPr>
  </w:style>
  <w:style w:type="character" w:customStyle="1" w:styleId="47">
    <w:name w:val="日期 Char"/>
    <w:link w:val="24"/>
    <w:qFormat/>
    <w:locked/>
    <w:uiPriority w:val="0"/>
    <w:rPr>
      <w:rFonts w:ascii="Times New Roman" w:hAnsi="Times New Roman" w:eastAsia="宋体"/>
      <w:sz w:val="24"/>
    </w:rPr>
  </w:style>
  <w:style w:type="character" w:customStyle="1" w:styleId="48">
    <w:name w:val="页脚 字符"/>
    <w:basedOn w:val="42"/>
    <w:qFormat/>
    <w:uiPriority w:val="99"/>
  </w:style>
  <w:style w:type="character" w:customStyle="1" w:styleId="49">
    <w:name w:val="普通(网站) Char"/>
    <w:link w:val="35"/>
    <w:qFormat/>
    <w:locked/>
    <w:uiPriority w:val="0"/>
    <w:rPr>
      <w:rFonts w:ascii="宋体" w:hAnsi="宋体" w:eastAsia="宋体"/>
      <w:sz w:val="24"/>
    </w:rPr>
  </w:style>
  <w:style w:type="character" w:customStyle="1" w:styleId="50">
    <w:name w:val="正文文本 字符1"/>
    <w:semiHidden/>
    <w:qFormat/>
    <w:uiPriority w:val="0"/>
    <w:rPr>
      <w:rFonts w:ascii="Times New Roman" w:hAnsi="Times New Roman" w:eastAsia="宋体"/>
      <w:sz w:val="24"/>
    </w:rPr>
  </w:style>
  <w:style w:type="character" w:customStyle="1" w:styleId="51">
    <w:name w:val="正文文本 Char"/>
    <w:link w:val="21"/>
    <w:qFormat/>
    <w:locked/>
    <w:uiPriority w:val="0"/>
    <w:rPr>
      <w:sz w:val="18"/>
    </w:rPr>
  </w:style>
  <w:style w:type="character" w:customStyle="1" w:styleId="52">
    <w:name w:val="批注文字 Char"/>
    <w:link w:val="18"/>
    <w:qFormat/>
    <w:locked/>
    <w:uiPriority w:val="0"/>
    <w:rPr>
      <w:rFonts w:ascii="Times New Roman" w:hAnsi="Times New Roman" w:eastAsia="宋体"/>
      <w:sz w:val="24"/>
    </w:rPr>
  </w:style>
  <w:style w:type="character" w:customStyle="1" w:styleId="53">
    <w:name w:val="表格 Char"/>
    <w:link w:val="54"/>
    <w:qFormat/>
    <w:locked/>
    <w:uiPriority w:val="0"/>
    <w:rPr>
      <w:rFonts w:ascii="宋体"/>
      <w:sz w:val="21"/>
    </w:rPr>
  </w:style>
  <w:style w:type="paragraph" w:customStyle="1" w:styleId="54">
    <w:name w:val="表格"/>
    <w:basedOn w:val="1"/>
    <w:next w:val="1"/>
    <w:link w:val="53"/>
    <w:qFormat/>
    <w:uiPriority w:val="0"/>
    <w:pPr>
      <w:spacing w:beforeLines="10" w:afterLines="10" w:line="259" w:lineRule="auto"/>
      <w:jc w:val="center"/>
    </w:pPr>
    <w:rPr>
      <w:rFonts w:ascii="宋体"/>
      <w:kern w:val="0"/>
      <w:szCs w:val="20"/>
    </w:rPr>
  </w:style>
  <w:style w:type="character" w:customStyle="1" w:styleId="55">
    <w:name w:val="日期 字符"/>
    <w:qFormat/>
    <w:uiPriority w:val="0"/>
    <w:rPr>
      <w:rFonts w:ascii="Times New Roman" w:hAnsi="Times New Roman" w:eastAsia="宋体"/>
      <w:sz w:val="24"/>
    </w:rPr>
  </w:style>
  <w:style w:type="character" w:customStyle="1" w:styleId="56">
    <w:name w:val="批注框文本 Char"/>
    <w:link w:val="26"/>
    <w:qFormat/>
    <w:locked/>
    <w:uiPriority w:val="0"/>
    <w:rPr>
      <w:rFonts w:ascii="Times New Roman" w:hAnsi="Times New Roman" w:eastAsia="宋体"/>
      <w:sz w:val="18"/>
    </w:rPr>
  </w:style>
  <w:style w:type="character" w:customStyle="1" w:styleId="57">
    <w:name w:val="批注主题 Char"/>
    <w:link w:val="37"/>
    <w:qFormat/>
    <w:locked/>
    <w:uiPriority w:val="0"/>
    <w:rPr>
      <w:rFonts w:ascii="Times New Roman" w:hAnsi="Times New Roman" w:eastAsia="宋体"/>
      <w:b/>
      <w:kern w:val="2"/>
      <w:sz w:val="24"/>
    </w:rPr>
  </w:style>
  <w:style w:type="character" w:customStyle="1" w:styleId="58">
    <w:name w:val="页眉 Char"/>
    <w:link w:val="28"/>
    <w:qFormat/>
    <w:locked/>
    <w:uiPriority w:val="0"/>
    <w:rPr>
      <w:sz w:val="18"/>
    </w:rPr>
  </w:style>
  <w:style w:type="character" w:customStyle="1" w:styleId="59">
    <w:name w:val="批注文字 字符1"/>
    <w:qFormat/>
    <w:uiPriority w:val="0"/>
    <w:rPr>
      <w:rFonts w:ascii="Times New Roman" w:hAnsi="Times New Roman" w:eastAsia="宋体"/>
      <w:sz w:val="24"/>
    </w:rPr>
  </w:style>
  <w:style w:type="character" w:customStyle="1" w:styleId="60">
    <w:name w:val="正文文本缩进 Char"/>
    <w:link w:val="22"/>
    <w:qFormat/>
    <w:locked/>
    <w:uiPriority w:val="0"/>
    <w:rPr>
      <w:rFonts w:ascii="Times New Roman" w:hAnsi="Times New Roman" w:eastAsia="宋体"/>
      <w:sz w:val="24"/>
    </w:rPr>
  </w:style>
  <w:style w:type="paragraph" w:customStyle="1" w:styleId="6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2">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63">
    <w:name w:val="表中文字 Char"/>
    <w:link w:val="64"/>
    <w:qFormat/>
    <w:uiPriority w:val="0"/>
    <w:rPr>
      <w:kern w:val="2"/>
      <w:sz w:val="24"/>
      <w:szCs w:val="24"/>
    </w:rPr>
  </w:style>
  <w:style w:type="paragraph" w:customStyle="1" w:styleId="64">
    <w:name w:val="表中文字"/>
    <w:basedOn w:val="1"/>
    <w:link w:val="63"/>
    <w:qFormat/>
    <w:uiPriority w:val="0"/>
    <w:pPr>
      <w:jc w:val="center"/>
    </w:pPr>
    <w:rPr>
      <w:sz w:val="24"/>
    </w:rPr>
  </w:style>
  <w:style w:type="character" w:customStyle="1" w:styleId="65">
    <w:name w:val="图表标题 Char"/>
    <w:link w:val="66"/>
    <w:qFormat/>
    <w:uiPriority w:val="0"/>
    <w:rPr>
      <w:kern w:val="2"/>
      <w:sz w:val="24"/>
      <w:szCs w:val="24"/>
    </w:rPr>
  </w:style>
  <w:style w:type="paragraph" w:customStyle="1" w:styleId="66">
    <w:name w:val="图表标题"/>
    <w:basedOn w:val="1"/>
    <w:next w:val="1"/>
    <w:link w:val="65"/>
    <w:qFormat/>
    <w:uiPriority w:val="0"/>
    <w:pPr>
      <w:spacing w:before="50" w:beforeLines="50"/>
      <w:jc w:val="center"/>
      <w:textAlignment w:val="baseline"/>
    </w:pPr>
    <w:rPr>
      <w:sz w:val="24"/>
    </w:rPr>
  </w:style>
  <w:style w:type="paragraph" w:customStyle="1" w:styleId="67">
    <w:name w:val="Table Paragraph"/>
    <w:basedOn w:val="1"/>
    <w:qFormat/>
    <w:uiPriority w:val="1"/>
    <w:pPr>
      <w:widowControl/>
      <w:autoSpaceDE w:val="0"/>
      <w:autoSpaceDN w:val="0"/>
      <w:jc w:val="left"/>
    </w:pPr>
    <w:rPr>
      <w:kern w:val="0"/>
      <w:sz w:val="24"/>
    </w:rPr>
  </w:style>
  <w:style w:type="paragraph" w:customStyle="1" w:styleId="68">
    <w:name w:val="首行缩进正文"/>
    <w:basedOn w:val="1"/>
    <w:link w:val="69"/>
    <w:qFormat/>
    <w:uiPriority w:val="0"/>
    <w:pPr>
      <w:ind w:firstLine="480"/>
    </w:pPr>
    <w:rPr>
      <w:sz w:val="24"/>
    </w:rPr>
  </w:style>
  <w:style w:type="character" w:customStyle="1" w:styleId="69">
    <w:name w:val="首行缩进正文 Char"/>
    <w:link w:val="68"/>
    <w:qFormat/>
    <w:uiPriority w:val="0"/>
    <w:rPr>
      <w:kern w:val="2"/>
      <w:sz w:val="24"/>
      <w:szCs w:val="24"/>
    </w:rPr>
  </w:style>
  <w:style w:type="paragraph" w:customStyle="1" w:styleId="70">
    <w:name w:val="正文-欣欣"/>
    <w:basedOn w:val="1"/>
    <w:next w:val="1"/>
    <w:qFormat/>
    <w:uiPriority w:val="0"/>
    <w:pPr>
      <w:widowControl/>
      <w:ind w:firstLine="480"/>
      <w:jc w:val="left"/>
    </w:pPr>
    <w:rPr>
      <w:bCs/>
      <w:sz w:val="24"/>
    </w:rPr>
  </w:style>
  <w:style w:type="paragraph" w:customStyle="1" w:styleId="71">
    <w:name w:val="11111"/>
    <w:qFormat/>
    <w:uiPriority w:val="0"/>
    <w:pPr>
      <w:spacing w:line="360" w:lineRule="auto"/>
      <w:ind w:firstLine="200" w:firstLineChars="200"/>
      <w:jc w:val="both"/>
    </w:pPr>
    <w:rPr>
      <w:rFonts w:ascii="Times New Roman" w:hAnsi="Times New Roman" w:eastAsia="宋体" w:cs="Times New Roman"/>
      <w:kern w:val="44"/>
      <w:sz w:val="24"/>
      <w:szCs w:val="28"/>
      <w:lang w:val="en-US" w:eastAsia="zh-CN" w:bidi="ar-SA"/>
    </w:rPr>
  </w:style>
  <w:style w:type="paragraph" w:styleId="72">
    <w:name w:val="No Spacing"/>
    <w:qFormat/>
    <w:uiPriority w:val="99"/>
    <w:pPr>
      <w:widowControl w:val="0"/>
      <w:jc w:val="both"/>
    </w:pPr>
    <w:rPr>
      <w:rFonts w:ascii="Times New Roman" w:hAnsi="Times New Roman" w:eastAsia="宋体" w:cs="Times New Roman"/>
      <w:kern w:val="2"/>
      <w:sz w:val="24"/>
      <w:szCs w:val="22"/>
      <w:lang w:val="en-US" w:eastAsia="zh-CN" w:bidi="ar-SA"/>
    </w:rPr>
  </w:style>
  <w:style w:type="character" w:customStyle="1" w:styleId="73">
    <w:name w:val="正文 首行缩进:  2 字符 Char"/>
    <w:link w:val="74"/>
    <w:qFormat/>
    <w:uiPriority w:val="0"/>
    <w:rPr>
      <w:bCs/>
      <w:kern w:val="2"/>
      <w:sz w:val="24"/>
      <w:szCs w:val="24"/>
    </w:rPr>
  </w:style>
  <w:style w:type="paragraph" w:customStyle="1" w:styleId="74">
    <w:name w:val="正文 首行缩进:  2 字符"/>
    <w:basedOn w:val="1"/>
    <w:link w:val="73"/>
    <w:qFormat/>
    <w:uiPriority w:val="0"/>
    <w:pPr>
      <w:ind w:firstLine="480"/>
      <w:jc w:val="left"/>
    </w:pPr>
    <w:rPr>
      <w:bCs/>
      <w:sz w:val="24"/>
    </w:rPr>
  </w:style>
  <w:style w:type="character" w:customStyle="1" w:styleId="75">
    <w:name w:val="表头 Char1"/>
    <w:link w:val="76"/>
    <w:qFormat/>
    <w:uiPriority w:val="0"/>
    <w:rPr>
      <w:b/>
      <w:kern w:val="2"/>
      <w:sz w:val="24"/>
      <w:szCs w:val="24"/>
    </w:rPr>
  </w:style>
  <w:style w:type="paragraph" w:customStyle="1" w:styleId="76">
    <w:name w:val="表头"/>
    <w:basedOn w:val="21"/>
    <w:link w:val="75"/>
    <w:qFormat/>
    <w:uiPriority w:val="0"/>
    <w:pPr>
      <w:widowControl w:val="0"/>
      <w:spacing w:before="0" w:after="0" w:line="400" w:lineRule="exact"/>
      <w:ind w:right="0"/>
      <w:jc w:val="center"/>
    </w:pPr>
    <w:rPr>
      <w:b/>
      <w:kern w:val="2"/>
      <w:sz w:val="24"/>
      <w:szCs w:val="24"/>
    </w:rPr>
  </w:style>
  <w:style w:type="character" w:customStyle="1" w:styleId="77">
    <w:name w:val="正文四号 Char Char"/>
    <w:link w:val="78"/>
    <w:qFormat/>
    <w:uiPriority w:val="0"/>
    <w:rPr>
      <w:rFonts w:cs="宋体"/>
      <w:kern w:val="2"/>
      <w:sz w:val="28"/>
    </w:rPr>
  </w:style>
  <w:style w:type="paragraph" w:customStyle="1" w:styleId="78">
    <w:name w:val="正文四号"/>
    <w:basedOn w:val="1"/>
    <w:link w:val="77"/>
    <w:qFormat/>
    <w:uiPriority w:val="0"/>
    <w:rPr>
      <w:rFonts w:cs="宋体"/>
      <w:sz w:val="28"/>
      <w:szCs w:val="20"/>
    </w:rPr>
  </w:style>
  <w:style w:type="character" w:customStyle="1" w:styleId="79">
    <w:name w:val="纯文本 Char"/>
    <w:link w:val="23"/>
    <w:qFormat/>
    <w:uiPriority w:val="0"/>
    <w:rPr>
      <w:rFonts w:ascii="宋体" w:hAnsi="Courier New" w:cs="Courier New"/>
      <w:kern w:val="2"/>
      <w:sz w:val="21"/>
      <w:szCs w:val="21"/>
    </w:rPr>
  </w:style>
  <w:style w:type="character" w:customStyle="1" w:styleId="80">
    <w:name w:val="纯文本 字符1"/>
    <w:basedOn w:val="42"/>
    <w:qFormat/>
    <w:uiPriority w:val="0"/>
    <w:rPr>
      <w:rFonts w:hAnsi="Courier New" w:cs="Courier New" w:asciiTheme="minorEastAsia" w:eastAsiaTheme="minorEastAsia"/>
      <w:kern w:val="2"/>
      <w:sz w:val="21"/>
      <w:szCs w:val="24"/>
    </w:rPr>
  </w:style>
  <w:style w:type="character" w:customStyle="1" w:styleId="81">
    <w:name w:val="表格文字 Char"/>
    <w:link w:val="82"/>
    <w:qFormat/>
    <w:uiPriority w:val="0"/>
    <w:rPr>
      <w:sz w:val="21"/>
    </w:rPr>
  </w:style>
  <w:style w:type="paragraph" w:customStyle="1" w:styleId="82">
    <w:name w:val="表格文字"/>
    <w:basedOn w:val="23"/>
    <w:link w:val="81"/>
    <w:qFormat/>
    <w:uiPriority w:val="0"/>
    <w:pPr>
      <w:jc w:val="center"/>
      <w:textAlignment w:val="baseline"/>
    </w:pPr>
    <w:rPr>
      <w:rFonts w:ascii="Times New Roman" w:hAnsi="Times New Roman" w:cs="Times New Roman"/>
      <w:kern w:val="0"/>
      <w:szCs w:val="20"/>
    </w:rPr>
  </w:style>
  <w:style w:type="character" w:customStyle="1" w:styleId="83">
    <w:name w:val="君邦正文 Char2"/>
    <w:link w:val="84"/>
    <w:qFormat/>
    <w:uiPriority w:val="0"/>
    <w:rPr>
      <w:rFonts w:ascii="宋体" w:hAnsi="宋体"/>
      <w:kern w:val="2"/>
      <w:sz w:val="24"/>
    </w:rPr>
  </w:style>
  <w:style w:type="paragraph" w:customStyle="1" w:styleId="84">
    <w:name w:val="君邦正文"/>
    <w:link w:val="83"/>
    <w:qFormat/>
    <w:uiPriority w:val="0"/>
    <w:pPr>
      <w:spacing w:line="360" w:lineRule="auto"/>
      <w:ind w:left="-4" w:leftChars="-2" w:firstLine="480" w:firstLineChars="200"/>
      <w:jc w:val="both"/>
    </w:pPr>
    <w:rPr>
      <w:rFonts w:ascii="宋体" w:hAnsi="宋体" w:eastAsia="宋体" w:cs="Times New Roman"/>
      <w:kern w:val="2"/>
      <w:sz w:val="24"/>
      <w:lang w:val="en-US" w:eastAsia="zh-CN" w:bidi="ar-SA"/>
    </w:rPr>
  </w:style>
  <w:style w:type="character" w:customStyle="1" w:styleId="85">
    <w:name w:val="标题 2 Char"/>
    <w:basedOn w:val="42"/>
    <w:link w:val="6"/>
    <w:qFormat/>
    <w:uiPriority w:val="0"/>
    <w:rPr>
      <w:rFonts w:ascii="Arial" w:hAnsi="Arial" w:eastAsia="黑体"/>
      <w:b/>
      <w:bCs/>
      <w:kern w:val="2"/>
      <w:sz w:val="32"/>
      <w:szCs w:val="32"/>
    </w:rPr>
  </w:style>
  <w:style w:type="character" w:customStyle="1" w:styleId="86">
    <w:name w:val="标题 3 Char"/>
    <w:basedOn w:val="42"/>
    <w:link w:val="7"/>
    <w:qFormat/>
    <w:uiPriority w:val="0"/>
    <w:rPr>
      <w:b/>
      <w:bCs/>
      <w:kern w:val="2"/>
      <w:sz w:val="32"/>
      <w:szCs w:val="32"/>
    </w:rPr>
  </w:style>
  <w:style w:type="character" w:customStyle="1" w:styleId="87">
    <w:name w:val="标题 4 Char"/>
    <w:basedOn w:val="42"/>
    <w:link w:val="8"/>
    <w:qFormat/>
    <w:uiPriority w:val="0"/>
    <w:rPr>
      <w:rFonts w:ascii="Arial" w:hAnsi="Arial" w:eastAsia="黑体"/>
      <w:b/>
      <w:bCs/>
      <w:kern w:val="2"/>
      <w:sz w:val="28"/>
      <w:szCs w:val="28"/>
    </w:rPr>
  </w:style>
  <w:style w:type="character" w:customStyle="1" w:styleId="88">
    <w:name w:val="标题 5 Char"/>
    <w:basedOn w:val="42"/>
    <w:link w:val="9"/>
    <w:qFormat/>
    <w:uiPriority w:val="0"/>
    <w:rPr>
      <w:b/>
      <w:bCs/>
      <w:sz w:val="28"/>
      <w:szCs w:val="28"/>
    </w:rPr>
  </w:style>
  <w:style w:type="character" w:customStyle="1" w:styleId="89">
    <w:name w:val="标题 6 Char"/>
    <w:basedOn w:val="42"/>
    <w:link w:val="10"/>
    <w:qFormat/>
    <w:uiPriority w:val="0"/>
    <w:rPr>
      <w:rFonts w:ascii="Cambria" w:hAnsi="Cambria"/>
      <w:b/>
      <w:bCs/>
      <w:sz w:val="24"/>
      <w:szCs w:val="24"/>
    </w:rPr>
  </w:style>
  <w:style w:type="character" w:customStyle="1" w:styleId="90">
    <w:name w:val="标题 7 Char"/>
    <w:basedOn w:val="42"/>
    <w:link w:val="11"/>
    <w:qFormat/>
    <w:uiPriority w:val="0"/>
    <w:rPr>
      <w:b/>
      <w:sz w:val="24"/>
    </w:rPr>
  </w:style>
  <w:style w:type="character" w:customStyle="1" w:styleId="91">
    <w:name w:val="标题 8 Char"/>
    <w:basedOn w:val="42"/>
    <w:link w:val="12"/>
    <w:qFormat/>
    <w:uiPriority w:val="0"/>
    <w:rPr>
      <w:rFonts w:ascii="Arial" w:hAnsi="Arial" w:eastAsia="黑体"/>
      <w:sz w:val="24"/>
    </w:rPr>
  </w:style>
  <w:style w:type="character" w:customStyle="1" w:styleId="92">
    <w:name w:val="标题 9 Char"/>
    <w:basedOn w:val="42"/>
    <w:link w:val="13"/>
    <w:qFormat/>
    <w:uiPriority w:val="0"/>
    <w:rPr>
      <w:rFonts w:ascii="Arial" w:hAnsi="Arial" w:eastAsia="黑体"/>
      <w:sz w:val="21"/>
    </w:rPr>
  </w:style>
  <w:style w:type="character" w:customStyle="1" w:styleId="93">
    <w:name w:val="标题 1 Char"/>
    <w:link w:val="5"/>
    <w:qFormat/>
    <w:uiPriority w:val="0"/>
    <w:rPr>
      <w:rFonts w:eastAsia="黑体"/>
      <w:b/>
      <w:bCs/>
      <w:color w:val="000000"/>
      <w:kern w:val="44"/>
      <w:sz w:val="30"/>
      <w:szCs w:val="30"/>
    </w:rPr>
  </w:style>
  <w:style w:type="paragraph" w:customStyle="1" w:styleId="94">
    <w:name w:val="Body Text 22"/>
    <w:basedOn w:val="1"/>
    <w:qFormat/>
    <w:uiPriority w:val="0"/>
    <w:pPr>
      <w:spacing w:line="440" w:lineRule="atLeast"/>
      <w:ind w:firstLine="480"/>
      <w:textAlignment w:val="baseline"/>
    </w:pPr>
    <w:rPr>
      <w:rFonts w:eastAsia="仿宋_GB2312"/>
      <w:sz w:val="24"/>
      <w:szCs w:val="20"/>
    </w:rPr>
  </w:style>
  <w:style w:type="character" w:customStyle="1" w:styleId="95">
    <w:name w:val="注释标题 Char"/>
    <w:basedOn w:val="42"/>
    <w:link w:val="14"/>
    <w:qFormat/>
    <w:uiPriority w:val="0"/>
    <w:rPr>
      <w:kern w:val="2"/>
      <w:sz w:val="21"/>
      <w:szCs w:val="24"/>
    </w:rPr>
  </w:style>
  <w:style w:type="character" w:customStyle="1" w:styleId="96">
    <w:name w:val="注释标题 字符1"/>
    <w:basedOn w:val="42"/>
    <w:qFormat/>
    <w:uiPriority w:val="0"/>
    <w:rPr>
      <w:kern w:val="2"/>
      <w:sz w:val="21"/>
      <w:szCs w:val="24"/>
    </w:rPr>
  </w:style>
  <w:style w:type="character" w:customStyle="1" w:styleId="97">
    <w:name w:val="正文缩进 Char"/>
    <w:link w:val="15"/>
    <w:qFormat/>
    <w:uiPriority w:val="0"/>
    <w:rPr>
      <w:kern w:val="2"/>
      <w:sz w:val="28"/>
    </w:rPr>
  </w:style>
  <w:style w:type="character" w:customStyle="1" w:styleId="98">
    <w:name w:val="题注 Char"/>
    <w:link w:val="16"/>
    <w:qFormat/>
    <w:uiPriority w:val="0"/>
    <w:rPr>
      <w:rFonts w:ascii="Arial" w:hAnsi="Arial" w:eastAsia="黑体"/>
      <w:b/>
      <w:bCs/>
      <w:color w:val="000000"/>
      <w:sz w:val="28"/>
      <w:szCs w:val="28"/>
    </w:rPr>
  </w:style>
  <w:style w:type="character" w:customStyle="1" w:styleId="99">
    <w:name w:val="文档结构图 Char"/>
    <w:basedOn w:val="42"/>
    <w:link w:val="17"/>
    <w:qFormat/>
    <w:uiPriority w:val="0"/>
    <w:rPr>
      <w:rFonts w:ascii="宋体"/>
      <w:kern w:val="2"/>
      <w:sz w:val="18"/>
      <w:szCs w:val="18"/>
    </w:rPr>
  </w:style>
  <w:style w:type="character" w:customStyle="1" w:styleId="100">
    <w:name w:val="文档结构图 字符1"/>
    <w:basedOn w:val="42"/>
    <w:qFormat/>
    <w:uiPriority w:val="0"/>
    <w:rPr>
      <w:rFonts w:ascii="Microsoft YaHei UI" w:eastAsia="Microsoft YaHei UI"/>
      <w:kern w:val="2"/>
      <w:sz w:val="18"/>
      <w:szCs w:val="18"/>
    </w:rPr>
  </w:style>
  <w:style w:type="character" w:customStyle="1" w:styleId="101">
    <w:name w:val="称呼 Char"/>
    <w:basedOn w:val="42"/>
    <w:link w:val="19"/>
    <w:qFormat/>
    <w:uiPriority w:val="0"/>
    <w:rPr>
      <w:kern w:val="2"/>
      <w:sz w:val="24"/>
    </w:rPr>
  </w:style>
  <w:style w:type="character" w:customStyle="1" w:styleId="102">
    <w:name w:val="称呼 字符1"/>
    <w:basedOn w:val="42"/>
    <w:qFormat/>
    <w:uiPriority w:val="0"/>
    <w:rPr>
      <w:kern w:val="2"/>
      <w:sz w:val="21"/>
      <w:szCs w:val="24"/>
    </w:rPr>
  </w:style>
  <w:style w:type="character" w:customStyle="1" w:styleId="103">
    <w:name w:val="正文文本 3 Char"/>
    <w:basedOn w:val="42"/>
    <w:link w:val="20"/>
    <w:qFormat/>
    <w:uiPriority w:val="0"/>
    <w:rPr>
      <w:rFonts w:ascii="楷体_GB2312" w:eastAsia="楷体_GB2312"/>
      <w:kern w:val="2"/>
      <w:sz w:val="28"/>
    </w:rPr>
  </w:style>
  <w:style w:type="character" w:customStyle="1" w:styleId="104">
    <w:name w:val="正文文本 3 字符1"/>
    <w:basedOn w:val="42"/>
    <w:qFormat/>
    <w:uiPriority w:val="0"/>
    <w:rPr>
      <w:kern w:val="2"/>
      <w:sz w:val="16"/>
      <w:szCs w:val="16"/>
    </w:rPr>
  </w:style>
  <w:style w:type="character" w:customStyle="1" w:styleId="105">
    <w:name w:val="正文文本缩进 2 Char"/>
    <w:basedOn w:val="42"/>
    <w:link w:val="25"/>
    <w:qFormat/>
    <w:uiPriority w:val="0"/>
    <w:rPr>
      <w:rFonts w:ascii="楷体_GB2312" w:eastAsia="楷体_GB2312"/>
      <w:kern w:val="2"/>
      <w:sz w:val="28"/>
      <w:szCs w:val="28"/>
    </w:rPr>
  </w:style>
  <w:style w:type="character" w:customStyle="1" w:styleId="106">
    <w:name w:val="正文文本缩进 2 字符1"/>
    <w:basedOn w:val="42"/>
    <w:qFormat/>
    <w:uiPriority w:val="0"/>
    <w:rPr>
      <w:kern w:val="2"/>
      <w:sz w:val="21"/>
      <w:szCs w:val="24"/>
    </w:rPr>
  </w:style>
  <w:style w:type="character" w:customStyle="1" w:styleId="107">
    <w:name w:val="副标题 Char"/>
    <w:basedOn w:val="42"/>
    <w:link w:val="29"/>
    <w:qFormat/>
    <w:uiPriority w:val="0"/>
    <w:rPr>
      <w:rFonts w:ascii="Arial" w:hAnsi="Arial" w:eastAsia="黑体" w:cs="Arial"/>
      <w:i/>
      <w:iCs/>
      <w:color w:val="000000"/>
      <w:kern w:val="2"/>
      <w:sz w:val="28"/>
      <w:szCs w:val="28"/>
    </w:rPr>
  </w:style>
  <w:style w:type="character" w:customStyle="1" w:styleId="108">
    <w:name w:val="副标题 字符1"/>
    <w:basedOn w:val="42"/>
    <w:qFormat/>
    <w:uiPriority w:val="0"/>
    <w:rPr>
      <w:rFonts w:asciiTheme="minorHAnsi" w:hAnsiTheme="minorHAnsi" w:eastAsiaTheme="minorEastAsia" w:cstheme="minorBidi"/>
      <w:b/>
      <w:bCs/>
      <w:kern w:val="28"/>
      <w:sz w:val="32"/>
      <w:szCs w:val="32"/>
    </w:rPr>
  </w:style>
  <w:style w:type="character" w:customStyle="1" w:styleId="109">
    <w:name w:val="列表 Char"/>
    <w:link w:val="30"/>
    <w:qFormat/>
    <w:uiPriority w:val="0"/>
    <w:rPr>
      <w:rFonts w:ascii="宋体" w:hAnsi="宋体" w:cs="Arial Unicode MS"/>
      <w:kern w:val="2"/>
      <w:sz w:val="21"/>
      <w:szCs w:val="21"/>
    </w:rPr>
  </w:style>
  <w:style w:type="character" w:customStyle="1" w:styleId="110">
    <w:name w:val="脚注文本 Char"/>
    <w:basedOn w:val="42"/>
    <w:link w:val="31"/>
    <w:qFormat/>
    <w:uiPriority w:val="0"/>
    <w:rPr>
      <w:kern w:val="2"/>
      <w:sz w:val="18"/>
      <w:szCs w:val="18"/>
    </w:rPr>
  </w:style>
  <w:style w:type="character" w:customStyle="1" w:styleId="111">
    <w:name w:val="脚注文本 字符1"/>
    <w:basedOn w:val="42"/>
    <w:qFormat/>
    <w:uiPriority w:val="0"/>
    <w:rPr>
      <w:kern w:val="2"/>
      <w:sz w:val="18"/>
      <w:szCs w:val="18"/>
    </w:rPr>
  </w:style>
  <w:style w:type="character" w:customStyle="1" w:styleId="112">
    <w:name w:val="正文文本缩进 3 Char"/>
    <w:basedOn w:val="42"/>
    <w:link w:val="32"/>
    <w:qFormat/>
    <w:uiPriority w:val="0"/>
    <w:rPr>
      <w:rFonts w:ascii="楷体_GB2312" w:eastAsia="楷体_GB2312"/>
      <w:kern w:val="2"/>
      <w:sz w:val="24"/>
    </w:rPr>
  </w:style>
  <w:style w:type="character" w:customStyle="1" w:styleId="113">
    <w:name w:val="正文文本缩进 3 字符1"/>
    <w:basedOn w:val="42"/>
    <w:qFormat/>
    <w:uiPriority w:val="0"/>
    <w:rPr>
      <w:kern w:val="2"/>
      <w:sz w:val="16"/>
      <w:szCs w:val="16"/>
    </w:rPr>
  </w:style>
  <w:style w:type="character" w:customStyle="1" w:styleId="114">
    <w:name w:val="正文文本 2 Char"/>
    <w:basedOn w:val="42"/>
    <w:link w:val="33"/>
    <w:qFormat/>
    <w:uiPriority w:val="0"/>
    <w:rPr>
      <w:b/>
      <w:bCs/>
      <w:kern w:val="2"/>
      <w:sz w:val="24"/>
      <w:szCs w:val="24"/>
    </w:rPr>
  </w:style>
  <w:style w:type="character" w:customStyle="1" w:styleId="115">
    <w:name w:val="正文文本 2 字符1"/>
    <w:basedOn w:val="42"/>
    <w:qFormat/>
    <w:uiPriority w:val="0"/>
    <w:rPr>
      <w:kern w:val="2"/>
      <w:sz w:val="21"/>
      <w:szCs w:val="24"/>
    </w:rPr>
  </w:style>
  <w:style w:type="character" w:customStyle="1" w:styleId="116">
    <w:name w:val="HTML 预设格式 Char"/>
    <w:basedOn w:val="42"/>
    <w:link w:val="34"/>
    <w:qFormat/>
    <w:uiPriority w:val="0"/>
    <w:rPr>
      <w:rFonts w:ascii="宋体" w:hAnsi="宋体"/>
      <w:sz w:val="24"/>
      <w:szCs w:val="24"/>
    </w:rPr>
  </w:style>
  <w:style w:type="character" w:customStyle="1" w:styleId="117">
    <w:name w:val="HTML 预设格式 字符1"/>
    <w:basedOn w:val="42"/>
    <w:qFormat/>
    <w:uiPriority w:val="0"/>
    <w:rPr>
      <w:rFonts w:ascii="Courier New" w:hAnsi="Courier New" w:cs="Courier New"/>
      <w:kern w:val="2"/>
    </w:rPr>
  </w:style>
  <w:style w:type="character" w:customStyle="1" w:styleId="118">
    <w:name w:val="标题 Char"/>
    <w:basedOn w:val="42"/>
    <w:link w:val="36"/>
    <w:qFormat/>
    <w:uiPriority w:val="0"/>
    <w:rPr>
      <w:rFonts w:ascii="Cambria" w:hAnsi="Cambria"/>
      <w:b/>
      <w:bCs/>
      <w:kern w:val="2"/>
      <w:sz w:val="32"/>
      <w:szCs w:val="32"/>
    </w:rPr>
  </w:style>
  <w:style w:type="character" w:customStyle="1" w:styleId="119">
    <w:name w:val="标题 字符1"/>
    <w:basedOn w:val="42"/>
    <w:qFormat/>
    <w:uiPriority w:val="0"/>
    <w:rPr>
      <w:rFonts w:asciiTheme="majorHAnsi" w:hAnsiTheme="majorHAnsi" w:eastAsiaTheme="majorEastAsia" w:cstheme="majorBidi"/>
      <w:b/>
      <w:bCs/>
      <w:kern w:val="2"/>
      <w:sz w:val="32"/>
      <w:szCs w:val="32"/>
    </w:rPr>
  </w:style>
  <w:style w:type="character" w:customStyle="1" w:styleId="120">
    <w:name w:val="正文首行缩进 Char"/>
    <w:basedOn w:val="51"/>
    <w:link w:val="38"/>
    <w:qFormat/>
    <w:uiPriority w:val="0"/>
    <w:rPr>
      <w:kern w:val="2"/>
      <w:sz w:val="21"/>
      <w:szCs w:val="24"/>
    </w:rPr>
  </w:style>
  <w:style w:type="character" w:customStyle="1" w:styleId="121">
    <w:name w:val="正文首行缩进 字符1"/>
    <w:basedOn w:val="51"/>
    <w:qFormat/>
    <w:uiPriority w:val="0"/>
    <w:rPr>
      <w:kern w:val="2"/>
      <w:sz w:val="21"/>
      <w:szCs w:val="24"/>
    </w:rPr>
  </w:style>
  <w:style w:type="character" w:customStyle="1" w:styleId="122">
    <w:name w:val="正文首行缩进 2 Char"/>
    <w:basedOn w:val="60"/>
    <w:link w:val="39"/>
    <w:qFormat/>
    <w:uiPriority w:val="0"/>
    <w:rPr>
      <w:rFonts w:ascii="Times New Roman" w:hAnsi="Times New Roman" w:eastAsia="宋体"/>
      <w:kern w:val="2"/>
      <w:sz w:val="21"/>
      <w:szCs w:val="24"/>
    </w:rPr>
  </w:style>
  <w:style w:type="character" w:customStyle="1" w:styleId="123">
    <w:name w:val="正文首行缩进 2 字符1"/>
    <w:basedOn w:val="60"/>
    <w:qFormat/>
    <w:uiPriority w:val="0"/>
    <w:rPr>
      <w:rFonts w:ascii="Times New Roman" w:hAnsi="Times New Roman" w:eastAsia="宋体"/>
      <w:kern w:val="2"/>
      <w:sz w:val="21"/>
      <w:szCs w:val="24"/>
    </w:rPr>
  </w:style>
  <w:style w:type="character" w:customStyle="1" w:styleId="124">
    <w:name w:val="正文111111111 Char"/>
    <w:link w:val="125"/>
    <w:qFormat/>
    <w:uiPriority w:val="0"/>
    <w:rPr>
      <w:rFonts w:cs="宋体"/>
      <w:kern w:val="2"/>
      <w:sz w:val="24"/>
    </w:rPr>
  </w:style>
  <w:style w:type="paragraph" w:customStyle="1" w:styleId="125">
    <w:name w:val="正文111111111"/>
    <w:basedOn w:val="1"/>
    <w:link w:val="124"/>
    <w:qFormat/>
    <w:uiPriority w:val="0"/>
    <w:pPr>
      <w:ind w:firstLine="480"/>
    </w:pPr>
    <w:rPr>
      <w:rFonts w:cs="宋体"/>
      <w:sz w:val="24"/>
      <w:szCs w:val="20"/>
    </w:rPr>
  </w:style>
  <w:style w:type="character" w:customStyle="1" w:styleId="126">
    <w:name w:val="03表格文本 Char"/>
    <w:link w:val="127"/>
    <w:qFormat/>
    <w:uiPriority w:val="0"/>
    <w:rPr>
      <w:kern w:val="2"/>
      <w:sz w:val="22"/>
      <w:szCs w:val="22"/>
    </w:rPr>
  </w:style>
  <w:style w:type="paragraph" w:customStyle="1" w:styleId="127">
    <w:name w:val="03表格文本"/>
    <w:basedOn w:val="1"/>
    <w:link w:val="126"/>
    <w:qFormat/>
    <w:uiPriority w:val="0"/>
    <w:pPr>
      <w:spacing w:line="360" w:lineRule="exact"/>
      <w:jc w:val="center"/>
    </w:pPr>
    <w:rPr>
      <w:sz w:val="22"/>
      <w:szCs w:val="22"/>
    </w:rPr>
  </w:style>
  <w:style w:type="character" w:customStyle="1" w:styleId="128">
    <w:name w:val="表格1 Char"/>
    <w:link w:val="129"/>
    <w:qFormat/>
    <w:uiPriority w:val="0"/>
    <w:rPr>
      <w:kern w:val="2"/>
      <w:sz w:val="24"/>
      <w:szCs w:val="24"/>
    </w:rPr>
  </w:style>
  <w:style w:type="paragraph" w:customStyle="1" w:styleId="129">
    <w:name w:val="表格1"/>
    <w:basedOn w:val="1"/>
    <w:link w:val="128"/>
    <w:qFormat/>
    <w:uiPriority w:val="0"/>
    <w:pPr>
      <w:spacing w:line="480" w:lineRule="exact"/>
      <w:jc w:val="center"/>
    </w:pPr>
    <w:rPr>
      <w:sz w:val="24"/>
    </w:rPr>
  </w:style>
  <w:style w:type="character" w:customStyle="1" w:styleId="130">
    <w:name w:val="表文字（忠庆） Char"/>
    <w:link w:val="131"/>
    <w:qFormat/>
    <w:uiPriority w:val="0"/>
    <w:rPr>
      <w:kern w:val="2"/>
      <w:sz w:val="22"/>
      <w:szCs w:val="22"/>
    </w:rPr>
  </w:style>
  <w:style w:type="paragraph" w:customStyle="1" w:styleId="131">
    <w:name w:val="表文字（忠庆）"/>
    <w:basedOn w:val="1"/>
    <w:link w:val="130"/>
    <w:qFormat/>
    <w:uiPriority w:val="0"/>
    <w:pPr>
      <w:jc w:val="center"/>
    </w:pPr>
    <w:rPr>
      <w:sz w:val="22"/>
      <w:szCs w:val="22"/>
    </w:rPr>
  </w:style>
  <w:style w:type="character" w:customStyle="1" w:styleId="132">
    <w:name w:val="样式18 Char"/>
    <w:link w:val="133"/>
    <w:qFormat/>
    <w:uiPriority w:val="0"/>
    <w:rPr>
      <w:b/>
      <w:bCs/>
      <w:sz w:val="26"/>
      <w:szCs w:val="26"/>
    </w:rPr>
  </w:style>
  <w:style w:type="paragraph" w:customStyle="1" w:styleId="133">
    <w:name w:val="样式18"/>
    <w:basedOn w:val="1"/>
    <w:link w:val="132"/>
    <w:qFormat/>
    <w:uiPriority w:val="0"/>
    <w:pPr>
      <w:widowControl/>
      <w:spacing w:line="460" w:lineRule="atLeast"/>
      <w:ind w:firstLine="520"/>
      <w:jc w:val="left"/>
    </w:pPr>
    <w:rPr>
      <w:b/>
      <w:bCs/>
      <w:kern w:val="0"/>
      <w:sz w:val="26"/>
      <w:szCs w:val="26"/>
    </w:rPr>
  </w:style>
  <w:style w:type="character" w:customStyle="1" w:styleId="134">
    <w:name w:val="一级标题 Char"/>
    <w:link w:val="135"/>
    <w:qFormat/>
    <w:uiPriority w:val="0"/>
    <w:rPr>
      <w:rFonts w:ascii="宋体" w:hAnsi="宋体"/>
      <w:b/>
      <w:kern w:val="2"/>
      <w:sz w:val="28"/>
      <w:szCs w:val="28"/>
    </w:rPr>
  </w:style>
  <w:style w:type="paragraph" w:customStyle="1" w:styleId="135">
    <w:name w:val="一级标题"/>
    <w:basedOn w:val="1"/>
    <w:link w:val="134"/>
    <w:qFormat/>
    <w:uiPriority w:val="0"/>
    <w:pPr>
      <w:spacing w:line="400" w:lineRule="exact"/>
    </w:pPr>
    <w:rPr>
      <w:rFonts w:ascii="宋体" w:hAnsi="宋体"/>
      <w:b/>
      <w:sz w:val="28"/>
      <w:szCs w:val="28"/>
    </w:rPr>
  </w:style>
  <w:style w:type="character" w:customStyle="1" w:styleId="136">
    <w:name w:val="报告表格 Char"/>
    <w:link w:val="137"/>
    <w:qFormat/>
    <w:uiPriority w:val="0"/>
    <w:rPr>
      <w:sz w:val="21"/>
    </w:rPr>
  </w:style>
  <w:style w:type="paragraph" w:customStyle="1" w:styleId="137">
    <w:name w:val="报告表格"/>
    <w:basedOn w:val="1"/>
    <w:link w:val="136"/>
    <w:qFormat/>
    <w:uiPriority w:val="0"/>
    <w:pPr>
      <w:autoSpaceDE w:val="0"/>
      <w:autoSpaceDN w:val="0"/>
      <w:spacing w:before="40" w:after="40"/>
      <w:jc w:val="center"/>
      <w:textAlignment w:val="bottom"/>
    </w:pPr>
    <w:rPr>
      <w:kern w:val="0"/>
      <w:szCs w:val="20"/>
    </w:rPr>
  </w:style>
  <w:style w:type="character" w:customStyle="1" w:styleId="138">
    <w:name w:val="亚行正文 Char"/>
    <w:link w:val="139"/>
    <w:qFormat/>
    <w:uiPriority w:val="0"/>
    <w:rPr>
      <w:sz w:val="24"/>
      <w:szCs w:val="24"/>
    </w:rPr>
  </w:style>
  <w:style w:type="paragraph" w:customStyle="1" w:styleId="139">
    <w:name w:val="亚行正文"/>
    <w:basedOn w:val="1"/>
    <w:link w:val="138"/>
    <w:qFormat/>
    <w:uiPriority w:val="0"/>
    <w:pPr>
      <w:wordWrap w:val="0"/>
      <w:ind w:left="-2" w:leftChars="-1" w:firstLine="473" w:firstLineChars="197"/>
    </w:pPr>
    <w:rPr>
      <w:kern w:val="0"/>
      <w:sz w:val="24"/>
    </w:rPr>
  </w:style>
  <w:style w:type="character" w:customStyle="1" w:styleId="140">
    <w:name w:val="样式1 Char"/>
    <w:link w:val="141"/>
    <w:qFormat/>
    <w:uiPriority w:val="0"/>
    <w:rPr>
      <w:rFonts w:ascii="宋体" w:hAnsi="宋体"/>
      <w:spacing w:val="-10"/>
      <w:kern w:val="2"/>
      <w:sz w:val="28"/>
      <w:szCs w:val="28"/>
    </w:rPr>
  </w:style>
  <w:style w:type="paragraph" w:customStyle="1" w:styleId="141">
    <w:name w:val="样式1"/>
    <w:basedOn w:val="1"/>
    <w:link w:val="140"/>
    <w:qFormat/>
    <w:uiPriority w:val="0"/>
    <w:pPr>
      <w:spacing w:line="180" w:lineRule="atLeast"/>
      <w:ind w:firstLine="552"/>
    </w:pPr>
    <w:rPr>
      <w:rFonts w:ascii="宋体" w:hAnsi="宋体"/>
      <w:spacing w:val="-10"/>
      <w:sz w:val="28"/>
      <w:szCs w:val="28"/>
    </w:rPr>
  </w:style>
  <w:style w:type="character" w:customStyle="1" w:styleId="142">
    <w:name w:val="表文字 Char"/>
    <w:link w:val="143"/>
    <w:qFormat/>
    <w:uiPriority w:val="0"/>
    <w:rPr>
      <w:sz w:val="21"/>
      <w:szCs w:val="21"/>
    </w:rPr>
  </w:style>
  <w:style w:type="paragraph" w:customStyle="1" w:styleId="143">
    <w:name w:val="表文字"/>
    <w:link w:val="142"/>
    <w:qFormat/>
    <w:uiPriority w:val="0"/>
    <w:pPr>
      <w:widowControl w:val="0"/>
      <w:adjustRightInd w:val="0"/>
      <w:spacing w:line="240" w:lineRule="exact"/>
      <w:jc w:val="center"/>
      <w:textAlignment w:val="baseline"/>
    </w:pPr>
    <w:rPr>
      <w:rFonts w:ascii="Times New Roman" w:hAnsi="Times New Roman" w:eastAsia="宋体" w:cs="Times New Roman"/>
      <w:sz w:val="21"/>
      <w:szCs w:val="21"/>
      <w:lang w:val="en-US" w:eastAsia="zh-CN" w:bidi="ar-SA"/>
    </w:rPr>
  </w:style>
  <w:style w:type="character" w:customStyle="1" w:styleId="144">
    <w:name w:val="样式 (西文) Times New Roman (中文) 宋体 (符号) 宋体 行距: 固定值 20 磅 首行缩进:  ... Char"/>
    <w:link w:val="145"/>
    <w:qFormat/>
    <w:uiPriority w:val="0"/>
    <w:rPr>
      <w:rFonts w:hAnsi="宋体"/>
      <w:sz w:val="24"/>
      <w:lang w:eastAsia="de-DE"/>
    </w:rPr>
  </w:style>
  <w:style w:type="paragraph" w:customStyle="1" w:styleId="145">
    <w:name w:val="样式 (西文) Times New Roman (中文) 宋体 (符号) 宋体 行距: 固定值 20 磅 首行缩进:  ..."/>
    <w:basedOn w:val="1"/>
    <w:link w:val="144"/>
    <w:qFormat/>
    <w:uiPriority w:val="0"/>
    <w:pPr>
      <w:widowControl/>
      <w:spacing w:line="400" w:lineRule="exact"/>
    </w:pPr>
    <w:rPr>
      <w:rFonts w:hAnsi="宋体"/>
      <w:kern w:val="0"/>
      <w:sz w:val="24"/>
      <w:szCs w:val="20"/>
      <w:lang w:eastAsia="de-DE"/>
    </w:rPr>
  </w:style>
  <w:style w:type="character" w:customStyle="1" w:styleId="146">
    <w:name w:val="排版正文 Char"/>
    <w:link w:val="147"/>
    <w:qFormat/>
    <w:uiPriority w:val="0"/>
    <w:rPr>
      <w:rFonts w:ascii="宋体" w:hAnsi="宋体"/>
      <w:color w:val="000000"/>
      <w:sz w:val="24"/>
      <w:szCs w:val="24"/>
    </w:rPr>
  </w:style>
  <w:style w:type="paragraph" w:customStyle="1" w:styleId="147">
    <w:name w:val="排版正文"/>
    <w:basedOn w:val="1"/>
    <w:link w:val="146"/>
    <w:qFormat/>
    <w:uiPriority w:val="0"/>
    <w:pPr>
      <w:spacing w:line="480" w:lineRule="exact"/>
      <w:ind w:firstLine="480"/>
    </w:pPr>
    <w:rPr>
      <w:rFonts w:ascii="宋体" w:hAnsi="宋体"/>
      <w:color w:val="000000"/>
      <w:kern w:val="0"/>
      <w:sz w:val="24"/>
    </w:rPr>
  </w:style>
  <w:style w:type="character" w:customStyle="1" w:styleId="148">
    <w:name w:val="报告书正文 Char Char"/>
    <w:link w:val="149"/>
    <w:qFormat/>
    <w:locked/>
    <w:uiPriority w:val="99"/>
    <w:rPr>
      <w:rFonts w:hAnsi="宋体"/>
      <w:spacing w:val="10"/>
      <w:kern w:val="2"/>
      <w:sz w:val="24"/>
      <w:szCs w:val="24"/>
    </w:rPr>
  </w:style>
  <w:style w:type="paragraph" w:customStyle="1" w:styleId="149">
    <w:name w:val="报告书正文"/>
    <w:basedOn w:val="25"/>
    <w:link w:val="148"/>
    <w:qFormat/>
    <w:uiPriority w:val="99"/>
    <w:pPr>
      <w:spacing w:line="500" w:lineRule="exact"/>
      <w:ind w:firstLine="480"/>
    </w:pPr>
    <w:rPr>
      <w:rFonts w:ascii="Times New Roman" w:hAnsi="宋体" w:eastAsia="宋体"/>
      <w:spacing w:val="10"/>
      <w:sz w:val="24"/>
      <w:szCs w:val="24"/>
    </w:rPr>
  </w:style>
  <w:style w:type="character" w:customStyle="1" w:styleId="150">
    <w:name w:val="表格编号 Char Char"/>
    <w:link w:val="151"/>
    <w:qFormat/>
    <w:uiPriority w:val="0"/>
    <w:rPr>
      <w:kern w:val="2"/>
      <w:sz w:val="24"/>
    </w:rPr>
  </w:style>
  <w:style w:type="paragraph" w:customStyle="1" w:styleId="151">
    <w:name w:val="表格编号"/>
    <w:basedOn w:val="1"/>
    <w:next w:val="1"/>
    <w:link w:val="150"/>
    <w:qFormat/>
    <w:uiPriority w:val="0"/>
    <w:pPr>
      <w:spacing w:before="300" w:after="200"/>
      <w:jc w:val="center"/>
    </w:pPr>
    <w:rPr>
      <w:sz w:val="24"/>
      <w:szCs w:val="20"/>
    </w:rPr>
  </w:style>
  <w:style w:type="character" w:customStyle="1" w:styleId="152">
    <w:name w:val="样式 合发肉禽正文 + 首行缩进:  2 字符 Char"/>
    <w:link w:val="153"/>
    <w:qFormat/>
    <w:uiPriority w:val="0"/>
    <w:rPr>
      <w:rFonts w:ascii="宋体" w:hAnsi="宋体" w:cs="宋体"/>
      <w:sz w:val="24"/>
      <w:shd w:val="clear" w:color="auto" w:fill="FFFFFF"/>
    </w:rPr>
  </w:style>
  <w:style w:type="paragraph" w:customStyle="1" w:styleId="153">
    <w:name w:val="样式 合发肉禽正文 + 首行缩进:  2 字符"/>
    <w:basedOn w:val="1"/>
    <w:link w:val="152"/>
    <w:qFormat/>
    <w:uiPriority w:val="0"/>
    <w:pPr>
      <w:widowControl/>
      <w:shd w:val="clear" w:color="auto" w:fill="FFFFFF"/>
      <w:spacing w:before="60" w:after="60"/>
    </w:pPr>
    <w:rPr>
      <w:rFonts w:ascii="宋体" w:hAnsi="宋体" w:cs="宋体"/>
      <w:kern w:val="0"/>
      <w:sz w:val="24"/>
      <w:szCs w:val="20"/>
    </w:rPr>
  </w:style>
  <w:style w:type="character" w:customStyle="1" w:styleId="154">
    <w:name w:val="正文11111111111111111111111 Char"/>
    <w:link w:val="155"/>
    <w:qFormat/>
    <w:uiPriority w:val="0"/>
    <w:rPr>
      <w:rFonts w:cs="宋体"/>
      <w:kern w:val="2"/>
      <w:sz w:val="24"/>
    </w:rPr>
  </w:style>
  <w:style w:type="paragraph" w:customStyle="1" w:styleId="155">
    <w:name w:val="正文11111111111111111111111"/>
    <w:basedOn w:val="1"/>
    <w:link w:val="154"/>
    <w:qFormat/>
    <w:uiPriority w:val="0"/>
    <w:pPr>
      <w:spacing w:line="480" w:lineRule="exact"/>
      <w:ind w:firstLine="480"/>
    </w:pPr>
    <w:rPr>
      <w:rFonts w:cs="宋体"/>
      <w:sz w:val="24"/>
      <w:szCs w:val="20"/>
    </w:rPr>
  </w:style>
  <w:style w:type="character" w:customStyle="1" w:styleId="156">
    <w:name w:val="样式 左 首行缩进:  1.01 厘米 Char"/>
    <w:link w:val="157"/>
    <w:qFormat/>
    <w:uiPriority w:val="0"/>
    <w:rPr>
      <w:rFonts w:cs="宋体"/>
      <w:kern w:val="2"/>
      <w:sz w:val="26"/>
      <w:szCs w:val="26"/>
    </w:rPr>
  </w:style>
  <w:style w:type="paragraph" w:customStyle="1" w:styleId="157">
    <w:name w:val="样式 左 首行缩进:  1.01 厘米"/>
    <w:basedOn w:val="1"/>
    <w:link w:val="156"/>
    <w:qFormat/>
    <w:uiPriority w:val="0"/>
    <w:pPr>
      <w:spacing w:line="460" w:lineRule="exact"/>
    </w:pPr>
    <w:rPr>
      <w:rFonts w:cs="宋体"/>
      <w:sz w:val="26"/>
      <w:szCs w:val="26"/>
    </w:rPr>
  </w:style>
  <w:style w:type="character" w:customStyle="1" w:styleId="158">
    <w:name w:val="表内格式 Char"/>
    <w:link w:val="159"/>
    <w:qFormat/>
    <w:uiPriority w:val="0"/>
    <w:rPr>
      <w:kern w:val="2"/>
      <w:sz w:val="18"/>
    </w:rPr>
  </w:style>
  <w:style w:type="paragraph" w:customStyle="1" w:styleId="159">
    <w:name w:val="表内格式"/>
    <w:basedOn w:val="1"/>
    <w:link w:val="158"/>
    <w:qFormat/>
    <w:uiPriority w:val="0"/>
    <w:pPr>
      <w:spacing w:after="60"/>
      <w:ind w:firstLine="480"/>
      <w:jc w:val="center"/>
    </w:pPr>
    <w:rPr>
      <w:sz w:val="18"/>
      <w:szCs w:val="20"/>
    </w:rPr>
  </w:style>
  <w:style w:type="character" w:customStyle="1" w:styleId="160">
    <w:name w:val="标题3 Char"/>
    <w:link w:val="161"/>
    <w:qFormat/>
    <w:uiPriority w:val="0"/>
    <w:rPr>
      <w:b/>
      <w:sz w:val="24"/>
      <w:szCs w:val="28"/>
    </w:rPr>
  </w:style>
  <w:style w:type="paragraph" w:customStyle="1" w:styleId="161">
    <w:name w:val="标题3"/>
    <w:basedOn w:val="7"/>
    <w:link w:val="160"/>
    <w:qFormat/>
    <w:uiPriority w:val="0"/>
    <w:pPr>
      <w:widowControl/>
      <w:spacing w:before="0" w:after="0" w:line="360" w:lineRule="auto"/>
    </w:pPr>
    <w:rPr>
      <w:bCs w:val="0"/>
      <w:kern w:val="0"/>
      <w:sz w:val="24"/>
      <w:szCs w:val="28"/>
    </w:rPr>
  </w:style>
  <w:style w:type="character" w:customStyle="1" w:styleId="162">
    <w:name w:val="样式7 Char"/>
    <w:link w:val="163"/>
    <w:qFormat/>
    <w:uiPriority w:val="0"/>
    <w:rPr>
      <w:kern w:val="2"/>
      <w:sz w:val="24"/>
      <w:szCs w:val="24"/>
    </w:rPr>
  </w:style>
  <w:style w:type="paragraph" w:customStyle="1" w:styleId="163">
    <w:name w:val="样式7"/>
    <w:basedOn w:val="1"/>
    <w:link w:val="162"/>
    <w:qFormat/>
    <w:uiPriority w:val="0"/>
    <w:pPr>
      <w:spacing w:beforeLines="50" w:afterLines="50"/>
    </w:pPr>
    <w:rPr>
      <w:sz w:val="24"/>
    </w:rPr>
  </w:style>
  <w:style w:type="character" w:customStyle="1" w:styleId="164">
    <w:name w:val="正文文字 Char"/>
    <w:link w:val="165"/>
    <w:qFormat/>
    <w:uiPriority w:val="0"/>
    <w:rPr>
      <w:kern w:val="2"/>
      <w:sz w:val="28"/>
      <w:szCs w:val="28"/>
    </w:rPr>
  </w:style>
  <w:style w:type="paragraph" w:customStyle="1" w:styleId="165">
    <w:name w:val="正文文字"/>
    <w:basedOn w:val="1"/>
    <w:link w:val="164"/>
    <w:qFormat/>
    <w:uiPriority w:val="0"/>
    <w:pPr>
      <w:widowControl/>
      <w:ind w:firstLine="960"/>
    </w:pPr>
    <w:rPr>
      <w:sz w:val="28"/>
      <w:szCs w:val="28"/>
    </w:rPr>
  </w:style>
  <w:style w:type="character" w:customStyle="1" w:styleId="166">
    <w:name w:val="报告表正文 Char1"/>
    <w:link w:val="167"/>
    <w:qFormat/>
    <w:uiPriority w:val="0"/>
    <w:rPr>
      <w:kern w:val="2"/>
      <w:sz w:val="21"/>
      <w:szCs w:val="24"/>
    </w:rPr>
  </w:style>
  <w:style w:type="paragraph" w:customStyle="1" w:styleId="167">
    <w:name w:val="报告表正文"/>
    <w:basedOn w:val="1"/>
    <w:link w:val="166"/>
    <w:qFormat/>
    <w:uiPriority w:val="0"/>
    <w:pPr>
      <w:spacing w:line="240" w:lineRule="auto"/>
      <w:ind w:firstLine="0" w:firstLineChars="0"/>
    </w:pPr>
  </w:style>
  <w:style w:type="character" w:customStyle="1" w:styleId="168">
    <w:name w:val="表文 Char Char"/>
    <w:link w:val="169"/>
    <w:qFormat/>
    <w:locked/>
    <w:uiPriority w:val="0"/>
    <w:rPr>
      <w:color w:val="000000"/>
      <w:kern w:val="2"/>
      <w:sz w:val="22"/>
      <w:szCs w:val="21"/>
    </w:rPr>
  </w:style>
  <w:style w:type="paragraph" w:customStyle="1" w:styleId="169">
    <w:name w:val="表文"/>
    <w:basedOn w:val="1"/>
    <w:link w:val="168"/>
    <w:qFormat/>
    <w:uiPriority w:val="0"/>
    <w:pPr>
      <w:overflowPunct w:val="0"/>
      <w:spacing w:line="300" w:lineRule="exact"/>
      <w:ind w:left="1" w:leftChars="-4" w:hanging="9" w:hangingChars="4"/>
      <w:jc w:val="center"/>
    </w:pPr>
    <w:rPr>
      <w:color w:val="000000"/>
      <w:sz w:val="22"/>
      <w:szCs w:val="21"/>
    </w:rPr>
  </w:style>
  <w:style w:type="character" w:customStyle="1" w:styleId="170">
    <w:name w:val="表头11111111111 Char"/>
    <w:link w:val="171"/>
    <w:qFormat/>
    <w:uiPriority w:val="0"/>
    <w:rPr>
      <w:rFonts w:ascii="黑体" w:eastAsia="黑体"/>
      <w:bCs/>
      <w:color w:val="000000"/>
      <w:kern w:val="2"/>
      <w:sz w:val="21"/>
      <w:szCs w:val="21"/>
    </w:rPr>
  </w:style>
  <w:style w:type="paragraph" w:customStyle="1" w:styleId="171">
    <w:name w:val="表头11111111111"/>
    <w:basedOn w:val="1"/>
    <w:link w:val="170"/>
    <w:qFormat/>
    <w:uiPriority w:val="0"/>
    <w:pPr>
      <w:spacing w:line="480" w:lineRule="exact"/>
      <w:jc w:val="center"/>
    </w:pPr>
    <w:rPr>
      <w:rFonts w:ascii="黑体" w:eastAsia="黑体"/>
      <w:bCs/>
      <w:color w:val="000000"/>
      <w:szCs w:val="21"/>
    </w:rPr>
  </w:style>
  <w:style w:type="character" w:customStyle="1" w:styleId="172">
    <w:name w:val="表格题目 Char"/>
    <w:link w:val="173"/>
    <w:qFormat/>
    <w:uiPriority w:val="0"/>
    <w:rPr>
      <w:b/>
      <w:kern w:val="2"/>
      <w:sz w:val="24"/>
      <w:szCs w:val="24"/>
    </w:rPr>
  </w:style>
  <w:style w:type="paragraph" w:customStyle="1" w:styleId="173">
    <w:name w:val="表格题目"/>
    <w:basedOn w:val="1"/>
    <w:next w:val="167"/>
    <w:link w:val="172"/>
    <w:qFormat/>
    <w:uiPriority w:val="0"/>
    <w:pPr>
      <w:spacing w:before="120" w:beforeLines="50" w:after="60"/>
      <w:ind w:firstLine="480"/>
      <w:jc w:val="center"/>
    </w:pPr>
    <w:rPr>
      <w:b/>
      <w:sz w:val="24"/>
    </w:rPr>
  </w:style>
  <w:style w:type="character" w:customStyle="1" w:styleId="174">
    <w:name w:val="表格内容 Char"/>
    <w:link w:val="175"/>
    <w:qFormat/>
    <w:uiPriority w:val="0"/>
    <w:rPr>
      <w:sz w:val="21"/>
      <w:szCs w:val="21"/>
    </w:rPr>
  </w:style>
  <w:style w:type="paragraph" w:customStyle="1" w:styleId="175">
    <w:name w:val="表格内容"/>
    <w:basedOn w:val="1"/>
    <w:link w:val="174"/>
    <w:qFormat/>
    <w:uiPriority w:val="0"/>
    <w:pPr>
      <w:spacing w:after="60" w:line="240" w:lineRule="atLeast"/>
      <w:jc w:val="center"/>
      <w:textAlignment w:val="baseline"/>
    </w:pPr>
    <w:rPr>
      <w:kern w:val="0"/>
      <w:szCs w:val="21"/>
    </w:rPr>
  </w:style>
  <w:style w:type="character" w:customStyle="1" w:styleId="176">
    <w:name w:val="新格式表 Char"/>
    <w:link w:val="177"/>
    <w:qFormat/>
    <w:locked/>
    <w:uiPriority w:val="0"/>
    <w:rPr>
      <w:color w:val="000000"/>
      <w:kern w:val="2"/>
      <w:sz w:val="24"/>
      <w:szCs w:val="24"/>
    </w:rPr>
  </w:style>
  <w:style w:type="paragraph" w:customStyle="1" w:styleId="177">
    <w:name w:val="新格式表"/>
    <w:basedOn w:val="1"/>
    <w:link w:val="176"/>
    <w:qFormat/>
    <w:uiPriority w:val="0"/>
    <w:pPr>
      <w:framePr w:hSpace="180" w:wrap="around" w:vAnchor="text" w:hAnchor="margin" w:y="2"/>
      <w:spacing w:line="340" w:lineRule="exact"/>
      <w:jc w:val="center"/>
    </w:pPr>
    <w:rPr>
      <w:color w:val="000000"/>
      <w:sz w:val="24"/>
    </w:rPr>
  </w:style>
  <w:style w:type="character" w:customStyle="1" w:styleId="178">
    <w:name w:val="标题2 Char Char"/>
    <w:link w:val="179"/>
    <w:qFormat/>
    <w:uiPriority w:val="0"/>
    <w:rPr>
      <w:rFonts w:ascii="Arial" w:hAnsi="Arial" w:eastAsia="黑体" w:cs="Arial"/>
      <w:kern w:val="44"/>
      <w:sz w:val="28"/>
      <w:szCs w:val="32"/>
      <w:lang w:val="da-DK"/>
    </w:rPr>
  </w:style>
  <w:style w:type="paragraph" w:customStyle="1" w:styleId="179">
    <w:name w:val="标题2"/>
    <w:basedOn w:val="5"/>
    <w:link w:val="178"/>
    <w:qFormat/>
    <w:uiPriority w:val="0"/>
    <w:pPr>
      <w:keepLines/>
      <w:overflowPunct/>
      <w:spacing w:before="340" w:beforeLines="100" w:after="330" w:afterLines="100" w:line="240" w:lineRule="auto"/>
      <w:jc w:val="left"/>
    </w:pPr>
    <w:rPr>
      <w:rFonts w:ascii="Arial" w:hAnsi="Arial" w:cs="Arial"/>
      <w:b w:val="0"/>
      <w:bCs w:val="0"/>
      <w:color w:val="auto"/>
      <w:sz w:val="28"/>
      <w:szCs w:val="32"/>
      <w:lang w:val="da-DK"/>
    </w:rPr>
  </w:style>
  <w:style w:type="character" w:customStyle="1" w:styleId="180">
    <w:name w:val="表头1 Char"/>
    <w:link w:val="181"/>
    <w:qFormat/>
    <w:uiPriority w:val="0"/>
    <w:rPr>
      <w:rFonts w:eastAsia="黑体"/>
      <w:sz w:val="21"/>
      <w:szCs w:val="28"/>
    </w:rPr>
  </w:style>
  <w:style w:type="paragraph" w:customStyle="1" w:styleId="181">
    <w:name w:val="表头1"/>
    <w:basedOn w:val="1"/>
    <w:next w:val="1"/>
    <w:link w:val="180"/>
    <w:qFormat/>
    <w:uiPriority w:val="0"/>
    <w:pPr>
      <w:spacing w:line="400" w:lineRule="exact"/>
      <w:jc w:val="center"/>
    </w:pPr>
    <w:rPr>
      <w:rFonts w:eastAsia="黑体"/>
      <w:kern w:val="0"/>
      <w:szCs w:val="28"/>
    </w:rPr>
  </w:style>
  <w:style w:type="character" w:customStyle="1" w:styleId="182">
    <w:name w:val="报告 Char"/>
    <w:link w:val="183"/>
    <w:qFormat/>
    <w:uiPriority w:val="0"/>
    <w:rPr>
      <w:sz w:val="24"/>
    </w:rPr>
  </w:style>
  <w:style w:type="paragraph" w:customStyle="1" w:styleId="183">
    <w:name w:val="报告"/>
    <w:basedOn w:val="1"/>
    <w:link w:val="182"/>
    <w:qFormat/>
    <w:uiPriority w:val="0"/>
    <w:pPr>
      <w:ind w:firstLine="505"/>
      <w:textAlignment w:val="center"/>
    </w:pPr>
    <w:rPr>
      <w:kern w:val="0"/>
      <w:sz w:val="24"/>
      <w:szCs w:val="20"/>
    </w:rPr>
  </w:style>
  <w:style w:type="character" w:customStyle="1" w:styleId="184">
    <w:name w:val="表内字 Char Char"/>
    <w:link w:val="185"/>
    <w:qFormat/>
    <w:uiPriority w:val="0"/>
    <w:rPr>
      <w:iCs/>
      <w:color w:val="000000"/>
      <w:kern w:val="2"/>
      <w:sz w:val="18"/>
      <w:szCs w:val="15"/>
    </w:rPr>
  </w:style>
  <w:style w:type="paragraph" w:customStyle="1" w:styleId="185">
    <w:name w:val="表内字"/>
    <w:link w:val="184"/>
    <w:qFormat/>
    <w:uiPriority w:val="0"/>
    <w:pPr>
      <w:tabs>
        <w:tab w:val="left" w:pos="1572"/>
      </w:tabs>
      <w:spacing w:line="240" w:lineRule="exact"/>
      <w:jc w:val="center"/>
    </w:pPr>
    <w:rPr>
      <w:rFonts w:ascii="Times New Roman" w:hAnsi="Times New Roman" w:eastAsia="宋体" w:cs="Times New Roman"/>
      <w:iCs/>
      <w:color w:val="000000"/>
      <w:kern w:val="2"/>
      <w:sz w:val="18"/>
      <w:szCs w:val="15"/>
      <w:lang w:val="en-US" w:eastAsia="zh-CN" w:bidi="ar-SA"/>
    </w:rPr>
  </w:style>
  <w:style w:type="character" w:customStyle="1" w:styleId="186">
    <w:name w:val="正文(首行缩进) Char"/>
    <w:link w:val="187"/>
    <w:qFormat/>
    <w:uiPriority w:val="0"/>
    <w:rPr>
      <w:sz w:val="24"/>
      <w:szCs w:val="24"/>
    </w:rPr>
  </w:style>
  <w:style w:type="paragraph" w:customStyle="1" w:styleId="187">
    <w:name w:val="正文(首行缩进)"/>
    <w:basedOn w:val="1"/>
    <w:link w:val="186"/>
    <w:qFormat/>
    <w:uiPriority w:val="0"/>
    <w:rPr>
      <w:kern w:val="0"/>
      <w:sz w:val="24"/>
    </w:rPr>
  </w:style>
  <w:style w:type="character" w:customStyle="1" w:styleId="188">
    <w:name w:val="表格文字-hao-居中 Char"/>
    <w:link w:val="189"/>
    <w:qFormat/>
    <w:uiPriority w:val="0"/>
    <w:rPr>
      <w:sz w:val="21"/>
      <w:szCs w:val="24"/>
    </w:rPr>
  </w:style>
  <w:style w:type="paragraph" w:customStyle="1" w:styleId="189">
    <w:name w:val="表格文字-hao-居中"/>
    <w:link w:val="188"/>
    <w:qFormat/>
    <w:uiPriority w:val="0"/>
    <w:pPr>
      <w:adjustRightInd w:val="0"/>
      <w:snapToGrid w:val="0"/>
      <w:spacing w:line="360" w:lineRule="exact"/>
      <w:jc w:val="center"/>
      <w:textAlignment w:val="center"/>
    </w:pPr>
    <w:rPr>
      <w:rFonts w:ascii="Times New Roman" w:hAnsi="Times New Roman" w:eastAsia="宋体" w:cs="Times New Roman"/>
      <w:sz w:val="21"/>
      <w:szCs w:val="24"/>
      <w:lang w:val="en-US" w:eastAsia="zh-CN" w:bidi="ar-SA"/>
    </w:rPr>
  </w:style>
  <w:style w:type="character" w:customStyle="1" w:styleId="190">
    <w:name w:val="正文 Char"/>
    <w:link w:val="191"/>
    <w:qFormat/>
    <w:uiPriority w:val="0"/>
    <w:rPr>
      <w:rFonts w:ascii="宋体"/>
      <w:sz w:val="24"/>
    </w:rPr>
  </w:style>
  <w:style w:type="paragraph" w:customStyle="1" w:styleId="191">
    <w:name w:val="正文3"/>
    <w:basedOn w:val="1"/>
    <w:link w:val="190"/>
    <w:qFormat/>
    <w:uiPriority w:val="0"/>
    <w:pPr>
      <w:spacing w:before="120" w:line="315" w:lineRule="atLeast"/>
      <w:jc w:val="left"/>
      <w:textAlignment w:val="baseline"/>
    </w:pPr>
    <w:rPr>
      <w:rFonts w:ascii="宋体"/>
      <w:kern w:val="0"/>
      <w:sz w:val="24"/>
      <w:szCs w:val="20"/>
    </w:rPr>
  </w:style>
  <w:style w:type="character" w:customStyle="1" w:styleId="192">
    <w:name w:val="WJ正文 Char"/>
    <w:link w:val="193"/>
    <w:qFormat/>
    <w:uiPriority w:val="0"/>
    <w:rPr>
      <w:rFonts w:ascii="宋体" w:hAnsi="宋体"/>
      <w:color w:val="000000"/>
      <w:sz w:val="24"/>
      <w:szCs w:val="24"/>
    </w:rPr>
  </w:style>
  <w:style w:type="paragraph" w:customStyle="1" w:styleId="193">
    <w:name w:val="WJ正文"/>
    <w:basedOn w:val="1"/>
    <w:next w:val="1"/>
    <w:link w:val="192"/>
    <w:qFormat/>
    <w:uiPriority w:val="0"/>
    <w:pPr>
      <w:widowControl/>
      <w:tabs>
        <w:tab w:val="left" w:pos="600"/>
      </w:tabs>
      <w:jc w:val="left"/>
    </w:pPr>
    <w:rPr>
      <w:rFonts w:ascii="宋体" w:hAnsi="宋体"/>
      <w:color w:val="000000"/>
      <w:kern w:val="0"/>
      <w:sz w:val="24"/>
    </w:rPr>
  </w:style>
  <w:style w:type="character" w:customStyle="1" w:styleId="194">
    <w:name w:val="环评报告书正文 Char"/>
    <w:link w:val="195"/>
    <w:qFormat/>
    <w:uiPriority w:val="0"/>
    <w:rPr>
      <w:rFonts w:ascii="宋体" w:hAnsi="宋体" w:cs="宋体"/>
      <w:sz w:val="24"/>
      <w:szCs w:val="24"/>
    </w:rPr>
  </w:style>
  <w:style w:type="paragraph" w:customStyle="1" w:styleId="195">
    <w:name w:val="环评报告书正文"/>
    <w:basedOn w:val="1"/>
    <w:link w:val="194"/>
    <w:qFormat/>
    <w:uiPriority w:val="0"/>
    <w:pPr>
      <w:widowControl/>
      <w:ind w:firstLine="465"/>
    </w:pPr>
    <w:rPr>
      <w:rFonts w:ascii="宋体" w:hAnsi="宋体" w:cs="宋体"/>
      <w:kern w:val="0"/>
      <w:sz w:val="24"/>
    </w:rPr>
  </w:style>
  <w:style w:type="character" w:customStyle="1" w:styleId="196">
    <w:name w:val="表格表格 Char"/>
    <w:link w:val="197"/>
    <w:qFormat/>
    <w:uiPriority w:val="0"/>
    <w:rPr>
      <w:color w:val="000000"/>
      <w:sz w:val="21"/>
      <w:szCs w:val="21"/>
    </w:rPr>
  </w:style>
  <w:style w:type="paragraph" w:customStyle="1" w:styleId="197">
    <w:name w:val="表格表格"/>
    <w:basedOn w:val="1"/>
    <w:link w:val="196"/>
    <w:qFormat/>
    <w:uiPriority w:val="0"/>
    <w:pPr>
      <w:jc w:val="left"/>
    </w:pPr>
    <w:rPr>
      <w:color w:val="000000"/>
      <w:kern w:val="0"/>
      <w:szCs w:val="21"/>
    </w:rPr>
  </w:style>
  <w:style w:type="character" w:customStyle="1" w:styleId="198">
    <w:name w:val="环评正文 Char"/>
    <w:link w:val="199"/>
    <w:qFormat/>
    <w:uiPriority w:val="0"/>
    <w:rPr>
      <w:rFonts w:eastAsia="仿宋_GB2312"/>
      <w:kern w:val="2"/>
      <w:sz w:val="24"/>
      <w:szCs w:val="24"/>
    </w:rPr>
  </w:style>
  <w:style w:type="paragraph" w:customStyle="1" w:styleId="199">
    <w:name w:val="环评正文"/>
    <w:basedOn w:val="1"/>
    <w:link w:val="198"/>
    <w:qFormat/>
    <w:uiPriority w:val="0"/>
    <w:pPr>
      <w:spacing w:before="60" w:after="60" w:line="400" w:lineRule="exact"/>
      <w:ind w:firstLine="480"/>
    </w:pPr>
    <w:rPr>
      <w:rFonts w:eastAsia="仿宋_GB2312"/>
      <w:sz w:val="24"/>
    </w:rPr>
  </w:style>
  <w:style w:type="character" w:customStyle="1" w:styleId="200">
    <w:name w:val="图中文字 Char"/>
    <w:link w:val="201"/>
    <w:qFormat/>
    <w:uiPriority w:val="0"/>
    <w:rPr>
      <w:sz w:val="21"/>
      <w:szCs w:val="24"/>
    </w:rPr>
  </w:style>
  <w:style w:type="paragraph" w:customStyle="1" w:styleId="201">
    <w:name w:val="图中文字"/>
    <w:link w:val="200"/>
    <w:qFormat/>
    <w:uiPriority w:val="0"/>
    <w:pPr>
      <w:adjustRightInd w:val="0"/>
      <w:snapToGrid w:val="0"/>
      <w:spacing w:line="240" w:lineRule="exact"/>
      <w:jc w:val="center"/>
      <w:textAlignment w:val="center"/>
    </w:pPr>
    <w:rPr>
      <w:rFonts w:ascii="Times New Roman" w:hAnsi="Times New Roman" w:eastAsia="宋体" w:cs="Times New Roman"/>
      <w:sz w:val="21"/>
      <w:szCs w:val="24"/>
      <w:lang w:val="en-US" w:eastAsia="zh-CN" w:bidi="ar-SA"/>
    </w:rPr>
  </w:style>
  <w:style w:type="character" w:customStyle="1" w:styleId="202">
    <w:name w:val="小四正文 Char"/>
    <w:link w:val="203"/>
    <w:qFormat/>
    <w:uiPriority w:val="0"/>
    <w:rPr>
      <w:rFonts w:hAnsi="宋体"/>
      <w:b/>
      <w:color w:val="000000"/>
      <w:kern w:val="2"/>
      <w:sz w:val="24"/>
      <w:szCs w:val="24"/>
    </w:rPr>
  </w:style>
  <w:style w:type="paragraph" w:customStyle="1" w:styleId="203">
    <w:name w:val="小四正文"/>
    <w:link w:val="202"/>
    <w:qFormat/>
    <w:uiPriority w:val="0"/>
    <w:pPr>
      <w:spacing w:line="480" w:lineRule="exact"/>
      <w:jc w:val="both"/>
    </w:pPr>
    <w:rPr>
      <w:rFonts w:ascii="Times New Roman" w:hAnsi="宋体" w:eastAsia="宋体" w:cs="Times New Roman"/>
      <w:b/>
      <w:color w:val="000000"/>
      <w:kern w:val="2"/>
      <w:sz w:val="24"/>
      <w:szCs w:val="24"/>
      <w:lang w:val="en-US" w:eastAsia="zh-CN" w:bidi="ar-SA"/>
    </w:rPr>
  </w:style>
  <w:style w:type="character" w:customStyle="1" w:styleId="204">
    <w:name w:val="00000正文 Char"/>
    <w:link w:val="205"/>
    <w:qFormat/>
    <w:uiPriority w:val="0"/>
    <w:rPr>
      <w:color w:val="000000"/>
      <w:kern w:val="2"/>
      <w:sz w:val="24"/>
      <w:szCs w:val="24"/>
    </w:rPr>
  </w:style>
  <w:style w:type="paragraph" w:customStyle="1" w:styleId="205">
    <w:name w:val="00000正文"/>
    <w:basedOn w:val="1"/>
    <w:link w:val="204"/>
    <w:qFormat/>
    <w:uiPriority w:val="0"/>
    <w:pPr>
      <w:ind w:firstLine="480"/>
      <w:jc w:val="left"/>
    </w:pPr>
    <w:rPr>
      <w:color w:val="000000"/>
      <w:sz w:val="24"/>
    </w:rPr>
  </w:style>
  <w:style w:type="character" w:customStyle="1" w:styleId="206">
    <w:name w:val="样式3 Char"/>
    <w:link w:val="207"/>
    <w:qFormat/>
    <w:uiPriority w:val="0"/>
    <w:rPr>
      <w:rFonts w:ascii="宋体" w:hAnsi="宋体"/>
      <w:kern w:val="2"/>
      <w:sz w:val="24"/>
    </w:rPr>
  </w:style>
  <w:style w:type="paragraph" w:customStyle="1" w:styleId="207">
    <w:name w:val="样式3"/>
    <w:basedOn w:val="1"/>
    <w:link w:val="206"/>
    <w:qFormat/>
    <w:uiPriority w:val="0"/>
    <w:pPr>
      <w:spacing w:line="440" w:lineRule="exact"/>
      <w:jc w:val="center"/>
    </w:pPr>
    <w:rPr>
      <w:rFonts w:ascii="宋体" w:hAnsi="宋体"/>
      <w:sz w:val="24"/>
      <w:szCs w:val="20"/>
    </w:rPr>
  </w:style>
  <w:style w:type="character" w:customStyle="1" w:styleId="208">
    <w:name w:val="蒲正文 Char"/>
    <w:link w:val="209"/>
    <w:qFormat/>
    <w:uiPriority w:val="0"/>
    <w:rPr>
      <w:rFonts w:ascii="宋体" w:hAnsi="宋体" w:cs="宋体"/>
      <w:sz w:val="24"/>
      <w:szCs w:val="24"/>
    </w:rPr>
  </w:style>
  <w:style w:type="paragraph" w:customStyle="1" w:styleId="209">
    <w:name w:val="蒲正文"/>
    <w:basedOn w:val="1"/>
    <w:link w:val="208"/>
    <w:qFormat/>
    <w:uiPriority w:val="0"/>
    <w:pPr>
      <w:tabs>
        <w:tab w:val="left" w:pos="5220"/>
      </w:tabs>
      <w:ind w:firstLine="480"/>
    </w:pPr>
    <w:rPr>
      <w:rFonts w:ascii="宋体" w:hAnsi="宋体" w:cs="宋体"/>
      <w:kern w:val="0"/>
      <w:sz w:val="24"/>
    </w:rPr>
  </w:style>
  <w:style w:type="character" w:customStyle="1" w:styleId="210">
    <w:name w:val="表格样式 Char"/>
    <w:link w:val="211"/>
    <w:qFormat/>
    <w:uiPriority w:val="0"/>
    <w:rPr>
      <w:color w:val="000000"/>
      <w:kern w:val="2"/>
      <w:sz w:val="22"/>
      <w:szCs w:val="22"/>
    </w:rPr>
  </w:style>
  <w:style w:type="paragraph" w:customStyle="1" w:styleId="211">
    <w:name w:val="表格样式"/>
    <w:basedOn w:val="1"/>
    <w:link w:val="210"/>
    <w:qFormat/>
    <w:uiPriority w:val="0"/>
    <w:pPr>
      <w:spacing w:line="320" w:lineRule="exact"/>
      <w:contextualSpacing/>
    </w:pPr>
    <w:rPr>
      <w:color w:val="000000"/>
      <w:sz w:val="22"/>
      <w:szCs w:val="22"/>
    </w:rPr>
  </w:style>
  <w:style w:type="paragraph" w:customStyle="1" w:styleId="212">
    <w:name w:val="样式 标题3 + 自动设置"/>
    <w:basedOn w:val="161"/>
    <w:qFormat/>
    <w:uiPriority w:val="0"/>
    <w:pPr>
      <w:widowControl w:val="0"/>
      <w:spacing w:beforeLines="50" w:afterLines="50" w:line="240" w:lineRule="auto"/>
      <w:textAlignment w:val="baseline"/>
    </w:pPr>
    <w:rPr>
      <w:bCs/>
      <w:szCs w:val="20"/>
    </w:rPr>
  </w:style>
  <w:style w:type="paragraph" w:customStyle="1" w:styleId="213">
    <w:name w:val="样式 报告书正文 + 楷体_GB2312"/>
    <w:basedOn w:val="149"/>
    <w:qFormat/>
    <w:uiPriority w:val="0"/>
    <w:pPr>
      <w:ind w:firstLine="200"/>
    </w:pPr>
    <w:rPr>
      <w:rFonts w:ascii="楷体_GB2312" w:hAnsi="楷体_GB2312"/>
      <w:color w:val="000000"/>
      <w:spacing w:val="0"/>
      <w:kern w:val="0"/>
      <w:sz w:val="28"/>
    </w:rPr>
  </w:style>
  <w:style w:type="paragraph" w:customStyle="1" w:styleId="214">
    <w:name w:val="样式 标题2 + 段前: 6 磅"/>
    <w:basedOn w:val="179"/>
    <w:qFormat/>
    <w:uiPriority w:val="0"/>
    <w:pPr>
      <w:snapToGrid/>
      <w:spacing w:beforeLines="50" w:afterLines="0" w:line="300" w:lineRule="auto"/>
      <w:jc w:val="both"/>
      <w:outlineLvl w:val="1"/>
    </w:pPr>
    <w:rPr>
      <w:rFonts w:ascii="黑体" w:hAnsi="Times New Roman" w:cs="宋体"/>
      <w:b/>
      <w:bCs/>
      <w:kern w:val="2"/>
      <w:szCs w:val="20"/>
    </w:rPr>
  </w:style>
  <w:style w:type="paragraph" w:customStyle="1" w:styleId="215">
    <w:name w:val="样式 标题2 + 段前: 0.5 行 段后: 0.5 行1"/>
    <w:basedOn w:val="179"/>
    <w:qFormat/>
    <w:uiPriority w:val="0"/>
    <w:rPr>
      <w:rFonts w:cs="宋体"/>
      <w:bCs/>
      <w:szCs w:val="20"/>
    </w:rPr>
  </w:style>
  <w:style w:type="paragraph" w:customStyle="1" w:styleId="216">
    <w:name w:val="注"/>
    <w:basedOn w:val="15"/>
    <w:qFormat/>
    <w:uiPriority w:val="0"/>
    <w:pPr>
      <w:keepNext/>
      <w:spacing w:line="360" w:lineRule="exact"/>
      <w:ind w:firstLine="200" w:firstLineChars="191"/>
      <w:jc w:val="left"/>
    </w:pPr>
    <w:rPr>
      <w:color w:val="000000"/>
      <w:sz w:val="21"/>
    </w:rPr>
  </w:style>
  <w:style w:type="paragraph" w:customStyle="1" w:styleId="217">
    <w:name w:val="样式 标题2 + 段前: 0.5 行 段后: 0.5 行"/>
    <w:basedOn w:val="179"/>
    <w:qFormat/>
    <w:uiPriority w:val="0"/>
    <w:pPr>
      <w:spacing w:before="120" w:after="120"/>
    </w:pPr>
    <w:rPr>
      <w:rFonts w:cs="宋体"/>
      <w:szCs w:val="20"/>
    </w:rPr>
  </w:style>
  <w:style w:type="paragraph" w:customStyle="1" w:styleId="218">
    <w:name w:val="样式 正文（首行缩进两字）正文缩进1正文（首行缩进两字） Char Char Char Char Char Char Cha..."/>
    <w:basedOn w:val="15"/>
    <w:qFormat/>
    <w:uiPriority w:val="0"/>
    <w:pPr>
      <w:keepNext/>
      <w:spacing w:line="480" w:lineRule="exact"/>
      <w:ind w:firstLine="480"/>
      <w:jc w:val="left"/>
    </w:pPr>
    <w:rPr>
      <w:color w:val="000000"/>
      <w:kern w:val="0"/>
      <w:sz w:val="24"/>
      <w:szCs w:val="24"/>
    </w:rPr>
  </w:style>
  <w:style w:type="paragraph" w:customStyle="1" w:styleId="219">
    <w:name w:val="样式 标题2 + 段前: 0.5 行"/>
    <w:basedOn w:val="179"/>
    <w:qFormat/>
    <w:uiPriority w:val="0"/>
    <w:pPr>
      <w:spacing w:beforeLines="50"/>
    </w:pPr>
    <w:rPr>
      <w:rFonts w:cs="宋体"/>
      <w:szCs w:val="20"/>
    </w:rPr>
  </w:style>
  <w:style w:type="paragraph" w:customStyle="1" w:styleId="220">
    <w:name w:val="样式 样式 标题2 + 段前: 0.5 行 + 段前: 0.5 行"/>
    <w:basedOn w:val="219"/>
    <w:qFormat/>
    <w:uiPriority w:val="0"/>
    <w:pPr>
      <w:snapToGrid/>
      <w:spacing w:before="156" w:afterLines="0" w:line="300" w:lineRule="auto"/>
      <w:jc w:val="both"/>
      <w:outlineLvl w:val="1"/>
    </w:pPr>
    <w:rPr>
      <w:rFonts w:ascii="黑体" w:hAnsi="Times New Roman"/>
      <w:b/>
      <w:bCs/>
      <w:kern w:val="2"/>
      <w:szCs w:val="28"/>
    </w:rPr>
  </w:style>
  <w:style w:type="paragraph" w:customStyle="1" w:styleId="221">
    <w:name w:val="样式 样式 标题2"/>
    <w:basedOn w:val="219"/>
    <w:qFormat/>
    <w:uiPriority w:val="0"/>
    <w:pPr>
      <w:spacing w:before="50"/>
    </w:pPr>
  </w:style>
  <w:style w:type="paragraph" w:customStyle="1" w:styleId="222">
    <w:name w:val="样式 正文缩进正文缩进1正文（首行缩进两字） Char Char Char Char Char Char Char文本条款...1"/>
    <w:basedOn w:val="15"/>
    <w:qFormat/>
    <w:uiPriority w:val="0"/>
    <w:pPr>
      <w:tabs>
        <w:tab w:val="left" w:pos="540"/>
        <w:tab w:val="left" w:pos="1050"/>
        <w:tab w:val="left" w:pos="1260"/>
        <w:tab w:val="left" w:pos="1800"/>
      </w:tabs>
      <w:spacing w:line="480" w:lineRule="exact"/>
      <w:ind w:firstLine="480"/>
      <w:jc w:val="left"/>
    </w:pPr>
    <w:rPr>
      <w:rFonts w:cs="宋体"/>
      <w:color w:val="000000"/>
      <w:kern w:val="24"/>
      <w:sz w:val="24"/>
      <w:szCs w:val="24"/>
    </w:rPr>
  </w:style>
  <w:style w:type="paragraph" w:customStyle="1" w:styleId="223">
    <w:name w:val="样式 报告书正文 + 首行缩进:  2 字符"/>
    <w:basedOn w:val="149"/>
    <w:qFormat/>
    <w:uiPriority w:val="0"/>
    <w:pPr>
      <w:tabs>
        <w:tab w:val="left" w:pos="6300"/>
      </w:tabs>
      <w:adjustRightInd/>
      <w:snapToGrid/>
      <w:spacing w:line="360" w:lineRule="auto"/>
      <w:ind w:firstLine="482"/>
    </w:pPr>
    <w:rPr>
      <w:rFonts w:hAnsi="Times New Roman" w:cs="宋体"/>
      <w:b/>
      <w:color w:val="000000"/>
      <w:spacing w:val="0"/>
      <w:szCs w:val="20"/>
    </w:rPr>
  </w:style>
  <w:style w:type="paragraph" w:customStyle="1" w:styleId="224">
    <w:name w:val="样式 正文（首行缩进两字）正文缩进1正文（首行缩进两字） Char Char Char Char Char Char Cha...1"/>
    <w:basedOn w:val="15"/>
    <w:qFormat/>
    <w:uiPriority w:val="0"/>
    <w:pPr>
      <w:keepNext/>
      <w:spacing w:line="480" w:lineRule="exact"/>
      <w:ind w:firstLine="560"/>
      <w:jc w:val="left"/>
    </w:pPr>
    <w:rPr>
      <w:rFonts w:cs="宋体"/>
      <w:color w:val="000000"/>
      <w:kern w:val="0"/>
      <w:sz w:val="24"/>
      <w:szCs w:val="24"/>
    </w:rPr>
  </w:style>
  <w:style w:type="paragraph" w:customStyle="1" w:styleId="225">
    <w:name w:val="样式 标题2 + 段前: 6 磅1"/>
    <w:basedOn w:val="179"/>
    <w:qFormat/>
    <w:uiPriority w:val="0"/>
    <w:pPr>
      <w:snapToGrid/>
      <w:spacing w:beforeLines="50" w:afterLines="0" w:line="300" w:lineRule="auto"/>
      <w:jc w:val="both"/>
      <w:outlineLvl w:val="1"/>
    </w:pPr>
    <w:rPr>
      <w:rFonts w:ascii="黑体" w:hAnsi="Times New Roman" w:cs="宋体"/>
      <w:b/>
      <w:bCs/>
      <w:kern w:val="2"/>
      <w:szCs w:val="20"/>
    </w:rPr>
  </w:style>
  <w:style w:type="paragraph" w:customStyle="1" w:styleId="226">
    <w:name w:val="样式 标题3 + 段前: 0.5 行 段后: 0.5 行"/>
    <w:basedOn w:val="161"/>
    <w:qFormat/>
    <w:uiPriority w:val="0"/>
    <w:pPr>
      <w:keepNext w:val="0"/>
      <w:keepLines w:val="0"/>
      <w:widowControl w:val="0"/>
      <w:adjustRightInd/>
      <w:snapToGrid/>
      <w:spacing w:before="120" w:beforeLines="50" w:after="120" w:afterLines="50" w:line="240" w:lineRule="auto"/>
    </w:pPr>
    <w:rPr>
      <w:rFonts w:cs="宋体"/>
      <w:bCs/>
      <w:kern w:val="2"/>
      <w:szCs w:val="20"/>
    </w:rPr>
  </w:style>
  <w:style w:type="paragraph" w:customStyle="1" w:styleId="227">
    <w:name w:val="样式 标题2 + 小四 段前: 0.5 行"/>
    <w:basedOn w:val="179"/>
    <w:qFormat/>
    <w:uiPriority w:val="0"/>
    <w:pPr>
      <w:spacing w:beforeLines="50"/>
    </w:pPr>
    <w:rPr>
      <w:rFonts w:cs="宋体"/>
      <w:szCs w:val="20"/>
      <w:lang w:val="en-GB"/>
    </w:rPr>
  </w:style>
  <w:style w:type="paragraph" w:customStyle="1" w:styleId="228">
    <w:name w:val="样式 表中文字 + 加粗 行距: 固定值 18 磅"/>
    <w:basedOn w:val="64"/>
    <w:next w:val="1"/>
    <w:link w:val="229"/>
    <w:qFormat/>
    <w:uiPriority w:val="0"/>
    <w:pPr>
      <w:spacing w:line="360" w:lineRule="exact"/>
    </w:pPr>
    <w:rPr>
      <w:b/>
      <w:bCs/>
      <w:kern w:val="28"/>
      <w:sz w:val="21"/>
      <w:szCs w:val="20"/>
      <w:lang w:val="zh-CN"/>
    </w:rPr>
  </w:style>
  <w:style w:type="character" w:customStyle="1" w:styleId="229">
    <w:name w:val="样式 表中文字 + 加粗 行距: 固定值 18 磅 Char"/>
    <w:link w:val="228"/>
    <w:qFormat/>
    <w:uiPriority w:val="0"/>
    <w:rPr>
      <w:b/>
      <w:bCs/>
      <w:kern w:val="28"/>
      <w:sz w:val="21"/>
      <w:lang w:val="zh-CN"/>
    </w:rPr>
  </w:style>
  <w:style w:type="character" w:customStyle="1" w:styleId="230">
    <w:name w:val="表内字体 Char"/>
    <w:link w:val="231"/>
    <w:qFormat/>
    <w:uiPriority w:val="0"/>
    <w:rPr>
      <w:szCs w:val="18"/>
    </w:rPr>
  </w:style>
  <w:style w:type="paragraph" w:customStyle="1" w:styleId="231">
    <w:name w:val="表内字体"/>
    <w:basedOn w:val="1"/>
    <w:link w:val="230"/>
    <w:qFormat/>
    <w:uiPriority w:val="0"/>
    <w:pPr>
      <w:tabs>
        <w:tab w:val="left" w:pos="0"/>
      </w:tabs>
      <w:spacing w:before="20" w:beforeLines="20" w:after="20" w:afterLines="20"/>
      <w:jc w:val="center"/>
    </w:pPr>
    <w:rPr>
      <w:kern w:val="0"/>
      <w:sz w:val="20"/>
      <w:szCs w:val="18"/>
    </w:rPr>
  </w:style>
  <w:style w:type="character" w:customStyle="1" w:styleId="232">
    <w:name w:val="L表格 Char"/>
    <w:link w:val="233"/>
    <w:qFormat/>
    <w:uiPriority w:val="0"/>
    <w:rPr>
      <w:rFonts w:eastAsia="Times New Roman"/>
      <w:kern w:val="2"/>
      <w:sz w:val="21"/>
      <w:szCs w:val="24"/>
    </w:rPr>
  </w:style>
  <w:style w:type="paragraph" w:customStyle="1" w:styleId="233">
    <w:name w:val="L表格"/>
    <w:basedOn w:val="1"/>
    <w:link w:val="232"/>
    <w:qFormat/>
    <w:uiPriority w:val="0"/>
    <w:pPr>
      <w:spacing w:line="320" w:lineRule="exact"/>
      <w:jc w:val="center"/>
    </w:pPr>
    <w:rPr>
      <w:rFonts w:eastAsia="Times New Roman"/>
    </w:rPr>
  </w:style>
  <w:style w:type="paragraph" w:customStyle="1" w:styleId="234">
    <w:name w:val="表格表头"/>
    <w:basedOn w:val="1"/>
    <w:link w:val="235"/>
    <w:qFormat/>
    <w:uiPriority w:val="0"/>
    <w:pPr>
      <w:spacing w:before="50" w:beforeLines="50" w:line="240" w:lineRule="auto"/>
      <w:jc w:val="center"/>
    </w:pPr>
    <w:rPr>
      <w:b/>
    </w:rPr>
  </w:style>
  <w:style w:type="character" w:customStyle="1" w:styleId="235">
    <w:name w:val="表格表头 字符"/>
    <w:basedOn w:val="42"/>
    <w:link w:val="234"/>
    <w:qFormat/>
    <w:uiPriority w:val="0"/>
    <w:rPr>
      <w:b/>
      <w:kern w:val="2"/>
      <w:sz w:val="21"/>
      <w:szCs w:val="24"/>
    </w:rPr>
  </w:style>
  <w:style w:type="paragraph" w:customStyle="1" w:styleId="236">
    <w:name w:val="列出段落1"/>
    <w:basedOn w:val="1"/>
    <w:qFormat/>
    <w:uiPriority w:val="34"/>
    <w:pPr>
      <w:adjustRightInd/>
      <w:snapToGrid/>
      <w:spacing w:line="240" w:lineRule="auto"/>
      <w:ind w:firstLine="420"/>
    </w:pPr>
    <w:rPr>
      <w:rFonts w:ascii="Calibri" w:hAnsi="Calibri" w:cs="黑体"/>
      <w:szCs w:val="22"/>
    </w:rPr>
  </w:style>
  <w:style w:type="table" w:customStyle="1" w:styleId="237">
    <w:name w:val="Table Normal"/>
    <w:unhideWhenUsed/>
    <w:qFormat/>
    <w:uiPriority w:val="2"/>
    <w:pPr>
      <w:widowControl w:val="0"/>
      <w:autoSpaceDE w:val="0"/>
      <w:autoSpaceDN w:val="0"/>
    </w:pPr>
    <w:rPr>
      <w:rFonts w:asciiTheme="minorHAnsi" w:hAnsiTheme="minorHAnsi" w:eastAsiaTheme="minorEastAsia" w:cstheme="minorBidi"/>
      <w:sz w:val="22"/>
      <w:szCs w:val="22"/>
      <w:lang w:eastAsia="en-US"/>
    </w:rPr>
    <w:tblPr>
      <w:tblLayout w:type="fixed"/>
      <w:tblCellMar>
        <w:top w:w="0" w:type="dxa"/>
        <w:left w:w="0" w:type="dxa"/>
        <w:bottom w:w="0" w:type="dxa"/>
        <w:right w:w="0" w:type="dxa"/>
      </w:tblCellMar>
    </w:tblPr>
  </w:style>
  <w:style w:type="character" w:customStyle="1" w:styleId="238">
    <w:name w:val="表格内容 字符"/>
    <w:qFormat/>
    <w:uiPriority w:val="0"/>
    <w:rPr>
      <w:sz w:val="21"/>
      <w:szCs w:val="24"/>
    </w:rPr>
  </w:style>
  <w:style w:type="character" w:customStyle="1" w:styleId="239">
    <w:name w:val="font21"/>
    <w:qFormat/>
    <w:uiPriority w:val="0"/>
    <w:rPr>
      <w:rFonts w:hint="default" w:ascii="Times New Roman" w:hAnsi="Times New Roman" w:cs="Times New Roman"/>
      <w:color w:val="000000"/>
      <w:sz w:val="20"/>
      <w:szCs w:val="20"/>
      <w:u w:val="none"/>
    </w:rPr>
  </w:style>
  <w:style w:type="character" w:customStyle="1" w:styleId="240">
    <w:name w:val="font11"/>
    <w:qFormat/>
    <w:uiPriority w:val="0"/>
    <w:rPr>
      <w:rFonts w:hint="eastAsia" w:ascii="宋体" w:hAnsi="宋体" w:eastAsia="宋体" w:cs="宋体"/>
      <w:color w:val="000000"/>
      <w:sz w:val="20"/>
      <w:szCs w:val="20"/>
      <w:u w:val="none"/>
    </w:rPr>
  </w:style>
  <w:style w:type="character" w:customStyle="1" w:styleId="241">
    <w:name w:val="表内文字 字符"/>
    <w:link w:val="242"/>
    <w:qFormat/>
    <w:uiPriority w:val="0"/>
    <w:rPr>
      <w:kern w:val="2"/>
      <w:sz w:val="21"/>
      <w:szCs w:val="24"/>
    </w:rPr>
  </w:style>
  <w:style w:type="paragraph" w:customStyle="1" w:styleId="242">
    <w:name w:val="表内文字"/>
    <w:basedOn w:val="1"/>
    <w:link w:val="241"/>
    <w:qFormat/>
    <w:uiPriority w:val="0"/>
    <w:pPr>
      <w:spacing w:line="240" w:lineRule="auto"/>
      <w:ind w:firstLine="0" w:firstLineChars="0"/>
    </w:pPr>
  </w:style>
  <w:style w:type="paragraph" w:customStyle="1" w:styleId="2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44">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245">
    <w:name w:val="0正文缩"/>
    <w:basedOn w:val="1"/>
    <w:qFormat/>
    <w:uiPriority w:val="0"/>
  </w:style>
  <w:style w:type="paragraph" w:customStyle="1" w:styleId="246">
    <w:name w:val="1、表内字"/>
    <w:basedOn w:val="1"/>
    <w:qFormat/>
    <w:uiPriority w:val="0"/>
    <w:pPr>
      <w:widowControl/>
      <w:spacing w:line="240" w:lineRule="exact"/>
      <w:jc w:val="center"/>
    </w:pPr>
    <w:rPr>
      <w:kern w:val="0"/>
      <w:szCs w:val="21"/>
    </w:rPr>
  </w:style>
  <w:style w:type="paragraph" w:customStyle="1" w:styleId="247">
    <w:name w:val="表文排版"/>
    <w:basedOn w:val="21"/>
    <w:qFormat/>
    <w:uiPriority w:val="0"/>
    <w:pPr>
      <w:spacing w:before="100" w:beforeAutospacing="1" w:after="0" w:line="300" w:lineRule="exact"/>
      <w:jc w:val="center"/>
    </w:pPr>
    <w:rPr>
      <w:sz w:val="22"/>
      <w:szCs w:val="22"/>
    </w:rPr>
  </w:style>
  <w:style w:type="character" w:customStyle="1" w:styleId="248">
    <w:name w:val="font81"/>
    <w:basedOn w:val="42"/>
    <w:qFormat/>
    <w:uiPriority w:val="0"/>
    <w:rPr>
      <w:rFonts w:hint="default" w:ascii="Times New Roman" w:hAnsi="Times New Roman" w:cs="Times New Roman"/>
      <w:color w:val="FF0000"/>
      <w:sz w:val="21"/>
      <w:szCs w:val="21"/>
      <w:u w:val="none"/>
      <w:vertAlign w:val="superscript"/>
    </w:rPr>
  </w:style>
  <w:style w:type="character" w:customStyle="1" w:styleId="249">
    <w:name w:val="font91"/>
    <w:basedOn w:val="42"/>
    <w:qFormat/>
    <w:uiPriority w:val="0"/>
    <w:rPr>
      <w:rFonts w:hint="eastAsia" w:ascii="宋体" w:hAnsi="宋体" w:eastAsia="宋体" w:cs="宋体"/>
      <w:color w:val="FF0000"/>
      <w:sz w:val="21"/>
      <w:szCs w:val="21"/>
      <w:u w:val="none"/>
    </w:rPr>
  </w:style>
  <w:style w:type="character" w:customStyle="1" w:styleId="250">
    <w:name w:val="font41"/>
    <w:basedOn w:val="42"/>
    <w:qFormat/>
    <w:uiPriority w:val="0"/>
    <w:rPr>
      <w:rFonts w:hint="default" w:ascii="Times New Roman" w:hAnsi="Times New Roman" w:cs="Times New Roman"/>
      <w:color w:val="000000"/>
      <w:sz w:val="21"/>
      <w:szCs w:val="21"/>
      <w:u w:val="none"/>
    </w:rPr>
  </w:style>
  <w:style w:type="paragraph" w:customStyle="1" w:styleId="251">
    <w:name w:val="1、表名"/>
    <w:basedOn w:val="1"/>
    <w:qFormat/>
    <w:uiPriority w:val="0"/>
    <w:pPr>
      <w:autoSpaceDE w:val="0"/>
      <w:autoSpaceDN w:val="0"/>
      <w:jc w:val="center"/>
      <w:textAlignment w:val="baseline"/>
    </w:pPr>
    <w:rPr>
      <w:kern w:val="0"/>
      <w:szCs w:val="21"/>
    </w:rPr>
  </w:style>
  <w:style w:type="paragraph" w:customStyle="1" w:styleId="252">
    <w:name w:val="正文2"/>
    <w:basedOn w:val="1"/>
    <w:qFormat/>
    <w:uiPriority w:val="0"/>
    <w:pPr>
      <w:spacing w:line="240" w:lineRule="auto"/>
      <w:ind w:firstLine="0" w:firstLineChars="0"/>
    </w:pPr>
    <w:rPr>
      <w:snapToGrid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png"/><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3.bin"/><Relationship Id="rId17" Type="http://schemas.openxmlformats.org/officeDocument/2006/relationships/image" Target="media/image7.emf"/><Relationship Id="rId16" Type="http://schemas.openxmlformats.org/officeDocument/2006/relationships/oleObject" Target="embeddings/oleObject2.bin"/><Relationship Id="rId15" Type="http://schemas.openxmlformats.org/officeDocument/2006/relationships/image" Target="media/image6.emf"/><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57</Pages>
  <Words>35</Words>
  <Characters>58</Characters>
  <Lines>345</Lines>
  <Paragraphs>97</Paragraphs>
  <TotalTime>3</TotalTime>
  <ScaleCrop>false</ScaleCrop>
  <LinksUpToDate>false</LinksUpToDate>
  <CharactersWithSpaces>58</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2025-02-13T07:56:00Z</dcterms:created>
  <dc:creator>lhj</dc:creator>
  <cp:lastModifiedBy>${userName!}</cp:lastModifiedBy>
  <cp:lastPrinted>2021-11-12T10:47:00Z</cp:lastPrinted>
  <dcterms:modified xsi:type="dcterms:W3CDTF">2025-03-05T08:18:09Z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110B14360B4B42C8B53EAD32A2D5D320_13</vt:lpwstr>
  </property>
  <property fmtid="{D5CDD505-2E9C-101B-9397-08002B2CF9AE}" pid="4" name="KSOTemplateDocerSaveRecord">
    <vt:lpwstr>eyJoZGlkIjoiNGJjY2E3YjBhMGNmM2IzNWUxOGIxNDRmOThkODlhMmQiLCJ1c2VySWQiOiIzNTI0MTMwMzAifQ==</vt:lpwstr>
  </property>
</Properties>
</file>