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CC" w:rsidRDefault="00AD3973">
      <w:pPr>
        <w:pStyle w:val="4"/>
        <w:spacing w:line="594" w:lineRule="exact"/>
        <w:rPr>
          <w:rFonts w:ascii="方正黑体_GBK" w:eastAsia="方正黑体_GBK" w:hAnsi="方正黑体_GBK" w:cs="方正黑体_GBK"/>
          <w:b w:val="0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 w:val="0"/>
          <w:bCs/>
          <w:sz w:val="32"/>
          <w:szCs w:val="32"/>
        </w:rPr>
        <w:t>2</w:t>
      </w:r>
    </w:p>
    <w:p w:rsidR="004076CC" w:rsidRDefault="00AD3973">
      <w:pPr>
        <w:pStyle w:val="4"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Style w:val="font111"/>
          <w:rFonts w:eastAsia="宋体"/>
          <w:lang w:bidi="ar"/>
        </w:rPr>
        <w:t>2025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年定点医疗机构协议签订考核表</w:t>
      </w:r>
    </w:p>
    <w:p w:rsidR="004076CC" w:rsidRDefault="00AD3973">
      <w:r>
        <w:rPr>
          <w:rFonts w:ascii="方正黑体_GBK" w:eastAsia="方正黑体_GBK" w:hAnsi="方正黑体_GBK" w:cs="方正黑体_GBK" w:hint="eastAsia"/>
          <w:color w:val="000000"/>
          <w:kern w:val="0"/>
          <w:sz w:val="28"/>
          <w:szCs w:val="28"/>
          <w:lang w:bidi="ar"/>
        </w:rPr>
        <w:t>机构编码：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8"/>
          <w:szCs w:val="28"/>
          <w:lang w:bidi="ar"/>
        </w:rPr>
        <w:t xml:space="preserve">                          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8"/>
          <w:szCs w:val="28"/>
          <w:lang w:bidi="ar"/>
        </w:rPr>
        <w:t>机构名称（公章）：</w:t>
      </w:r>
    </w:p>
    <w:p w:rsidR="004076CC" w:rsidRDefault="004076CC"/>
    <w:tbl>
      <w:tblPr>
        <w:tblW w:w="14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"/>
        <w:gridCol w:w="780"/>
        <w:gridCol w:w="1845"/>
        <w:gridCol w:w="2160"/>
        <w:gridCol w:w="1275"/>
        <w:gridCol w:w="3105"/>
        <w:gridCol w:w="2501"/>
        <w:gridCol w:w="739"/>
        <w:gridCol w:w="1065"/>
        <w:gridCol w:w="795"/>
      </w:tblGrid>
      <w:tr w:rsidR="004076CC">
        <w:trPr>
          <w:trHeight w:val="70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12"/>
                <w:rFonts w:hint="default"/>
                <w:lang w:bidi="ar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12"/>
                <w:rFonts w:hint="default"/>
                <w:lang w:bidi="ar"/>
              </w:rPr>
              <w:t>类别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12"/>
                <w:rFonts w:hint="default"/>
                <w:lang w:bidi="ar"/>
              </w:rPr>
              <w:t>考核指标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指标释义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机构述职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（定点医疗机构于下方空白处如实填写）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12"/>
                <w:rFonts w:hint="default"/>
                <w:lang w:bidi="ar"/>
              </w:rPr>
              <w:t>计分（每项考核指标百分制）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机构自评得分</w:t>
            </w:r>
          </w:p>
        </w:tc>
      </w:tr>
      <w:tr w:rsidR="004076CC">
        <w:trPr>
          <w:trHeight w:val="9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12"/>
                <w:rFonts w:hint="default"/>
                <w:lang w:bidi="ar"/>
              </w:rPr>
              <w:t>计分方法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12"/>
                <w:rFonts w:hint="default"/>
                <w:lang w:bidi="ar"/>
              </w:rPr>
              <w:t>计分类别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Style w:val="font12"/>
                <w:rFonts w:hint="default"/>
                <w:lang w:bidi="ar"/>
              </w:rPr>
              <w:t>总分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4076CC">
        <w:trPr>
          <w:trHeight w:val="9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协议履行情况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违法违规违约责任是否履行到位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是否按照处罚通知书足额按期缴纳罚金（包含本金及违约金）。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未缴纳罚金的不签订协议。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否决项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1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查实的监督举报问题是否整改到位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是否按照整改通知书要求按时整改到位。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未按时整改到位的不签订协议（因投诉举报造成重大社会影响的不签订协议）。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否决项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总额控制协议落实情况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严格落实总额控制协议的相关指标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总额控制协议落实不到位、严重超出总额控制相关指标的不签订协议。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否决项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220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保支付资格相关人员是否管理到位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1.</w:t>
            </w:r>
            <w:proofErr w:type="gramStart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医</w:t>
            </w:r>
            <w:proofErr w:type="gramEnd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保支付资格相关人员（包括医疗类、药学类、护理类、技术类等）在国家</w:t>
            </w:r>
            <w:proofErr w:type="gramStart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医</w:t>
            </w:r>
            <w:proofErr w:type="gramEnd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保编码动态维护平台完成贯标工作，提供贯标编码；</w:t>
            </w:r>
            <w:r>
              <w:rPr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及时办理人员变更登记备案。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color w:val="000000"/>
                <w:kern w:val="0"/>
                <w:sz w:val="24"/>
                <w:lang w:bidi="ar"/>
              </w:rPr>
              <w:t>提供医药人员编码，未提供相关人员贯标编码的不签订协议；</w:t>
            </w:r>
            <w:r>
              <w:rPr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4"/>
                <w:lang w:bidi="ar"/>
              </w:rPr>
              <w:t>未能完整、准确、及时备案相关人员变更情况的，发现一次扣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>分，扣完为止。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否决项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/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8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为群众提供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保政策宣传、咨询服务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color w:val="000000"/>
                <w:kern w:val="0"/>
                <w:sz w:val="24"/>
                <w:lang w:bidi="ar"/>
              </w:rPr>
              <w:t>是否配合参保宣传资料发放、参保视频播放；</w:t>
            </w:r>
            <w:r>
              <w:rPr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4"/>
                <w:lang w:bidi="ar"/>
              </w:rPr>
              <w:t>是否配合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保待遇政策宣传资料发放、张贴、视频播放。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color w:val="000000"/>
                <w:kern w:val="0"/>
                <w:sz w:val="24"/>
                <w:lang w:bidi="ar"/>
              </w:rPr>
              <w:t>提交影像资料佐证参保政策宣传情况得</w:t>
            </w:r>
            <w:r>
              <w:rPr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分；</w:t>
            </w:r>
            <w:r>
              <w:rPr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4"/>
                <w:lang w:bidi="ar"/>
              </w:rPr>
              <w:t>提交影像资料佐证待遇政策宣传情况得</w:t>
            </w:r>
            <w:r>
              <w:rPr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得分项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6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参保群众的就医购药是否服务到位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谈判药品严格执行全国统一支付标准，支付标准包括了基金和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参保人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员共同支付的全部费用。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超支付标准销售谈判药品的，发现一次扣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1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分，扣完为止。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218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慢特病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病种、国家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医保谈判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药品资格认定服务情况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严格执行门诊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慢特病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病种、国家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医保谈判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药品资格认定政策，加强对参保人员的特病、谈判药品的服务和管理。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color w:val="000000"/>
                <w:kern w:val="0"/>
                <w:sz w:val="24"/>
                <w:lang w:bidi="ar"/>
              </w:rPr>
              <w:t>未建立特殊疾病、谈判药品管理办法，拒不配合执行相关政策的，不得分；</w:t>
            </w:r>
            <w:r>
              <w:rPr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color w:val="000000"/>
                <w:kern w:val="0"/>
                <w:sz w:val="24"/>
                <w:lang w:bidi="ar"/>
              </w:rPr>
              <w:t>对参保人造成恶劣影响的，发现一次扣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>分，扣完为止。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  <w:lang w:bidi="ar"/>
              </w:rPr>
              <w:t>基金使用情况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协议期内门诊统筹（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含慢特病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）享受待遇人次及报销金额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如实填报相关数据。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职工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未如实填报相关数据的不得分。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82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住院享受待遇人次及报销金额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如实填报相关数据。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职工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未如实填报相关数据的不得分。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72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居民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0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职工大额保险享受待遇人次及报销金额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如实填报相关数据。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职工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未如实填报相关数据的不得分。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0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大病保险享受待遇人次及报销金额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如实填报相关数据。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居民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未如实填报相关数据的不得分。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00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医疗救助享受人次及报销金额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如实填报相关数据。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职工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未如实填报相关数据的不得分。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83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居民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00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保基金统筹支出金额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如实填报相关数据。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职工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未如实填报相关数据的不得分。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0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居民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</w:t>
            </w:r>
            <w:r>
              <w:rPr>
                <w:color w:val="000000"/>
                <w:kern w:val="0"/>
                <w:sz w:val="24"/>
                <w:lang w:bidi="ar"/>
              </w:rPr>
              <w:br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5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32"/>
              </w:rPr>
            </w:pPr>
            <w:proofErr w:type="gramStart"/>
            <w:r>
              <w:rPr>
                <w:color w:val="000000"/>
                <w:kern w:val="0"/>
                <w:szCs w:val="32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Cs w:val="32"/>
                <w:lang w:bidi="ar"/>
              </w:rPr>
              <w:t>保重</w:t>
            </w:r>
            <w:proofErr w:type="gramStart"/>
            <w:r>
              <w:rPr>
                <w:color w:val="000000"/>
                <w:kern w:val="0"/>
                <w:szCs w:val="32"/>
                <w:lang w:bidi="ar"/>
              </w:rPr>
              <w:t>点任务</w:t>
            </w:r>
            <w:proofErr w:type="gramEnd"/>
            <w:r>
              <w:rPr>
                <w:color w:val="000000"/>
                <w:kern w:val="0"/>
                <w:szCs w:val="32"/>
                <w:lang w:bidi="ar"/>
              </w:rPr>
              <w:t>落实情况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定点医药机构药品</w:t>
            </w:r>
            <w:r>
              <w:rPr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color w:val="000000"/>
                <w:kern w:val="0"/>
                <w:sz w:val="24"/>
                <w:lang w:bidi="ar"/>
              </w:rPr>
              <w:t>进销存</w:t>
            </w:r>
            <w:r>
              <w:rPr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color w:val="000000"/>
                <w:kern w:val="0"/>
                <w:sz w:val="24"/>
                <w:lang w:bidi="ar"/>
              </w:rPr>
              <w:t>上传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1.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是否按照要求及时上传</w:t>
            </w:r>
            <w:r>
              <w:rPr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进销存</w:t>
            </w:r>
            <w:r>
              <w:rPr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；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br/>
              <w:t>2.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是否及时上传</w:t>
            </w:r>
            <w:r>
              <w:rPr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全量数据</w:t>
            </w:r>
            <w:r>
              <w:rPr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（除病例检测指标外的其他指标均需全部及时上传）。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未按要求上传</w:t>
            </w:r>
            <w:r>
              <w:rPr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color w:val="000000"/>
                <w:kern w:val="0"/>
                <w:sz w:val="24"/>
                <w:lang w:bidi="ar"/>
              </w:rPr>
              <w:t>进销存</w:t>
            </w:r>
            <w:r>
              <w:rPr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color w:val="000000"/>
                <w:kern w:val="0"/>
                <w:sz w:val="24"/>
                <w:lang w:bidi="ar"/>
              </w:rPr>
              <w:t>全量数据</w:t>
            </w:r>
            <w:r>
              <w:rPr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color w:val="000000"/>
                <w:kern w:val="0"/>
                <w:sz w:val="24"/>
                <w:lang w:bidi="ar"/>
              </w:rPr>
              <w:t>的不签订协议。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否决项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8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定点医药机构接入智能监管系统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是否按照要求接入智能监管系统。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未接入智能监管系统的不签订协议。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否决项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spacing w:line="28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2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保药品耗材追溯码信息采集接口改造和全量上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传情况</w:t>
            </w:r>
            <w:proofErr w:type="gramEnd"/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</w:t>
            </w:r>
            <w:r>
              <w:rPr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color w:val="000000"/>
                <w:kern w:val="0"/>
                <w:sz w:val="24"/>
                <w:lang w:bidi="ar"/>
              </w:rPr>
              <w:t>日前完成接口改造工作和门诊发药环节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追溯码全量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采集上传。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规定日期前未完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成相关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工作的不签订协议。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否决项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5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总额控制付费协议签订情况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是否及时签订总额付费协议。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1.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拒不按政策签订总额协议的不签订协议；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br/>
              <w:t>2.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总额协议签订超规定期限的，每超一个工作日扣</w:t>
            </w:r>
            <w:r>
              <w:rPr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分，扣完为止。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否决项</w:t>
            </w:r>
            <w:r>
              <w:rPr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4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医保码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就医购药应用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1.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提高</w:t>
            </w:r>
            <w:proofErr w:type="gramStart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医保码</w:t>
            </w:r>
            <w:proofErr w:type="gramEnd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结算率；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br/>
              <w:t>2.2024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年</w:t>
            </w:r>
            <w:r>
              <w:rPr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月底前实现五个环节（挂号、就诊、结算、取药、取报告）实现</w:t>
            </w:r>
            <w:proofErr w:type="gramStart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医保码</w:t>
            </w:r>
            <w:proofErr w:type="gramEnd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就医购药全流程应用。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1.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医保码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结算笔数占总结算笔数未达到</w:t>
            </w:r>
            <w:r>
              <w:rPr>
                <w:color w:val="000000"/>
                <w:kern w:val="0"/>
                <w:sz w:val="24"/>
                <w:lang w:bidi="ar"/>
              </w:rPr>
              <w:t>50%</w:t>
            </w:r>
            <w:r>
              <w:rPr>
                <w:color w:val="000000"/>
                <w:kern w:val="0"/>
                <w:sz w:val="24"/>
                <w:lang w:bidi="ar"/>
              </w:rPr>
              <w:t>的扣</w:t>
            </w:r>
            <w:r>
              <w:rPr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color w:val="000000"/>
                <w:kern w:val="0"/>
                <w:sz w:val="24"/>
                <w:lang w:bidi="ar"/>
              </w:rPr>
              <w:t>分；</w:t>
            </w:r>
            <w:r>
              <w:rPr>
                <w:color w:val="000000"/>
                <w:kern w:val="0"/>
                <w:sz w:val="24"/>
                <w:lang w:bidi="ar"/>
              </w:rPr>
              <w:br/>
              <w:t>2.2024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年</w:t>
            </w:r>
            <w:r>
              <w:rPr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月底未实现</w:t>
            </w:r>
            <w:proofErr w:type="gramStart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医保码全</w:t>
            </w:r>
            <w:proofErr w:type="gramEnd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流程应用的扣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10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分。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4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药品耗材集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采落实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情况（公立医疗机构）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是否获得结余留用金、及时结清货款。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1.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每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个</w:t>
            </w:r>
            <w:proofErr w:type="gramStart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批次未</w:t>
            </w:r>
            <w:proofErr w:type="gramEnd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获得扣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分，扣完为止；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br/>
              <w:t>2.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结清时间不超过交货验收合格后的次月底。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药品网采率</w:t>
            </w:r>
            <w:proofErr w:type="gramEnd"/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药品网采率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是否高于</w:t>
            </w:r>
            <w:r>
              <w:rPr>
                <w:color w:val="000000"/>
                <w:kern w:val="0"/>
                <w:sz w:val="24"/>
                <w:lang w:bidi="ar"/>
              </w:rPr>
              <w:t>90%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药品网采率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未达到</w:t>
            </w:r>
            <w:r>
              <w:rPr>
                <w:color w:val="000000"/>
                <w:kern w:val="0"/>
                <w:sz w:val="24"/>
                <w:lang w:bidi="ar"/>
              </w:rPr>
              <w:t>90%</w:t>
            </w:r>
            <w:r>
              <w:rPr>
                <w:color w:val="000000"/>
                <w:kern w:val="0"/>
                <w:sz w:val="24"/>
                <w:lang w:bidi="ar"/>
              </w:rPr>
              <w:t>的不得分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扣分项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1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保移动支付占比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提升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保便民服务水平，推进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保移动支付落地应用。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医</w:t>
            </w:r>
            <w:proofErr w:type="gramEnd"/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保移动支付结算笔数占总结算笔数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30%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的，得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5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分。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得分项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4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国家谈判药品</w:t>
            </w:r>
            <w:r>
              <w:rPr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双通道</w:t>
            </w:r>
            <w:r>
              <w:rPr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电子处方流转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定点医疗机构（含互联网医院）接入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医保电子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处方流转平台，通过电子处方平台提供处方外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配服务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外购处方中电子处方开方量占总开方量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20%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、电子处方结算量占总结算量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50%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的，得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5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分。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得分项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9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共建</w:t>
            </w:r>
            <w:proofErr w:type="gramStart"/>
            <w:r>
              <w:rPr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color w:val="000000"/>
                <w:kern w:val="0"/>
                <w:sz w:val="24"/>
                <w:lang w:bidi="ar"/>
              </w:rPr>
              <w:t>保服务站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与区</w:t>
            </w:r>
            <w:proofErr w:type="gramStart"/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医</w:t>
            </w:r>
            <w:proofErr w:type="gramEnd"/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保中心共同建设</w:t>
            </w:r>
            <w:proofErr w:type="gramStart"/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医</w:t>
            </w:r>
            <w:proofErr w:type="gramEnd"/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保服务站，实现</w:t>
            </w:r>
            <w:proofErr w:type="gramStart"/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医</w:t>
            </w:r>
            <w:proofErr w:type="gramEnd"/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保业务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“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就近办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”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1.</w:t>
            </w:r>
            <w:proofErr w:type="gramStart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医</w:t>
            </w:r>
            <w:proofErr w:type="gramEnd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保业务办理量排名前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3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加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3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分（以月报为准，未及时报送不纳入统计）；</w:t>
            </w: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br/>
              <w:t>2.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正面形象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2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分（受到群众书面表扬、接待</w:t>
            </w:r>
            <w:proofErr w:type="gramStart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医保相关</w:t>
            </w:r>
            <w:proofErr w:type="gramEnd"/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部门调研等，每次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1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分）。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得分项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14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076CC" w:rsidRDefault="004076CC">
            <w:pPr>
              <w:widowControl/>
              <w:spacing w:line="24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参加集采药品</w:t>
            </w:r>
            <w:r>
              <w:rPr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进村卫生室、进民营医疗机构、进零售药店</w:t>
            </w:r>
            <w:r>
              <w:rPr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情况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是否参加采集药品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“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三进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”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4076CC">
            <w:pPr>
              <w:widowControl/>
              <w:spacing w:line="2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参加得</w:t>
            </w:r>
            <w:r>
              <w:rPr>
                <w:rStyle w:val="font131"/>
                <w:rFonts w:ascii="Times New Roman" w:hAnsi="Times New Roman" w:cs="Times New Roman" w:hint="default"/>
                <w:lang w:bidi="ar"/>
              </w:rPr>
              <w:t>5</w:t>
            </w:r>
            <w:r>
              <w:rPr>
                <w:rStyle w:val="font141"/>
                <w:rFonts w:ascii="Times New Roman" w:hAnsi="Times New Roman" w:cs="Times New Roman" w:hint="default"/>
                <w:lang w:bidi="ar"/>
              </w:rPr>
              <w:t>分。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得分项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550"/>
        </w:trPr>
        <w:tc>
          <w:tcPr>
            <w:tcW w:w="12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76CC" w:rsidRDefault="004076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076CC">
        <w:trPr>
          <w:trHeight w:val="649"/>
        </w:trPr>
        <w:tc>
          <w:tcPr>
            <w:tcW w:w="14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6CC" w:rsidRDefault="00AD3973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备注：总分为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分，得分</w:t>
            </w:r>
            <w:r>
              <w:rPr>
                <w:rStyle w:val="font161"/>
                <w:rFonts w:eastAsia="方正黑体_GBK"/>
                <w:lang w:bidi="ar"/>
              </w:rPr>
              <w:t xml:space="preserve">=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得分</w:t>
            </w:r>
            <w:r>
              <w:rPr>
                <w:rStyle w:val="font161"/>
                <w:rFonts w:eastAsia="方正黑体_GBK"/>
                <w:lang w:bidi="ar"/>
              </w:rPr>
              <w:t>1+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得分</w:t>
            </w:r>
            <w:r>
              <w:rPr>
                <w:rStyle w:val="font161"/>
                <w:rFonts w:eastAsia="方正黑体_GBK"/>
                <w:lang w:bidi="ar"/>
              </w:rPr>
              <w:t>2+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得分</w:t>
            </w:r>
            <w:r>
              <w:rPr>
                <w:rStyle w:val="font161"/>
                <w:rFonts w:eastAsia="方正黑体_GBK"/>
                <w:lang w:bidi="ar"/>
              </w:rPr>
              <w:t>3……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；出现否决项得分为</w:t>
            </w:r>
            <w:r>
              <w:rPr>
                <w:rStyle w:val="font161"/>
                <w:rFonts w:eastAsia="方正黑体_GBK"/>
                <w:lang w:bidi="ar"/>
              </w:rPr>
              <w:t>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</w:tbl>
    <w:p w:rsidR="004076CC" w:rsidRDefault="004076CC">
      <w:bookmarkStart w:id="0" w:name="_GoBack"/>
      <w:bookmarkEnd w:id="0"/>
    </w:p>
    <w:sectPr w:rsidR="004076CC" w:rsidSect="00AD3973">
      <w:footerReference w:type="default" r:id="rId7"/>
      <w:pgSz w:w="16838" w:h="11906" w:orient="landscape"/>
      <w:pgMar w:top="1361" w:right="1361" w:bottom="1361" w:left="1361" w:header="851" w:footer="1361" w:gutter="0"/>
      <w:cols w:space="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3973">
      <w:r>
        <w:separator/>
      </w:r>
    </w:p>
  </w:endnote>
  <w:endnote w:type="continuationSeparator" w:id="0">
    <w:p w:rsidR="00000000" w:rsidRDefault="00AD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6CC" w:rsidRDefault="004076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3973">
      <w:r>
        <w:separator/>
      </w:r>
    </w:p>
  </w:footnote>
  <w:footnote w:type="continuationSeparator" w:id="0">
    <w:p w:rsidR="00000000" w:rsidRDefault="00AD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60"/>
  <w:drawingGridVerticalSpacing w:val="45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hhMzQzNTMzMjhjYzk0NDk2OWQ4YmM3NzhlNzAzYjcifQ=="/>
  </w:docVars>
  <w:rsids>
    <w:rsidRoot w:val="00172A27"/>
    <w:rsid w:val="BFEF842B"/>
    <w:rsid w:val="DED68DD7"/>
    <w:rsid w:val="EBA79BCD"/>
    <w:rsid w:val="F63F9B72"/>
    <w:rsid w:val="FD9765C5"/>
    <w:rsid w:val="FEF904DF"/>
    <w:rsid w:val="FF6FB58F"/>
    <w:rsid w:val="FF768310"/>
    <w:rsid w:val="FFC77439"/>
    <w:rsid w:val="001501B0"/>
    <w:rsid w:val="00172A27"/>
    <w:rsid w:val="00232C03"/>
    <w:rsid w:val="0036070F"/>
    <w:rsid w:val="004076CC"/>
    <w:rsid w:val="0069511A"/>
    <w:rsid w:val="006C6C5B"/>
    <w:rsid w:val="006D2D7D"/>
    <w:rsid w:val="007405EC"/>
    <w:rsid w:val="008567F0"/>
    <w:rsid w:val="009E2DFD"/>
    <w:rsid w:val="00A34758"/>
    <w:rsid w:val="00AA0F72"/>
    <w:rsid w:val="00AD1019"/>
    <w:rsid w:val="00AD3973"/>
    <w:rsid w:val="00B6424E"/>
    <w:rsid w:val="00C179FA"/>
    <w:rsid w:val="00C41197"/>
    <w:rsid w:val="00C470CE"/>
    <w:rsid w:val="00C76442"/>
    <w:rsid w:val="00C87C34"/>
    <w:rsid w:val="00D47687"/>
    <w:rsid w:val="00FB461D"/>
    <w:rsid w:val="00FC7CA5"/>
    <w:rsid w:val="01284490"/>
    <w:rsid w:val="016821AA"/>
    <w:rsid w:val="02570EE7"/>
    <w:rsid w:val="08234F3C"/>
    <w:rsid w:val="086C610D"/>
    <w:rsid w:val="08CF5EC2"/>
    <w:rsid w:val="0A8A7FDC"/>
    <w:rsid w:val="0CD01B4F"/>
    <w:rsid w:val="0FE93B60"/>
    <w:rsid w:val="18DE762A"/>
    <w:rsid w:val="19C65BE3"/>
    <w:rsid w:val="1B18695C"/>
    <w:rsid w:val="1BCC6120"/>
    <w:rsid w:val="1E22021F"/>
    <w:rsid w:val="1E887E17"/>
    <w:rsid w:val="26CA3A3B"/>
    <w:rsid w:val="26CE35E6"/>
    <w:rsid w:val="27482AE6"/>
    <w:rsid w:val="28A068FE"/>
    <w:rsid w:val="299E60A3"/>
    <w:rsid w:val="2BB12557"/>
    <w:rsid w:val="2DC65188"/>
    <w:rsid w:val="2F5B083E"/>
    <w:rsid w:val="381E53FF"/>
    <w:rsid w:val="39796ACA"/>
    <w:rsid w:val="3B4823AE"/>
    <w:rsid w:val="3BD97B01"/>
    <w:rsid w:val="3CBF169C"/>
    <w:rsid w:val="3E8649BB"/>
    <w:rsid w:val="413A3C8C"/>
    <w:rsid w:val="415B371A"/>
    <w:rsid w:val="45F409C4"/>
    <w:rsid w:val="472D6637"/>
    <w:rsid w:val="4E8F1E4F"/>
    <w:rsid w:val="4F02503B"/>
    <w:rsid w:val="4FE07A99"/>
    <w:rsid w:val="50D81312"/>
    <w:rsid w:val="52515CEE"/>
    <w:rsid w:val="57DB3EC3"/>
    <w:rsid w:val="582F5F34"/>
    <w:rsid w:val="5A5E6D00"/>
    <w:rsid w:val="5A5F4718"/>
    <w:rsid w:val="5AA8319C"/>
    <w:rsid w:val="5ABF17DC"/>
    <w:rsid w:val="5B0F0AAE"/>
    <w:rsid w:val="5C463335"/>
    <w:rsid w:val="5CC338F6"/>
    <w:rsid w:val="5DAC1413"/>
    <w:rsid w:val="5E5608DB"/>
    <w:rsid w:val="5E8C1A18"/>
    <w:rsid w:val="64E742FD"/>
    <w:rsid w:val="6A1C0FE0"/>
    <w:rsid w:val="6AF2271C"/>
    <w:rsid w:val="6F6FF940"/>
    <w:rsid w:val="728C7687"/>
    <w:rsid w:val="73DC2DEB"/>
    <w:rsid w:val="74557B65"/>
    <w:rsid w:val="74C25996"/>
    <w:rsid w:val="74ED32A2"/>
    <w:rsid w:val="75577DF4"/>
    <w:rsid w:val="76CB3B22"/>
    <w:rsid w:val="773C04FC"/>
    <w:rsid w:val="781A74CA"/>
    <w:rsid w:val="78592318"/>
    <w:rsid w:val="7992290A"/>
    <w:rsid w:val="79A9537B"/>
    <w:rsid w:val="7C4A1263"/>
    <w:rsid w:val="7C7DF885"/>
    <w:rsid w:val="7E0F1EC8"/>
    <w:rsid w:val="7EF70993"/>
    <w:rsid w:val="7F291857"/>
    <w:rsid w:val="ABE86AF7"/>
    <w:rsid w:val="B7C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4FC472CB"/>
  <w15:docId w15:val="{42DC53F9-C976-4BCB-A2ED-0525BCF4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eastAsia="方正仿宋_GBK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方正仿宋_GBK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方正仿宋_GBK"/>
      <w:kern w:val="2"/>
      <w:sz w:val="32"/>
      <w:szCs w:val="24"/>
    </w:rPr>
  </w:style>
  <w:style w:type="paragraph" w:customStyle="1" w:styleId="ListParagraph1">
    <w:name w:val="List Paragraph1"/>
    <w:basedOn w:val="a"/>
    <w:unhideWhenUsed/>
    <w:qFormat/>
    <w:pPr>
      <w:ind w:firstLineChars="200" w:firstLine="20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2">
    <w:name w:val="font12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42">
    <w:name w:val="font142"/>
    <w:basedOn w:val="a0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81">
    <w:name w:val="font18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91">
    <w:name w:val="font191"/>
    <w:basedOn w:val="a0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2035</Words>
  <Characters>438</Characters>
  <Application>Microsoft Office Word</Application>
  <DocSecurity>0</DocSecurity>
  <Lines>3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▍忘川之河泪叹来生</dc:creator>
  <cp:lastModifiedBy>Administrator</cp:lastModifiedBy>
  <cp:revision>8</cp:revision>
  <cp:lastPrinted>2024-12-30T08:17:00Z</cp:lastPrinted>
  <dcterms:created xsi:type="dcterms:W3CDTF">2019-11-16T02:24:00Z</dcterms:created>
  <dcterms:modified xsi:type="dcterms:W3CDTF">2025-01-09T03:33:00Z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CC7E63F7CC214C8A97CBC7A68DEA9565</vt:lpwstr>
  </property>
  <property fmtid="{D5CDD505-2E9C-101B-9397-08002B2CF9AE}" pid="4" name="KSOTemplateDocerSaveRecord">
    <vt:lpwstr>eyJoZGlkIjoiOTE1MmMyZmVkZDJlMTY4Y2I5OTFmMTg5MDkwZDI4ZmUiLCJ1c2VySWQiOiI3MTIwNDczMzAifQ==</vt:lpwstr>
  </property>
</Properties>
</file>