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62626"/>
          <w:spacing w:val="0"/>
          <w:sz w:val="44"/>
          <w:szCs w:val="44"/>
        </w:rPr>
        <w:t>关于印发《江北区促进民营经济高质量发展12条措施》的通知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262626"/>
          <w:spacing w:val="0"/>
          <w:sz w:val="48"/>
          <w:szCs w:val="4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各镇党委和人民政府，各街道党工委和办事处，区委各部委，区级国家机关各部门，观音桥商圈管理办，江北嘴中央商务区管委办，重庆港城管委会，各人民团体，区属国有重点企业，有关单位：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5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《江北区促进民营经济高质量发展12条措施》已经区委、区政府同意，现印发给你们，请认真贯彻落实。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5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5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5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重庆市江北区民营经济发展领导小组办公室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645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2023年1月28日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sz w:val="32"/>
          <w:szCs w:val="32"/>
          <w:bdr w:val="none" w:color="auto" w:sz="0" w:space="0"/>
        </w:rPr>
        <w:t>江北区促进民营经济高质量发展12条措施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为落实落细中央、市委关于促进民营经济改革发展的各项政策举措，坚持“两个毫不动摇”、促进“两个健康”，全面提升江北民营经济创新力竞争力，制定如下措施。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一、优化政务环境，以政府辛苦指数换取企业幸福指数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配备服务专员，“1对1”提供全生命周期帮办代办服务。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大力实施“一窗综办”，全面推行“一件事一次办”。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做实做细税务“微光创新工作室”。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优化“小江都能办”企业服务平台功能，实现线上线下“四帮四服”助企纾困。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用好营商环境24小时监督热线（4008 808080），做到快速响应、及时办理、限时反馈、服务闭环。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二、优化市场环境，全方位保障企业健康发展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全面落实市场准入负面清单，定期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bdr w:val="none" w:color="auto" w:sz="0" w:space="0"/>
          <w:shd w:val="clear" w:fill="FFFFFF"/>
        </w:rPr>
        <w:t>清理市场准入限制壁垒。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水电气要素保障事项办理时限再压缩20%。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政府采购和招投标全面推行电子保函，工程建设项目招投标试点不见面开标，“红名单”企业投标保证金、履约保证金实行减半缴纳，小微企业免缴投标保证金。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三、优化法治环境，依法保护企业合法权益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持续完善工商联与司法机关沟通联系机制。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30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bdr w:val="none" w:color="auto" w:sz="0" w:space="0"/>
        </w:rPr>
        <w:t>持续推进“审务进园区、进企业、进商会”，深入企业开展“点餐式”法律服务。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依托“人民法院老马工作室”，创新商事纠纷诉源治理；提高简易程序及小额诉讼程序适用率。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依法严厉打击各类“拒执”犯罪，积极运用活查活扣措施，减少涉诉对企业正常生产经营的不利影响。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坚持“无事不扰”原则，深化以“信用”为基础的分级分类监管，推行星期二“零检查日”。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市场监管、城市管理领域轻微违法实施包容免罚。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四、降低用地成本，落实标准地出让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落实标准地出让，积极推进产业用地弹性年期出让、长期租赁、先租后让、租让结合等供地方式。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行政办公及生活服务等配套设施建筑面积占比最高可达20%。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五、降低用工成本，稳岗就业再提升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全面落实各类“降、补、扶”惠企政策，延续实施阶段性降低失业保险费率政策，落地创业担保贷款额度和贴息比例“双提高”政策。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六、降低用房成本，区属国有房屋租金三年不递增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民营中小微企业、个体工商户承租区属国有房屋，招租底价不高于评估价；租期在3年内的，租金不递增。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七、降低融资成本，同类金融产品融资成本全市最低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安排专项资金激励金融机构支持民营中小微企业和个体工商户贷款，贷款额度每年不低于30亿元。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进一步增加金融服务港湾布点，打造15分钟金融服务圈。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落实落细“银税互动”解融资难。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阶段性减免民营中小企业使用政府应急周转资金产生的资金占用费。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八、支持做优做强，给予最高1000万元产业扶持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对首次获得国家专精特新“小巨人”企业、市级专精特新中小企业，获评“中华老字号”“重庆老字号”“四叶”“四钻”企业及“个转企”和“小升规”企业给予最高不超过50万元奖励。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落实《江北区鼓励企业改制上市办法》奖补政策，由区政府领导牵头，组建企业上市专班，全流程服务企业上市。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九、支持创新发展，给予最高2000万元资金奖补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落实《江北区支持科技创新若干财政金融政策》，加大研发投入、科创载体建设、科技型企业、高新技术企业支持力度。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打造私募股权投资基金集聚高地，服务科技型企业。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鼓励企业参与自贸试验区、服务业扩大开放、中新项目合作等领域创新试点。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十、支持数字化转型，给予最高500万元奖励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获数字化车间和智能工厂认定企业，按照市级补助资金给予等额区级配套奖励。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落实《江北区支持软件和信息服务业发展十条措施》，鼓励企业“揭榜挂帅”，参与项目研发和应用场景开发，每年对实施成效显著的场景清单项目予以奖励性补贴。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十一、支持拓展业务，“四上”企业在区业务量增长10%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定期发布《江北区投资机会清单》。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严格落实中小微企业政府采购项目预留份额。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积极开展“百团千企”出海拓市场行动。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鼓励民营企业加强产业链供应链协同联动，支持江北区“四上”企业在区内业务量增长10%。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十二、支持招才引智，提供22项“菜单式”服务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262626"/>
          <w:spacing w:val="0"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bdr w:val="none" w:color="auto" w:sz="0" w:space="0"/>
        </w:rPr>
        <w:t>“江北英才”人才入选比例适当向民营企业倾斜，为入选人才提供安家资助、人才公寓、项目支持、岗位津贴、子女入学等22项支持服务。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ZjllNmQ0ZjUzMzg5NGU2NzI4OWY4YzhlYTIyMTMifQ=="/>
  </w:docVars>
  <w:rsids>
    <w:rsidRoot w:val="4A903A15"/>
    <w:rsid w:val="378105FB"/>
    <w:rsid w:val="4A9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1779</Words>
  <Characters>1822</Characters>
  <Lines>0</Lines>
  <Paragraphs>0</Paragraphs>
  <TotalTime>3</TotalTime>
  <ScaleCrop>false</ScaleCrop>
  <LinksUpToDate>false</LinksUpToDate>
  <CharactersWithSpaces>1824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2023-02-28T01:12:00Z</dcterms:created>
  <dc:creator>嗷呜</dc:creator>
  <cp:lastModifiedBy>嗷呜</cp:lastModifiedBy>
  <dcterms:modified xsi:type="dcterms:W3CDTF">2023-02-28T01:15:45Z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4A1AB93A89324409B3BA16DAD1C6010B</vt:lpwstr>
  </property>
</Properties>
</file>