
<file path=[Content_Types].xml><?xml version="1.0" encoding="utf-8"?>
<Types xmlns="http://schemas.openxmlformats.org/package/2006/content-types">
  <Default Extension="xml" ContentType="application/xml"/>
  <Default Extension="png" ContentType="image/png"/>
  <Default Extension="gif" ContentType="image/gi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both"/>
        <w:rPr>
          <w:rFonts w:hint="eastAsia" w:ascii="方正黑体_GBK" w:hAnsi="方正黑体_GBK" w:eastAsia="方正黑体_GBK" w:cs="方正黑体_GBK"/>
          <w:bCs/>
          <w:szCs w:val="32"/>
          <w:lang w:val="en-US" w:eastAsia="zh-CN"/>
        </w:rPr>
      </w:pPr>
      <w:bookmarkStart w:id="0" w:name="_Hlk113123013"/>
      <w:bookmarkEnd w:id="0"/>
      <w:r>
        <w:rPr>
          <w:rFonts w:hint="eastAsia" w:ascii="方正黑体_GBK" w:hAnsi="方正黑体_GBK" w:eastAsia="方正黑体_GBK" w:cs="方正黑体_GBK"/>
          <w:bCs/>
          <w:szCs w:val="32"/>
        </w:rPr>
        <w:t>附件</w:t>
      </w:r>
      <w:r>
        <w:rPr>
          <w:rFonts w:hint="eastAsia" w:ascii="方正黑体_GBK" w:hAnsi="方正黑体_GBK" w:eastAsia="方正黑体_GBK" w:cs="方正黑体_GBK"/>
          <w:bCs/>
          <w:szCs w:val="32"/>
          <w:lang w:val="en-US" w:eastAsia="zh-CN"/>
        </w:rPr>
        <w:t>2</w:t>
      </w:r>
    </w:p>
    <w:p>
      <w:pPr>
        <w:snapToGrid w:val="0"/>
        <w:jc w:val="both"/>
        <w:rPr>
          <w:rFonts w:ascii="方正小标宋_GBK" w:eastAsia="方正小标宋_GBK"/>
          <w:bCs/>
          <w:szCs w:val="32"/>
        </w:rPr>
      </w:pPr>
    </w:p>
    <w:p>
      <w:pPr>
        <w:snapToGrid w:val="0"/>
        <w:spacing w:line="360" w:lineRule="auto"/>
        <w:jc w:val="center"/>
        <w:rPr>
          <w:rFonts w:ascii="方正小标宋_GBK" w:eastAsia="方正小标宋_GBK"/>
          <w:sz w:val="44"/>
          <w:szCs w:val="44"/>
        </w:rPr>
      </w:pPr>
      <w:r>
        <w:rPr>
          <w:rFonts w:hint="eastAsia" w:ascii="方正小标宋_GBK" w:eastAsia="方正小标宋_GBK"/>
          <w:sz w:val="44"/>
          <w:szCs w:val="44"/>
        </w:rPr>
        <w:t>重庆市江北区</w:t>
      </w:r>
    </w:p>
    <w:p>
      <w:pPr>
        <w:snapToGrid w:val="0"/>
        <w:spacing w:line="360" w:lineRule="auto"/>
        <w:jc w:val="center"/>
        <w:rPr>
          <w:rFonts w:ascii="方正小标宋_GBK" w:eastAsia="方正小标宋_GBK"/>
          <w:bCs/>
          <w:sz w:val="44"/>
          <w:szCs w:val="44"/>
        </w:rPr>
      </w:pPr>
      <w:r>
        <w:rPr>
          <w:rFonts w:hint="eastAsia" w:ascii="方正小标宋_GBK" w:eastAsia="方正小标宋_GBK"/>
          <w:bCs/>
          <w:sz w:val="44"/>
          <w:szCs w:val="44"/>
        </w:rPr>
        <w:t>石油天然气长输管道突发事件</w:t>
      </w:r>
    </w:p>
    <w:p>
      <w:pPr>
        <w:snapToGrid w:val="0"/>
        <w:jc w:val="center"/>
        <w:rPr>
          <w:rFonts w:ascii="方正小标宋_GBK" w:eastAsia="方正小标宋_GBK"/>
          <w:bCs/>
          <w:sz w:val="44"/>
          <w:szCs w:val="44"/>
        </w:rPr>
      </w:pPr>
    </w:p>
    <w:p>
      <w:pPr>
        <w:snapToGrid w:val="0"/>
        <w:spacing w:line="360" w:lineRule="auto"/>
        <w:jc w:val="center"/>
        <w:rPr>
          <w:rFonts w:ascii="方正小标宋_GBK" w:eastAsia="方正小标宋_GBK"/>
          <w:sz w:val="52"/>
          <w:szCs w:val="52"/>
        </w:rPr>
      </w:pPr>
      <w:r>
        <w:rPr>
          <w:rFonts w:hint="eastAsia" w:ascii="方正小标宋_GBK" w:eastAsia="方正小标宋_GBK"/>
          <w:sz w:val="52"/>
          <w:szCs w:val="52"/>
        </w:rPr>
        <w:t>风险评估报告</w:t>
      </w:r>
    </w:p>
    <w:p>
      <w:pPr>
        <w:snapToGrid w:val="0"/>
        <w:jc w:val="center"/>
        <w:rPr>
          <w:rFonts w:ascii="方正小标宋_GBK" w:eastAsia="方正小标宋_GBK"/>
          <w:bCs/>
          <w:sz w:val="44"/>
          <w:szCs w:val="44"/>
        </w:rPr>
      </w:pPr>
    </w:p>
    <w:p>
      <w:pPr>
        <w:snapToGrid w:val="0"/>
        <w:jc w:val="center"/>
        <w:rPr>
          <w:rFonts w:ascii="方正小标宋_GBK" w:eastAsia="方正小标宋_GBK"/>
          <w:bCs/>
          <w:sz w:val="44"/>
          <w:szCs w:val="44"/>
        </w:rPr>
      </w:pPr>
    </w:p>
    <w:p>
      <w:pPr>
        <w:snapToGrid w:val="0"/>
        <w:jc w:val="center"/>
        <w:rPr>
          <w:rFonts w:ascii="方正小标宋_GBK" w:eastAsia="方正小标宋_GBK"/>
          <w:bCs/>
          <w:sz w:val="44"/>
          <w:szCs w:val="44"/>
        </w:rPr>
      </w:pPr>
    </w:p>
    <w:p>
      <w:pPr>
        <w:snapToGrid w:val="0"/>
        <w:jc w:val="center"/>
        <w:rPr>
          <w:rFonts w:ascii="方正小标宋_GBK" w:eastAsia="方正小标宋_GBK"/>
          <w:bCs/>
          <w:sz w:val="44"/>
          <w:szCs w:val="44"/>
        </w:rPr>
      </w:pPr>
    </w:p>
    <w:p>
      <w:pPr>
        <w:snapToGrid w:val="0"/>
        <w:jc w:val="center"/>
        <w:rPr>
          <w:rFonts w:ascii="方正小标宋_GBK" w:eastAsia="方正小标宋_GBK"/>
          <w:bCs/>
          <w:szCs w:val="32"/>
        </w:rPr>
      </w:pPr>
    </w:p>
    <w:p>
      <w:pPr>
        <w:snapToGrid w:val="0"/>
        <w:jc w:val="center"/>
        <w:rPr>
          <w:rFonts w:ascii="方正小标宋_GBK" w:eastAsia="方正小标宋_GBK"/>
          <w:bCs/>
          <w:szCs w:val="32"/>
        </w:rPr>
      </w:pPr>
    </w:p>
    <w:p>
      <w:pPr>
        <w:snapToGrid w:val="0"/>
        <w:jc w:val="center"/>
        <w:rPr>
          <w:rFonts w:ascii="方正小标宋_GBK" w:eastAsia="方正小标宋_GBK"/>
          <w:bCs/>
          <w:szCs w:val="32"/>
        </w:rPr>
      </w:pPr>
    </w:p>
    <w:p>
      <w:pPr>
        <w:snapToGrid w:val="0"/>
        <w:jc w:val="center"/>
        <w:rPr>
          <w:rFonts w:ascii="方正小标宋_GBK" w:eastAsia="方正小标宋_GBK"/>
          <w:bCs/>
          <w:szCs w:val="32"/>
        </w:rPr>
      </w:pPr>
    </w:p>
    <w:p>
      <w:pPr>
        <w:snapToGrid w:val="0"/>
        <w:spacing w:line="360" w:lineRule="auto"/>
        <w:jc w:val="center"/>
        <w:rPr>
          <w:rFonts w:ascii="方正小标宋_GBK" w:eastAsia="方正小标宋_GBK"/>
          <w:bCs/>
          <w:szCs w:val="32"/>
        </w:rPr>
      </w:pPr>
    </w:p>
    <w:p>
      <w:pPr>
        <w:snapToGrid w:val="0"/>
        <w:spacing w:line="360" w:lineRule="auto"/>
        <w:jc w:val="center"/>
        <w:rPr>
          <w:rFonts w:ascii="方正小标宋_GBK" w:eastAsia="方正小标宋_GBK"/>
          <w:bCs/>
          <w:szCs w:val="32"/>
        </w:rPr>
      </w:pPr>
      <w:r>
        <w:rPr>
          <w:rFonts w:hint="eastAsia" w:ascii="方正小标宋_GBK" w:eastAsia="方正小标宋_GBK"/>
          <w:bCs/>
          <w:szCs w:val="32"/>
        </w:rPr>
        <w:t>重庆市江北区发展和改革委员会</w:t>
      </w:r>
    </w:p>
    <w:p>
      <w:pPr>
        <w:snapToGrid w:val="0"/>
        <w:spacing w:line="360" w:lineRule="auto"/>
        <w:jc w:val="center"/>
        <w:rPr>
          <w:rFonts w:ascii="方正小标宋_GBK" w:eastAsia="方正小标宋_GBK"/>
          <w:bCs/>
          <w:szCs w:val="32"/>
        </w:rPr>
      </w:pPr>
      <w:r>
        <w:rPr>
          <w:rFonts w:hint="eastAsia" w:ascii="方正小标宋_GBK" w:eastAsia="方正小标宋_GBK"/>
          <w:bCs/>
          <w:szCs w:val="32"/>
        </w:rPr>
        <w:t>编制日期：二〇二二年八月</w:t>
      </w:r>
    </w:p>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sectPr>
          <w:footerReference r:id="rId3" w:type="default"/>
          <w:pgSz w:w="11906" w:h="16838"/>
          <w:pgMar w:top="2098" w:right="1474" w:bottom="1984" w:left="1587" w:header="851" w:footer="1474" w:gutter="0"/>
          <w:cols w:space="0" w:num="1"/>
          <w:titlePg/>
          <w:docGrid w:type="linesAndChars" w:linePitch="579" w:charSpace="-842"/>
        </w:sectPr>
      </w:pPr>
    </w:p>
    <w:p>
      <w:pPr>
        <w:snapToGrid w:val="0"/>
        <w:jc w:val="center"/>
        <w:rPr>
          <w:rFonts w:ascii="方正黑体_GBK" w:eastAsia="方正黑体_GBK"/>
          <w:bCs/>
          <w:szCs w:val="32"/>
        </w:rPr>
      </w:pPr>
    </w:p>
    <w:p>
      <w:pPr>
        <w:snapToGrid w:val="0"/>
        <w:jc w:val="center"/>
        <w:rPr>
          <w:rFonts w:ascii="方正黑体_GBK" w:eastAsia="方正黑体_GBK"/>
          <w:bCs/>
          <w:szCs w:val="32"/>
        </w:rPr>
      </w:pPr>
      <w:r>
        <w:rPr>
          <w:rFonts w:hint="eastAsia" w:ascii="方正黑体_GBK" w:eastAsia="方正黑体_GBK"/>
          <w:bCs/>
          <w:szCs w:val="32"/>
        </w:rPr>
        <w:t xml:space="preserve">目 </w:t>
      </w:r>
      <w:r>
        <w:rPr>
          <w:rFonts w:ascii="方正黑体_GBK" w:eastAsia="方正黑体_GBK"/>
          <w:bCs/>
          <w:szCs w:val="32"/>
        </w:rPr>
        <w:t xml:space="preserve"> </w:t>
      </w:r>
      <w:r>
        <w:rPr>
          <w:rFonts w:hint="eastAsia" w:ascii="方正黑体_GBK" w:eastAsia="方正黑体_GBK"/>
          <w:bCs/>
          <w:szCs w:val="32"/>
        </w:rPr>
        <w:t>录</w:t>
      </w:r>
    </w:p>
    <w:p>
      <w:pPr>
        <w:pStyle w:val="34"/>
        <w:tabs>
          <w:tab w:val="right" w:leader="dot" w:pos="8834"/>
        </w:tabs>
        <w:spacing w:line="360" w:lineRule="auto"/>
        <w:rPr>
          <w:rFonts w:asciiTheme="minorHAnsi" w:hAnsiTheme="minorHAnsi" w:eastAsiaTheme="minorEastAsia" w:cstheme="minorBidi"/>
          <w:b w:val="0"/>
          <w:bCs w:val="0"/>
          <w:caps w:val="0"/>
          <w:kern w:val="2"/>
          <w:sz w:val="28"/>
          <w:szCs w:val="28"/>
        </w:rPr>
      </w:pPr>
      <w:r>
        <w:rPr>
          <w:rFonts w:hint="eastAsia" w:ascii="方正仿宋_GBK" w:eastAsia="方正仿宋_GBK"/>
          <w:b w:val="0"/>
          <w:bCs w:val="0"/>
          <w:sz w:val="28"/>
          <w:szCs w:val="28"/>
        </w:rPr>
        <w:fldChar w:fldCharType="begin"/>
      </w:r>
      <w:r>
        <w:rPr>
          <w:rFonts w:hint="eastAsia" w:ascii="方正仿宋_GBK" w:eastAsia="方正仿宋_GBK"/>
          <w:b w:val="0"/>
          <w:bCs w:val="0"/>
          <w:sz w:val="28"/>
          <w:szCs w:val="28"/>
        </w:rPr>
        <w:instrText xml:space="preserve"> TOC \o "1-2" \h \z \u </w:instrText>
      </w:r>
      <w:r>
        <w:rPr>
          <w:rFonts w:hint="eastAsia" w:ascii="方正仿宋_GBK" w:eastAsia="方正仿宋_GBK"/>
          <w:b w:val="0"/>
          <w:bCs w:val="0"/>
          <w:sz w:val="28"/>
          <w:szCs w:val="28"/>
        </w:rPr>
        <w:fldChar w:fldCharType="separate"/>
      </w:r>
      <w:r>
        <w:fldChar w:fldCharType="begin"/>
      </w:r>
      <w:r>
        <w:instrText xml:space="preserve"> HYPERLINK \l "_Toc113279514" </w:instrText>
      </w:r>
      <w:r>
        <w:fldChar w:fldCharType="separate"/>
      </w:r>
      <w:r>
        <w:rPr>
          <w:rStyle w:val="53"/>
          <w:rFonts w:ascii="方正黑体_GBK" w:eastAsia="方正黑体_GBK"/>
          <w:color w:val="auto"/>
          <w:sz w:val="28"/>
          <w:szCs w:val="28"/>
        </w:rPr>
        <w:t xml:space="preserve">1  </w:t>
      </w:r>
      <w:r>
        <w:rPr>
          <w:rStyle w:val="53"/>
          <w:rFonts w:hint="eastAsia" w:ascii="方正黑体_GBK" w:eastAsia="方正黑体_GBK"/>
          <w:color w:val="auto"/>
          <w:sz w:val="28"/>
          <w:szCs w:val="28"/>
        </w:rPr>
        <w:t>危险有害因素辨识</w:t>
      </w:r>
      <w:r>
        <w:rPr>
          <w:sz w:val="28"/>
          <w:szCs w:val="28"/>
        </w:rPr>
        <w:tab/>
      </w:r>
      <w:r>
        <w:rPr>
          <w:sz w:val="28"/>
          <w:szCs w:val="28"/>
        </w:rPr>
        <w:fldChar w:fldCharType="begin"/>
      </w:r>
      <w:r>
        <w:rPr>
          <w:sz w:val="28"/>
          <w:szCs w:val="28"/>
        </w:rPr>
        <w:instrText xml:space="preserve"> PAGEREF _Toc113279514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"_Toc113279515" </w:instrText>
      </w:r>
      <w:r>
        <w:fldChar w:fldCharType="separate"/>
      </w:r>
      <w:r>
        <w:rPr>
          <w:rStyle w:val="53"/>
          <w:rFonts w:ascii="方正楷体_GBK" w:hAnsi="方正楷体_GBK" w:eastAsia="方正楷体_GBK" w:cs="方正楷体_GBK"/>
          <w:color w:val="auto"/>
          <w:sz w:val="28"/>
          <w:szCs w:val="28"/>
        </w:rPr>
        <w:t xml:space="preserve">1.1  </w:t>
      </w:r>
      <w:r>
        <w:rPr>
          <w:rStyle w:val="53"/>
          <w:rFonts w:hint="eastAsia" w:ascii="方正楷体_GBK" w:hAnsi="方正楷体_GBK" w:eastAsia="方正楷体_GBK" w:cs="方正楷体_GBK"/>
          <w:color w:val="auto"/>
          <w:sz w:val="28"/>
          <w:szCs w:val="28"/>
        </w:rPr>
        <w:t>区内石油天然气长输管道概况</w:t>
      </w:r>
      <w:r>
        <w:rPr>
          <w:sz w:val="28"/>
          <w:szCs w:val="28"/>
        </w:rPr>
        <w:tab/>
      </w:r>
      <w:r>
        <w:rPr>
          <w:sz w:val="28"/>
          <w:szCs w:val="28"/>
        </w:rPr>
        <w:fldChar w:fldCharType="begin"/>
      </w:r>
      <w:r>
        <w:rPr>
          <w:sz w:val="28"/>
          <w:szCs w:val="28"/>
        </w:rPr>
        <w:instrText xml:space="preserve"> PAGEREF _Toc113279515 \h </w:instrText>
      </w:r>
      <w:r>
        <w:rPr>
          <w:sz w:val="28"/>
          <w:szCs w:val="28"/>
        </w:rPr>
        <w:fldChar w:fldCharType="separate"/>
      </w:r>
      <w:r>
        <w:rPr>
          <w:sz w:val="28"/>
          <w:szCs w:val="28"/>
        </w:rPr>
        <w:t>1</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"_Toc113279516" </w:instrText>
      </w:r>
      <w:r>
        <w:fldChar w:fldCharType="separate"/>
      </w:r>
      <w:r>
        <w:rPr>
          <w:rStyle w:val="53"/>
          <w:rFonts w:ascii="方正楷体_GBK" w:hAnsi="方正楷体_GBK" w:eastAsia="方正楷体_GBK" w:cs="方正楷体_GBK"/>
          <w:color w:val="auto"/>
          <w:sz w:val="28"/>
          <w:szCs w:val="28"/>
        </w:rPr>
        <w:t xml:space="preserve">1.2  </w:t>
      </w:r>
      <w:r>
        <w:rPr>
          <w:rStyle w:val="53"/>
          <w:rFonts w:hint="eastAsia" w:ascii="方正楷体_GBK" w:hAnsi="方正楷体_GBK" w:eastAsia="方正楷体_GBK" w:cs="方正楷体_GBK"/>
          <w:color w:val="auto"/>
          <w:sz w:val="28"/>
          <w:szCs w:val="28"/>
        </w:rPr>
        <w:t>危险有害因素辨识</w:t>
      </w:r>
      <w:r>
        <w:rPr>
          <w:sz w:val="28"/>
          <w:szCs w:val="28"/>
        </w:rPr>
        <w:tab/>
      </w:r>
      <w:r>
        <w:rPr>
          <w:sz w:val="28"/>
          <w:szCs w:val="28"/>
        </w:rPr>
        <w:fldChar w:fldCharType="begin"/>
      </w:r>
      <w:r>
        <w:rPr>
          <w:sz w:val="28"/>
          <w:szCs w:val="28"/>
        </w:rPr>
        <w:instrText xml:space="preserve"> PAGEREF _Toc113279516 \h </w:instrText>
      </w:r>
      <w:r>
        <w:rPr>
          <w:sz w:val="28"/>
          <w:szCs w:val="28"/>
        </w:rPr>
        <w:fldChar w:fldCharType="separate"/>
      </w:r>
      <w:r>
        <w:rPr>
          <w:sz w:val="28"/>
          <w:szCs w:val="28"/>
        </w:rPr>
        <w:t>3</w:t>
      </w:r>
      <w:r>
        <w:rPr>
          <w:sz w:val="28"/>
          <w:szCs w:val="28"/>
        </w:rPr>
        <w:fldChar w:fldCharType="end"/>
      </w:r>
      <w:r>
        <w:rPr>
          <w:sz w:val="28"/>
          <w:szCs w:val="28"/>
        </w:rPr>
        <w:fldChar w:fldCharType="end"/>
      </w:r>
    </w:p>
    <w:p>
      <w:pPr>
        <w:pStyle w:val="34"/>
        <w:tabs>
          <w:tab w:val="right" w:leader="dot" w:pos="8834"/>
        </w:tabs>
        <w:spacing w:line="360" w:lineRule="auto"/>
        <w:rPr>
          <w:rFonts w:asciiTheme="minorHAnsi" w:hAnsiTheme="minorHAnsi" w:eastAsiaTheme="minorEastAsia" w:cstheme="minorBidi"/>
          <w:b w:val="0"/>
          <w:bCs w:val="0"/>
          <w:caps w:val="0"/>
          <w:kern w:val="2"/>
          <w:sz w:val="28"/>
          <w:szCs w:val="28"/>
        </w:rPr>
      </w:pPr>
      <w:r>
        <w:fldChar w:fldCharType="begin"/>
      </w:r>
      <w:r>
        <w:instrText xml:space="preserve"> HYPERLINK \l "_Toc113279517" </w:instrText>
      </w:r>
      <w:r>
        <w:fldChar w:fldCharType="separate"/>
      </w:r>
      <w:r>
        <w:rPr>
          <w:rStyle w:val="53"/>
          <w:rFonts w:ascii="方正黑体_GBK" w:eastAsia="方正黑体_GBK"/>
          <w:color w:val="auto"/>
          <w:sz w:val="28"/>
          <w:szCs w:val="28"/>
        </w:rPr>
        <w:t xml:space="preserve">2  </w:t>
      </w:r>
      <w:r>
        <w:rPr>
          <w:rStyle w:val="53"/>
          <w:rFonts w:hint="eastAsia" w:ascii="方正黑体_GBK" w:eastAsia="方正黑体_GBK"/>
          <w:color w:val="auto"/>
          <w:sz w:val="28"/>
          <w:szCs w:val="28"/>
        </w:rPr>
        <w:t>事故风险分析</w:t>
      </w:r>
      <w:r>
        <w:rPr>
          <w:sz w:val="28"/>
          <w:szCs w:val="28"/>
        </w:rPr>
        <w:tab/>
      </w:r>
      <w:r>
        <w:rPr>
          <w:sz w:val="28"/>
          <w:szCs w:val="28"/>
        </w:rPr>
        <w:fldChar w:fldCharType="begin"/>
      </w:r>
      <w:r>
        <w:rPr>
          <w:sz w:val="28"/>
          <w:szCs w:val="28"/>
        </w:rPr>
        <w:instrText xml:space="preserve"> PAGEREF _Toc113279517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"_Toc113279518" </w:instrText>
      </w:r>
      <w:r>
        <w:fldChar w:fldCharType="separate"/>
      </w:r>
      <w:r>
        <w:rPr>
          <w:rStyle w:val="53"/>
          <w:rFonts w:ascii="方正楷体_GBK" w:hAnsi="方正楷体_GBK" w:eastAsia="方正楷体_GBK" w:cs="方正楷体_GBK"/>
          <w:color w:val="auto"/>
          <w:sz w:val="28"/>
          <w:szCs w:val="28"/>
        </w:rPr>
        <w:t xml:space="preserve">2.1  </w:t>
      </w:r>
      <w:r>
        <w:rPr>
          <w:rStyle w:val="53"/>
          <w:rFonts w:hint="eastAsia" w:ascii="方正楷体_GBK" w:hAnsi="方正楷体_GBK" w:eastAsia="方正楷体_GBK" w:cs="方正楷体_GBK"/>
          <w:color w:val="auto"/>
          <w:sz w:val="28"/>
          <w:szCs w:val="28"/>
        </w:rPr>
        <w:t>事故风险类型</w:t>
      </w:r>
      <w:r>
        <w:rPr>
          <w:sz w:val="28"/>
          <w:szCs w:val="28"/>
        </w:rPr>
        <w:tab/>
      </w:r>
      <w:r>
        <w:rPr>
          <w:sz w:val="28"/>
          <w:szCs w:val="28"/>
        </w:rPr>
        <w:fldChar w:fldCharType="begin"/>
      </w:r>
      <w:r>
        <w:rPr>
          <w:sz w:val="28"/>
          <w:szCs w:val="28"/>
        </w:rPr>
        <w:instrText xml:space="preserve"> PAGEREF _Toc113279518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"_Toc113279519" </w:instrText>
      </w:r>
      <w:r>
        <w:fldChar w:fldCharType="separate"/>
      </w:r>
      <w:r>
        <w:rPr>
          <w:rStyle w:val="53"/>
          <w:rFonts w:ascii="方正楷体_GBK" w:hAnsi="方正楷体_GBK" w:eastAsia="方正楷体_GBK" w:cs="方正楷体_GBK"/>
          <w:color w:val="auto"/>
          <w:sz w:val="28"/>
          <w:szCs w:val="28"/>
        </w:rPr>
        <w:t xml:space="preserve">2.2  </w:t>
      </w:r>
      <w:r>
        <w:rPr>
          <w:rStyle w:val="53"/>
          <w:rFonts w:hint="eastAsia" w:ascii="方正楷体_GBK" w:hAnsi="方正楷体_GBK" w:eastAsia="方正楷体_GBK" w:cs="方正楷体_GBK"/>
          <w:color w:val="auto"/>
          <w:sz w:val="28"/>
          <w:szCs w:val="28"/>
        </w:rPr>
        <w:t>输气管道潜在影响半径分析</w:t>
      </w:r>
      <w:r>
        <w:rPr>
          <w:sz w:val="28"/>
          <w:szCs w:val="28"/>
        </w:rPr>
        <w:tab/>
      </w:r>
      <w:r>
        <w:rPr>
          <w:sz w:val="28"/>
          <w:szCs w:val="28"/>
        </w:rPr>
        <w:fldChar w:fldCharType="begin"/>
      </w:r>
      <w:r>
        <w:rPr>
          <w:sz w:val="28"/>
          <w:szCs w:val="28"/>
        </w:rPr>
        <w:instrText xml:space="preserve"> PAGEREF _Toc113279519 \h </w:instrText>
      </w:r>
      <w:r>
        <w:rPr>
          <w:sz w:val="28"/>
          <w:szCs w:val="28"/>
        </w:rPr>
        <w:fldChar w:fldCharType="separate"/>
      </w:r>
      <w:r>
        <w:rPr>
          <w:sz w:val="28"/>
          <w:szCs w:val="28"/>
        </w:rPr>
        <w:t>20</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"_Toc113279520" </w:instrText>
      </w:r>
      <w:r>
        <w:fldChar w:fldCharType="separate"/>
      </w:r>
      <w:r>
        <w:rPr>
          <w:rStyle w:val="53"/>
          <w:rFonts w:ascii="方正楷体_GBK" w:hAnsi="方正楷体_GBK" w:eastAsia="方正楷体_GBK" w:cs="方正楷体_GBK"/>
          <w:color w:val="auto"/>
          <w:sz w:val="28"/>
          <w:szCs w:val="28"/>
        </w:rPr>
        <w:t xml:space="preserve">2.3  </w:t>
      </w:r>
      <w:r>
        <w:rPr>
          <w:rStyle w:val="53"/>
          <w:rFonts w:hint="eastAsia" w:ascii="方正楷体_GBK" w:hAnsi="方正楷体_GBK" w:eastAsia="方正楷体_GBK" w:cs="方正楷体_GBK"/>
          <w:color w:val="auto"/>
          <w:sz w:val="28"/>
          <w:szCs w:val="28"/>
        </w:rPr>
        <w:t>事故风险后果</w:t>
      </w:r>
      <w:r>
        <w:rPr>
          <w:sz w:val="28"/>
          <w:szCs w:val="28"/>
        </w:rPr>
        <w:tab/>
      </w:r>
      <w:r>
        <w:rPr>
          <w:sz w:val="28"/>
          <w:szCs w:val="28"/>
        </w:rPr>
        <w:fldChar w:fldCharType="begin"/>
      </w:r>
      <w:r>
        <w:rPr>
          <w:sz w:val="28"/>
          <w:szCs w:val="28"/>
        </w:rPr>
        <w:instrText xml:space="preserve"> PAGEREF _Toc113279520 \h </w:instrText>
      </w:r>
      <w:r>
        <w:rPr>
          <w:sz w:val="28"/>
          <w:szCs w:val="28"/>
        </w:rPr>
        <w:fldChar w:fldCharType="separate"/>
      </w:r>
      <w:r>
        <w:rPr>
          <w:sz w:val="28"/>
          <w:szCs w:val="28"/>
        </w:rPr>
        <w:t>21</w:t>
      </w:r>
      <w:r>
        <w:rPr>
          <w:sz w:val="28"/>
          <w:szCs w:val="28"/>
        </w:rPr>
        <w:fldChar w:fldCharType="end"/>
      </w:r>
      <w:r>
        <w:rPr>
          <w:sz w:val="28"/>
          <w:szCs w:val="28"/>
        </w:rPr>
        <w:fldChar w:fldCharType="end"/>
      </w:r>
    </w:p>
    <w:p>
      <w:pPr>
        <w:pStyle w:val="34"/>
        <w:tabs>
          <w:tab w:val="right" w:leader="dot" w:pos="8834"/>
        </w:tabs>
        <w:spacing w:line="360" w:lineRule="auto"/>
        <w:rPr>
          <w:rFonts w:asciiTheme="minorHAnsi" w:hAnsiTheme="minorHAnsi" w:eastAsiaTheme="minorEastAsia" w:cstheme="minorBidi"/>
          <w:b w:val="0"/>
          <w:bCs w:val="0"/>
          <w:caps w:val="0"/>
          <w:kern w:val="2"/>
          <w:sz w:val="28"/>
          <w:szCs w:val="28"/>
        </w:rPr>
      </w:pPr>
      <w:r>
        <w:fldChar w:fldCharType="begin"/>
      </w:r>
      <w:r>
        <w:instrText xml:space="preserve"> HYPERLINK \l "_Toc113279521" </w:instrText>
      </w:r>
      <w:r>
        <w:fldChar w:fldCharType="separate"/>
      </w:r>
      <w:r>
        <w:rPr>
          <w:rStyle w:val="53"/>
          <w:rFonts w:ascii="方正黑体_GBK" w:eastAsia="方正黑体_GBK"/>
          <w:color w:val="auto"/>
          <w:sz w:val="28"/>
          <w:szCs w:val="28"/>
        </w:rPr>
        <w:t xml:space="preserve">3  </w:t>
      </w:r>
      <w:r>
        <w:rPr>
          <w:rStyle w:val="53"/>
          <w:rFonts w:hint="eastAsia" w:ascii="方正黑体_GBK" w:eastAsia="方正黑体_GBK"/>
          <w:color w:val="auto"/>
          <w:sz w:val="28"/>
          <w:szCs w:val="28"/>
        </w:rPr>
        <w:t>事故风险评价</w:t>
      </w:r>
      <w:r>
        <w:rPr>
          <w:sz w:val="28"/>
          <w:szCs w:val="28"/>
        </w:rPr>
        <w:tab/>
      </w:r>
      <w:r>
        <w:rPr>
          <w:sz w:val="28"/>
          <w:szCs w:val="28"/>
        </w:rPr>
        <w:fldChar w:fldCharType="begin"/>
      </w:r>
      <w:r>
        <w:rPr>
          <w:sz w:val="28"/>
          <w:szCs w:val="28"/>
        </w:rPr>
        <w:instrText xml:space="preserve"> PAGEREF _Toc113279521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"_Toc113279522" </w:instrText>
      </w:r>
      <w:r>
        <w:fldChar w:fldCharType="separate"/>
      </w:r>
      <w:r>
        <w:rPr>
          <w:rStyle w:val="53"/>
          <w:rFonts w:ascii="方正楷体_GBK" w:hAnsi="方正楷体_GBK" w:eastAsia="方正楷体_GBK" w:cs="方正楷体_GBK"/>
          <w:color w:val="auto"/>
          <w:sz w:val="28"/>
          <w:szCs w:val="28"/>
        </w:rPr>
        <w:t xml:space="preserve">3.1  </w:t>
      </w:r>
      <w:r>
        <w:rPr>
          <w:rStyle w:val="53"/>
          <w:rFonts w:hint="eastAsia" w:ascii="方正楷体_GBK" w:hAnsi="方正楷体_GBK" w:eastAsia="方正楷体_GBK" w:cs="方正楷体_GBK"/>
          <w:color w:val="auto"/>
          <w:sz w:val="28"/>
          <w:szCs w:val="28"/>
        </w:rPr>
        <w:t>作业条件危险性评价法</w:t>
      </w:r>
      <w:r>
        <w:rPr>
          <w:sz w:val="28"/>
          <w:szCs w:val="28"/>
        </w:rPr>
        <w:tab/>
      </w:r>
      <w:r>
        <w:rPr>
          <w:sz w:val="28"/>
          <w:szCs w:val="28"/>
        </w:rPr>
        <w:fldChar w:fldCharType="begin"/>
      </w:r>
      <w:r>
        <w:rPr>
          <w:sz w:val="28"/>
          <w:szCs w:val="28"/>
        </w:rPr>
        <w:instrText xml:space="preserve"> PAGEREF _Toc113279522 \h </w:instrText>
      </w:r>
      <w:r>
        <w:rPr>
          <w:sz w:val="28"/>
          <w:szCs w:val="28"/>
        </w:rPr>
        <w:fldChar w:fldCharType="separate"/>
      </w:r>
      <w:r>
        <w:rPr>
          <w:sz w:val="28"/>
          <w:szCs w:val="28"/>
        </w:rPr>
        <w:t>23</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"_Toc113279523" </w:instrText>
      </w:r>
      <w:r>
        <w:fldChar w:fldCharType="separate"/>
      </w:r>
      <w:r>
        <w:rPr>
          <w:rStyle w:val="53"/>
          <w:rFonts w:ascii="方正楷体_GBK" w:hAnsi="方正楷体_GBK" w:eastAsia="方正楷体_GBK" w:cs="方正楷体_GBK"/>
          <w:color w:val="auto"/>
          <w:sz w:val="28"/>
          <w:szCs w:val="28"/>
        </w:rPr>
        <w:t xml:space="preserve">3.2  </w:t>
      </w:r>
      <w:r>
        <w:rPr>
          <w:rStyle w:val="53"/>
          <w:rFonts w:hint="eastAsia" w:ascii="方正楷体_GBK" w:hAnsi="方正楷体_GBK" w:eastAsia="方正楷体_GBK" w:cs="方正楷体_GBK"/>
          <w:color w:val="auto"/>
          <w:sz w:val="28"/>
          <w:szCs w:val="28"/>
        </w:rPr>
        <w:t>输油管线定量风险评价</w:t>
      </w:r>
      <w:r>
        <w:rPr>
          <w:sz w:val="28"/>
          <w:szCs w:val="28"/>
        </w:rPr>
        <w:tab/>
      </w:r>
      <w:r>
        <w:rPr>
          <w:sz w:val="28"/>
          <w:szCs w:val="28"/>
        </w:rPr>
        <w:fldChar w:fldCharType="begin"/>
      </w:r>
      <w:r>
        <w:rPr>
          <w:sz w:val="28"/>
          <w:szCs w:val="28"/>
        </w:rPr>
        <w:instrText xml:space="preserve"> PAGEREF _Toc113279523 \h </w:instrText>
      </w:r>
      <w:r>
        <w:rPr>
          <w:sz w:val="28"/>
          <w:szCs w:val="28"/>
        </w:rPr>
        <w:fldChar w:fldCharType="separate"/>
      </w:r>
      <w:r>
        <w:rPr>
          <w:sz w:val="28"/>
          <w:szCs w:val="28"/>
        </w:rPr>
        <w:t>25</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"_Toc113279524" </w:instrText>
      </w:r>
      <w:r>
        <w:fldChar w:fldCharType="separate"/>
      </w:r>
      <w:r>
        <w:rPr>
          <w:rStyle w:val="53"/>
          <w:rFonts w:ascii="方正楷体_GBK" w:hAnsi="方正楷体_GBK" w:eastAsia="方正楷体_GBK" w:cs="方正楷体_GBK"/>
          <w:color w:val="auto"/>
          <w:sz w:val="28"/>
          <w:szCs w:val="28"/>
        </w:rPr>
        <w:t xml:space="preserve">3.3  </w:t>
      </w:r>
      <w:r>
        <w:rPr>
          <w:rStyle w:val="53"/>
          <w:rFonts w:hint="eastAsia" w:ascii="方正楷体_GBK" w:hAnsi="方正楷体_GBK" w:eastAsia="方正楷体_GBK" w:cs="方正楷体_GBK"/>
          <w:color w:val="auto"/>
          <w:sz w:val="28"/>
          <w:szCs w:val="28"/>
        </w:rPr>
        <w:t>输气管线事故后果定量分析</w:t>
      </w:r>
      <w:r>
        <w:rPr>
          <w:sz w:val="28"/>
          <w:szCs w:val="28"/>
        </w:rPr>
        <w:tab/>
      </w:r>
      <w:r>
        <w:rPr>
          <w:sz w:val="28"/>
          <w:szCs w:val="28"/>
        </w:rPr>
        <w:fldChar w:fldCharType="begin"/>
      </w:r>
      <w:r>
        <w:rPr>
          <w:sz w:val="28"/>
          <w:szCs w:val="28"/>
        </w:rPr>
        <w:instrText xml:space="preserve"> PAGEREF _Toc113279524 \h </w:instrText>
      </w:r>
      <w:r>
        <w:rPr>
          <w:sz w:val="28"/>
          <w:szCs w:val="28"/>
        </w:rPr>
        <w:fldChar w:fldCharType="separate"/>
      </w:r>
      <w:r>
        <w:rPr>
          <w:sz w:val="28"/>
          <w:szCs w:val="28"/>
        </w:rPr>
        <w:t>30</w:t>
      </w:r>
      <w:r>
        <w:rPr>
          <w:sz w:val="28"/>
          <w:szCs w:val="28"/>
        </w:rPr>
        <w:fldChar w:fldCharType="end"/>
      </w:r>
      <w:r>
        <w:rPr>
          <w:sz w:val="28"/>
          <w:szCs w:val="28"/>
        </w:rPr>
        <w:fldChar w:fldCharType="end"/>
      </w:r>
    </w:p>
    <w:p>
      <w:pPr>
        <w:pStyle w:val="34"/>
        <w:tabs>
          <w:tab w:val="right" w:leader="dot" w:pos="8834"/>
        </w:tabs>
        <w:spacing w:line="360" w:lineRule="auto"/>
        <w:rPr>
          <w:rFonts w:asciiTheme="minorHAnsi" w:hAnsiTheme="minorHAnsi" w:eastAsiaTheme="minorEastAsia" w:cstheme="minorBidi"/>
          <w:b w:val="0"/>
          <w:bCs w:val="0"/>
          <w:caps w:val="0"/>
          <w:kern w:val="2"/>
          <w:sz w:val="28"/>
          <w:szCs w:val="28"/>
        </w:rPr>
      </w:pPr>
      <w:r>
        <w:fldChar w:fldCharType="begin"/>
      </w:r>
      <w:r>
        <w:instrText xml:space="preserve"> HYPERLINK \l "_Toc113279525" </w:instrText>
      </w:r>
      <w:r>
        <w:fldChar w:fldCharType="separate"/>
      </w:r>
      <w:r>
        <w:rPr>
          <w:rStyle w:val="53"/>
          <w:rFonts w:ascii="方正黑体_GBK" w:eastAsia="方正黑体_GBK"/>
          <w:color w:val="auto"/>
          <w:sz w:val="28"/>
          <w:szCs w:val="28"/>
        </w:rPr>
        <w:t xml:space="preserve">4  </w:t>
      </w:r>
      <w:r>
        <w:rPr>
          <w:rStyle w:val="53"/>
          <w:rFonts w:hint="eastAsia" w:ascii="方正黑体_GBK" w:eastAsia="方正黑体_GBK"/>
          <w:color w:val="auto"/>
          <w:sz w:val="28"/>
          <w:szCs w:val="28"/>
        </w:rPr>
        <w:t>结论与建议</w:t>
      </w:r>
      <w:r>
        <w:rPr>
          <w:sz w:val="28"/>
          <w:szCs w:val="28"/>
        </w:rPr>
        <w:tab/>
      </w:r>
      <w:r>
        <w:rPr>
          <w:sz w:val="28"/>
          <w:szCs w:val="28"/>
        </w:rPr>
        <w:fldChar w:fldCharType="begin"/>
      </w:r>
      <w:r>
        <w:rPr>
          <w:sz w:val="28"/>
          <w:szCs w:val="28"/>
        </w:rPr>
        <w:instrText xml:space="preserve"> PAGEREF _Toc113279525 \h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"_Toc113279526" </w:instrText>
      </w:r>
      <w:r>
        <w:fldChar w:fldCharType="separate"/>
      </w:r>
      <w:r>
        <w:rPr>
          <w:rStyle w:val="53"/>
          <w:rFonts w:ascii="方正楷体_GBK" w:hAnsi="方正楷体_GBK" w:eastAsia="方正楷体_GBK" w:cs="方正楷体_GBK"/>
          <w:color w:val="auto"/>
          <w:sz w:val="28"/>
          <w:szCs w:val="28"/>
        </w:rPr>
        <w:t xml:space="preserve">4.1  </w:t>
      </w:r>
      <w:r>
        <w:rPr>
          <w:rStyle w:val="53"/>
          <w:rFonts w:hint="eastAsia" w:ascii="方正楷体_GBK" w:hAnsi="方正楷体_GBK" w:eastAsia="方正楷体_GBK" w:cs="方正楷体_GBK"/>
          <w:color w:val="auto"/>
          <w:sz w:val="28"/>
          <w:szCs w:val="28"/>
        </w:rPr>
        <w:t>风险评估结论</w:t>
      </w:r>
      <w:r>
        <w:rPr>
          <w:sz w:val="28"/>
          <w:szCs w:val="28"/>
        </w:rPr>
        <w:tab/>
      </w:r>
      <w:r>
        <w:rPr>
          <w:sz w:val="28"/>
          <w:szCs w:val="28"/>
        </w:rPr>
        <w:fldChar w:fldCharType="begin"/>
      </w:r>
      <w:r>
        <w:rPr>
          <w:sz w:val="28"/>
          <w:szCs w:val="28"/>
        </w:rPr>
        <w:instrText xml:space="preserve"> PAGEREF _Toc113279526 \h </w:instrText>
      </w:r>
      <w:r>
        <w:rPr>
          <w:sz w:val="28"/>
          <w:szCs w:val="28"/>
        </w:rPr>
        <w:fldChar w:fldCharType="separate"/>
      </w:r>
      <w:r>
        <w:rPr>
          <w:sz w:val="28"/>
          <w:szCs w:val="28"/>
        </w:rPr>
        <w:t>47</w:t>
      </w:r>
      <w:r>
        <w:rPr>
          <w:sz w:val="28"/>
          <w:szCs w:val="28"/>
        </w:rPr>
        <w:fldChar w:fldCharType="end"/>
      </w:r>
      <w:r>
        <w:rPr>
          <w:sz w:val="28"/>
          <w:szCs w:val="28"/>
        </w:rPr>
        <w:fldChar w:fldCharType="end"/>
      </w:r>
    </w:p>
    <w:p>
      <w:pPr>
        <w:pStyle w:val="42"/>
        <w:tabs>
          <w:tab w:val="right" w:leader="dot" w:pos="8834"/>
        </w:tabs>
        <w:spacing w:line="360" w:lineRule="auto"/>
        <w:rPr>
          <w:rFonts w:asciiTheme="minorHAnsi" w:hAnsiTheme="minorHAnsi" w:eastAsiaTheme="minorEastAsia" w:cstheme="minorBidi"/>
          <w:smallCaps w:val="0"/>
          <w:kern w:val="2"/>
          <w:sz w:val="28"/>
          <w:szCs w:val="28"/>
        </w:rPr>
      </w:pPr>
      <w:r>
        <w:fldChar w:fldCharType="begin"/>
      </w:r>
      <w:r>
        <w:instrText xml:space="preserve"> HYPERLINK \l "_Toc113279527" </w:instrText>
      </w:r>
      <w:r>
        <w:fldChar w:fldCharType="separate"/>
      </w:r>
      <w:r>
        <w:rPr>
          <w:rStyle w:val="53"/>
          <w:rFonts w:ascii="方正楷体_GBK" w:hAnsi="方正楷体_GBK" w:eastAsia="方正楷体_GBK" w:cs="方正楷体_GBK"/>
          <w:color w:val="auto"/>
          <w:sz w:val="28"/>
          <w:szCs w:val="28"/>
        </w:rPr>
        <w:t xml:space="preserve">4.2  </w:t>
      </w:r>
      <w:r>
        <w:rPr>
          <w:rStyle w:val="53"/>
          <w:rFonts w:hint="eastAsia" w:ascii="方正楷体_GBK" w:hAnsi="方正楷体_GBK" w:eastAsia="方正楷体_GBK" w:cs="方正楷体_GBK"/>
          <w:color w:val="auto"/>
          <w:sz w:val="28"/>
          <w:szCs w:val="28"/>
        </w:rPr>
        <w:t>计划建议</w:t>
      </w:r>
      <w:r>
        <w:rPr>
          <w:sz w:val="28"/>
          <w:szCs w:val="28"/>
        </w:rPr>
        <w:tab/>
      </w:r>
      <w:r>
        <w:rPr>
          <w:sz w:val="28"/>
          <w:szCs w:val="28"/>
        </w:rPr>
        <w:fldChar w:fldCharType="begin"/>
      </w:r>
      <w:r>
        <w:rPr>
          <w:sz w:val="28"/>
          <w:szCs w:val="28"/>
        </w:rPr>
        <w:instrText xml:space="preserve"> PAGEREF _Toc113279527 \h </w:instrText>
      </w:r>
      <w:r>
        <w:rPr>
          <w:sz w:val="28"/>
          <w:szCs w:val="28"/>
        </w:rPr>
        <w:fldChar w:fldCharType="separate"/>
      </w:r>
      <w:r>
        <w:rPr>
          <w:sz w:val="28"/>
          <w:szCs w:val="28"/>
        </w:rPr>
        <w:t>48</w:t>
      </w:r>
      <w:r>
        <w:rPr>
          <w:sz w:val="28"/>
          <w:szCs w:val="28"/>
        </w:rPr>
        <w:fldChar w:fldCharType="end"/>
      </w:r>
      <w:r>
        <w:rPr>
          <w:sz w:val="28"/>
          <w:szCs w:val="28"/>
        </w:rPr>
        <w:fldChar w:fldCharType="end"/>
      </w:r>
    </w:p>
    <w:p>
      <w:pPr>
        <w:widowControl/>
        <w:adjustRightInd w:val="0"/>
        <w:snapToGrid w:val="0"/>
        <w:spacing w:line="360" w:lineRule="auto"/>
        <w:jc w:val="left"/>
      </w:pPr>
      <w:r>
        <w:rPr>
          <w:rFonts w:hint="eastAsia" w:ascii="方正仿宋_GBK"/>
          <w:sz w:val="28"/>
          <w:szCs w:val="28"/>
        </w:rPr>
        <w:fldChar w:fldCharType="end"/>
      </w:r>
    </w:p>
    <w:p>
      <w:pPr>
        <w:pStyle w:val="2"/>
        <w:rPr>
          <w:color w:val="auto"/>
        </w:rPr>
        <w:sectPr>
          <w:footerReference r:id="rId5" w:type="default"/>
          <w:headerReference r:id="rId4" w:type="even"/>
          <w:type w:val="continuous"/>
          <w:pgSz w:w="11906" w:h="16838"/>
          <w:pgMar w:top="2098" w:right="1474" w:bottom="1985" w:left="1588" w:header="851" w:footer="1474" w:gutter="0"/>
          <w:pgNumType w:fmt="numberInDash" w:start="0"/>
          <w:cols w:space="720" w:num="1"/>
          <w:titlePg/>
          <w:docGrid w:linePitch="579" w:charSpace="-849"/>
        </w:sectPr>
      </w:pPr>
    </w:p>
    <w:p>
      <w:pPr>
        <w:pStyle w:val="3"/>
        <w:pageBreakBefore/>
        <w:adjustRightInd w:val="0"/>
        <w:snapToGrid w:val="0"/>
        <w:spacing w:before="100" w:beforeAutospacing="1" w:after="100" w:afterAutospacing="1" w:line="240" w:lineRule="auto"/>
        <w:jc w:val="center"/>
        <w:rPr>
          <w:rFonts w:ascii="方正黑体_GBK" w:hAnsi="Times New Roman" w:eastAsia="方正黑体_GBK"/>
          <w:b w:val="0"/>
          <w:bCs/>
          <w:sz w:val="32"/>
          <w:szCs w:val="32"/>
        </w:rPr>
      </w:pPr>
      <w:bookmarkStart w:id="1" w:name="_Toc113279514"/>
      <w:r>
        <w:rPr>
          <w:rFonts w:hint="eastAsia" w:ascii="方正黑体_GBK" w:hAnsi="Times New Roman" w:eastAsia="方正黑体_GBK"/>
          <w:b w:val="0"/>
          <w:bCs/>
          <w:sz w:val="32"/>
          <w:szCs w:val="32"/>
        </w:rPr>
        <w:t xml:space="preserve">1 </w:t>
      </w:r>
      <w:r>
        <w:rPr>
          <w:rFonts w:ascii="方正黑体_GBK" w:hAnsi="Times New Roman" w:eastAsia="方正黑体_GBK"/>
          <w:b w:val="0"/>
          <w:bCs/>
          <w:sz w:val="32"/>
          <w:szCs w:val="32"/>
        </w:rPr>
        <w:t xml:space="preserve"> </w:t>
      </w:r>
      <w:r>
        <w:rPr>
          <w:rFonts w:hint="eastAsia" w:ascii="方正黑体_GBK" w:hAnsi="Times New Roman" w:eastAsia="方正黑体_GBK"/>
          <w:b w:val="0"/>
          <w:bCs/>
          <w:sz w:val="32"/>
          <w:szCs w:val="32"/>
        </w:rPr>
        <w:t>危险有害因素辨识</w:t>
      </w:r>
      <w:bookmarkEnd w:id="1"/>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2" w:name="_Toc113279515"/>
      <w:r>
        <w:rPr>
          <w:rFonts w:hint="eastAsia" w:ascii="方正楷体_GBK" w:hAnsi="方正楷体_GBK" w:eastAsia="方正楷体_GBK" w:cs="方正楷体_GBK"/>
          <w:b w:val="0"/>
          <w:bCs w:val="0"/>
        </w:rPr>
        <w:t>1.1  区内石油天然气长输管道概况</w:t>
      </w:r>
      <w:bookmarkEnd w:id="2"/>
    </w:p>
    <w:p>
      <w:pPr>
        <w:keepNext/>
        <w:keepLines/>
        <w:ind w:firstLine="632" w:firstLineChars="200"/>
        <w:outlineLvl w:val="2"/>
        <w:rPr>
          <w:rFonts w:ascii="仿宋_GB2312" w:eastAsia="仿宋_GB2312"/>
          <w:b/>
          <w:bCs/>
        </w:rPr>
      </w:pPr>
      <w:r>
        <w:rPr>
          <w:rFonts w:hint="eastAsia" w:ascii="仿宋_GB2312" w:eastAsia="仿宋_GB2312"/>
          <w:b/>
          <w:bCs/>
        </w:rPr>
        <w:t>1.1.1 成品油长输管道</w:t>
      </w:r>
    </w:p>
    <w:p>
      <w:pPr>
        <w:pStyle w:val="46"/>
        <w:ind w:firstLine="632" w:firstLineChars="200"/>
        <w:jc w:val="both"/>
        <w:rPr>
          <w:rFonts w:ascii="方正仿宋_GBK"/>
          <w:sz w:val="32"/>
          <w:szCs w:val="32"/>
        </w:rPr>
      </w:pPr>
      <w:r>
        <w:rPr>
          <w:rFonts w:hint="eastAsia" w:ascii="方正仿宋_GBK"/>
          <w:sz w:val="32"/>
          <w:szCs w:val="32"/>
        </w:rPr>
        <w:t>江北区境内目前油料长输管道只有1条，即中国航空油料有限责任公司重庆分公司重庆机场航空油料输送管线。</w:t>
      </w:r>
    </w:p>
    <w:p>
      <w:pPr>
        <w:pStyle w:val="46"/>
        <w:ind w:firstLine="632" w:firstLineChars="200"/>
        <w:jc w:val="both"/>
        <w:rPr>
          <w:rFonts w:ascii="方正仿宋_GBK"/>
          <w:sz w:val="32"/>
          <w:szCs w:val="32"/>
        </w:rPr>
      </w:pPr>
      <w:r>
        <w:rPr>
          <w:rFonts w:hint="eastAsia" w:ascii="方正仿宋_GBK"/>
          <w:sz w:val="32"/>
          <w:szCs w:val="32"/>
        </w:rPr>
        <w:t>该输油管道起于中国航空油料有限责任公司重庆分公司唐家沱码头油库，止于江北国际机场使用油库。江北区境内长约3.92km，途经铁山坪街道、港城园区和寸滩街道。</w:t>
      </w:r>
    </w:p>
    <w:p>
      <w:pPr>
        <w:pStyle w:val="46"/>
        <w:ind w:firstLine="632" w:firstLineChars="200"/>
        <w:jc w:val="both"/>
        <w:rPr>
          <w:rFonts w:ascii="方正仿宋_GBK"/>
          <w:sz w:val="32"/>
          <w:szCs w:val="32"/>
        </w:rPr>
      </w:pPr>
      <w:r>
        <w:rPr>
          <w:rFonts w:hint="eastAsia" w:ascii="方正仿宋_GBK"/>
          <w:sz w:val="32"/>
          <w:szCs w:val="32"/>
        </w:rPr>
        <w:t>该管道公称直径DN200，管材为20#无缝钢管，输送介质为航空煤油（3号喷气燃料），管道压力等级为GA2级，设计压力6.4MPa，最大工作压力3.6MPa，最大工作流量220m</w:t>
      </w:r>
      <w:r>
        <w:rPr>
          <w:rFonts w:hint="eastAsia" w:ascii="方正仿宋_GBK"/>
          <w:sz w:val="32"/>
          <w:szCs w:val="32"/>
          <w:vertAlign w:val="superscript"/>
        </w:rPr>
        <w:t>3</w:t>
      </w:r>
      <w:r>
        <w:rPr>
          <w:rFonts w:hint="eastAsia" w:ascii="方正仿宋_GBK"/>
          <w:sz w:val="32"/>
          <w:szCs w:val="32"/>
        </w:rPr>
        <w:t>/h，年设计最大输油能力120万m</w:t>
      </w:r>
      <w:r>
        <w:rPr>
          <w:rFonts w:hint="eastAsia" w:ascii="方正仿宋_GBK"/>
          <w:sz w:val="32"/>
          <w:szCs w:val="32"/>
          <w:vertAlign w:val="superscript"/>
        </w:rPr>
        <w:t>3</w:t>
      </w:r>
      <w:r>
        <w:rPr>
          <w:rFonts w:hint="eastAsia" w:ascii="方正仿宋_GBK"/>
          <w:sz w:val="32"/>
          <w:szCs w:val="32"/>
        </w:rPr>
        <w:t>。</w:t>
      </w:r>
    </w:p>
    <w:p>
      <w:pPr>
        <w:keepNext/>
        <w:keepLines/>
        <w:ind w:firstLine="632" w:firstLineChars="200"/>
        <w:outlineLvl w:val="2"/>
        <w:rPr>
          <w:rFonts w:ascii="仿宋_GB2312" w:eastAsia="仿宋_GB2312"/>
          <w:b/>
          <w:bCs/>
        </w:rPr>
      </w:pPr>
      <w:r>
        <w:rPr>
          <w:rFonts w:hint="eastAsia" w:ascii="仿宋_GB2312" w:eastAsia="仿宋_GB2312"/>
          <w:b/>
          <w:bCs/>
        </w:rPr>
        <w:t>1.1.2 天然气长输管道</w:t>
      </w:r>
    </w:p>
    <w:p>
      <w:pPr>
        <w:pStyle w:val="46"/>
        <w:ind w:firstLine="632" w:firstLineChars="200"/>
        <w:jc w:val="both"/>
        <w:rPr>
          <w:rFonts w:ascii="方正仿宋_GBK"/>
          <w:sz w:val="32"/>
          <w:szCs w:val="32"/>
        </w:rPr>
      </w:pPr>
      <w:r>
        <w:rPr>
          <w:rFonts w:hint="eastAsia" w:ascii="方正仿宋_GBK"/>
          <w:sz w:val="32"/>
          <w:szCs w:val="32"/>
        </w:rPr>
        <w:t>（1）重庆燃气集团股份有限公司输配分公司输气管道</w:t>
      </w:r>
    </w:p>
    <w:p>
      <w:pPr>
        <w:pStyle w:val="46"/>
        <w:ind w:firstLine="632" w:firstLineChars="200"/>
        <w:jc w:val="both"/>
        <w:rPr>
          <w:rFonts w:ascii="方正仿宋_GBK"/>
          <w:sz w:val="32"/>
          <w:szCs w:val="32"/>
        </w:rPr>
      </w:pPr>
      <w:r>
        <w:rPr>
          <w:rFonts w:hint="eastAsia" w:ascii="方正仿宋_GBK"/>
          <w:sz w:val="32"/>
          <w:szCs w:val="32"/>
        </w:rPr>
        <w:t>重庆燃气集团股份有限公司输配分公司在江北区境内天然气长输管道主要有都市外环管线江北段、晏鱼线江北段。</w:t>
      </w:r>
    </w:p>
    <w:p>
      <w:pPr>
        <w:pStyle w:val="46"/>
        <w:ind w:firstLine="632" w:firstLineChars="200"/>
        <w:jc w:val="both"/>
        <w:rPr>
          <w:rFonts w:ascii="方正仿宋_GBK"/>
          <w:sz w:val="32"/>
          <w:szCs w:val="32"/>
        </w:rPr>
      </w:pPr>
      <w:r>
        <w:rPr>
          <w:rFonts w:hint="eastAsia" w:ascii="方正仿宋_GBK"/>
          <w:sz w:val="32"/>
          <w:szCs w:val="32"/>
        </w:rPr>
        <w:t>外环管线江北段长约12.2km，管道设计压力4.5MPa，管径D711，起于三梯子水库，止于龙冲岩长江边。途径果园港区、鱼嘴工业园区、复盛镇。自三梯子水库处沿高速公路外侧控制带向南敷设，在日铺南侧穿越协睦立交匝道后向西南过庙坝村西、新田湾、大坪，穿越渝长高速经扇子坝至位于楼房沟西的鱼嘴门站，管线出鱼嘴门站后向南穿越渝怀铁路，于J020号桩处向西下穿绕城高速芦稿湾大桥至绕城高速内侧J021号桩处，而后管线折向南经下湾至龙冲岩，管线由此处穿越长江至南岸区石盘凼。管道采用三层PE常温型加强级外防腐层+强制电流阴极保护。</w:t>
      </w:r>
    </w:p>
    <w:p>
      <w:pPr>
        <w:pStyle w:val="46"/>
        <w:ind w:firstLine="632" w:firstLineChars="200"/>
        <w:jc w:val="both"/>
        <w:rPr>
          <w:rFonts w:ascii="方正仿宋_GBK"/>
          <w:sz w:val="32"/>
          <w:szCs w:val="32"/>
        </w:rPr>
      </w:pPr>
      <w:r>
        <w:rPr>
          <w:rFonts w:hint="eastAsia" w:ascii="方正仿宋_GBK"/>
          <w:sz w:val="32"/>
          <w:szCs w:val="32"/>
        </w:rPr>
        <w:t>晏鱼线江北段10.4km，管道设计压力4.5MPa，管径D508，起于御临河边，止于鱼嘴门站。途经鱼嘴镇、五宝镇。晏鱼线穿越御临河后，经樟鹿溪、周家拱桥、白杨坝、生基坪、二蹬岩、梅子岚娅、黄树槽、窑罐林、厂墙沟、碾子坪、李家沟斑竹林，在蒋家湾铁路桥下穿越渝怀铁路，沿渝怀铁路，经上土地沟至绕城高速，沿绕城高速到达鱼嘴门站。</w:t>
      </w:r>
    </w:p>
    <w:p>
      <w:pPr>
        <w:pStyle w:val="46"/>
        <w:ind w:firstLine="632" w:firstLineChars="200"/>
        <w:jc w:val="both"/>
        <w:rPr>
          <w:rFonts w:ascii="方正仿宋_GBK"/>
          <w:sz w:val="32"/>
          <w:szCs w:val="32"/>
        </w:rPr>
      </w:pPr>
      <w:r>
        <w:rPr>
          <w:rFonts w:hint="eastAsia" w:ascii="方正仿宋_GBK"/>
          <w:sz w:val="32"/>
          <w:szCs w:val="32"/>
        </w:rPr>
        <w:t>（2）重庆气矿江北天然气运销部输气管道</w:t>
      </w:r>
    </w:p>
    <w:p>
      <w:pPr>
        <w:pStyle w:val="46"/>
        <w:ind w:firstLine="632" w:firstLineChars="200"/>
        <w:jc w:val="both"/>
        <w:rPr>
          <w:rFonts w:ascii="方正仿宋_GBK"/>
          <w:sz w:val="32"/>
          <w:szCs w:val="32"/>
        </w:rPr>
      </w:pPr>
      <w:r>
        <w:rPr>
          <w:rFonts w:hint="eastAsia" w:ascii="方正仿宋_GBK"/>
          <w:sz w:val="32"/>
          <w:szCs w:val="32"/>
        </w:rPr>
        <w:t>重庆气矿江北天然气运销部卧渝线C段江北区段天然气管道于1991年投产使用，输送净化天然气。管道规格为D426（其中大石坝至大庆村立交壁厚为7mm，大庆村立交至金山角壁厚11.9mm，金山角至大石坝正街壁厚7mm，大石坝正街至北滨路1号立交桥壁厚10mm）。管道材质为A3F、X52钢、L245、20#钢，管道设计压力2.5MPa，设计输量250×10</w:t>
      </w:r>
      <w:r>
        <w:rPr>
          <w:rFonts w:hint="eastAsia" w:ascii="方正仿宋_GBK"/>
          <w:sz w:val="32"/>
          <w:szCs w:val="32"/>
          <w:vertAlign w:val="superscript"/>
        </w:rPr>
        <w:t>4</w:t>
      </w:r>
      <w:r>
        <w:rPr>
          <w:rFonts w:hint="eastAsia" w:ascii="方正仿宋_GBK"/>
          <w:sz w:val="32"/>
          <w:szCs w:val="32"/>
        </w:rPr>
        <w:t>m</w:t>
      </w:r>
      <w:r>
        <w:rPr>
          <w:rFonts w:hint="eastAsia" w:ascii="方正仿宋_GBK"/>
          <w:sz w:val="32"/>
          <w:szCs w:val="32"/>
          <w:vertAlign w:val="superscript"/>
        </w:rPr>
        <w:t>3</w:t>
      </w:r>
      <w:r>
        <w:rPr>
          <w:rFonts w:hint="eastAsia" w:ascii="方正仿宋_GBK"/>
          <w:sz w:val="32"/>
          <w:szCs w:val="32"/>
        </w:rPr>
        <w:t>/d，运行期间压力为0.8MPa，实际输气量为50~70×10</w:t>
      </w:r>
      <w:r>
        <w:rPr>
          <w:rFonts w:hint="eastAsia" w:ascii="方正仿宋_GBK"/>
          <w:sz w:val="32"/>
          <w:szCs w:val="32"/>
          <w:vertAlign w:val="superscript"/>
        </w:rPr>
        <w:t>4</w:t>
      </w:r>
      <w:r>
        <w:rPr>
          <w:rFonts w:hint="eastAsia" w:ascii="方正仿宋_GBK"/>
          <w:sz w:val="32"/>
          <w:szCs w:val="32"/>
        </w:rPr>
        <w:t>m</w:t>
      </w:r>
      <w:r>
        <w:rPr>
          <w:rFonts w:hint="eastAsia" w:ascii="方正仿宋_GBK"/>
          <w:sz w:val="32"/>
          <w:szCs w:val="32"/>
          <w:vertAlign w:val="superscript"/>
        </w:rPr>
        <w:t>3</w:t>
      </w:r>
      <w:r>
        <w:rPr>
          <w:rFonts w:hint="eastAsia" w:ascii="方正仿宋_GBK"/>
          <w:sz w:val="32"/>
          <w:szCs w:val="32"/>
        </w:rPr>
        <w:t>/d；管道起点为大石坝站，终点为九宫庙站，采用3PE防腐（部分为石油沥青）+强制电流阴极保护。卧渝线C段江北区段（大石坝站至嘉陵江边）全长约3.5Km，途经大石坝街道，目前处于充氮保护停用状态。</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3" w:name="_Toc113279516"/>
      <w:r>
        <w:rPr>
          <w:rFonts w:hint="eastAsia" w:ascii="方正楷体_GBK" w:hAnsi="方正楷体_GBK" w:eastAsia="方正楷体_GBK" w:cs="方正楷体_GBK"/>
          <w:b w:val="0"/>
          <w:bCs w:val="0"/>
        </w:rPr>
        <w:t>1.2  危险有害因素辨识</w:t>
      </w:r>
      <w:bookmarkEnd w:id="3"/>
    </w:p>
    <w:p>
      <w:pPr>
        <w:keepNext/>
        <w:keepLines/>
        <w:ind w:firstLine="632" w:firstLineChars="200"/>
        <w:outlineLvl w:val="2"/>
        <w:rPr>
          <w:rFonts w:ascii="仿宋_GB2312" w:eastAsia="仿宋_GB2312"/>
          <w:b/>
          <w:bCs/>
        </w:rPr>
      </w:pPr>
      <w:r>
        <w:rPr>
          <w:rFonts w:hint="eastAsia" w:ascii="仿宋_GB2312" w:eastAsia="仿宋_GB2312"/>
          <w:b/>
          <w:bCs/>
        </w:rPr>
        <w:t>1.2.1 主要危险物质辨识</w:t>
      </w:r>
    </w:p>
    <w:p>
      <w:pPr>
        <w:pStyle w:val="46"/>
        <w:ind w:firstLine="632" w:firstLineChars="200"/>
        <w:jc w:val="both"/>
        <w:rPr>
          <w:rFonts w:ascii="方正仿宋_GBK"/>
          <w:sz w:val="32"/>
          <w:szCs w:val="32"/>
        </w:rPr>
      </w:pPr>
      <w:r>
        <w:rPr>
          <w:rFonts w:hint="eastAsia" w:ascii="方正仿宋_GBK"/>
          <w:sz w:val="32"/>
          <w:szCs w:val="32"/>
        </w:rPr>
        <w:t>江北区石油天然气长输管道主要输送介质为：航空煤油（3号喷气燃料）、天然气。</w:t>
      </w:r>
    </w:p>
    <w:p>
      <w:pPr>
        <w:pStyle w:val="46"/>
        <w:ind w:firstLine="632" w:firstLineChars="200"/>
        <w:jc w:val="both"/>
        <w:rPr>
          <w:rFonts w:ascii="方正仿宋_GBK"/>
          <w:sz w:val="32"/>
          <w:szCs w:val="32"/>
        </w:rPr>
      </w:pPr>
      <w:r>
        <w:rPr>
          <w:rFonts w:hint="eastAsia" w:ascii="方正仿宋_GBK"/>
          <w:sz w:val="32"/>
          <w:szCs w:val="32"/>
        </w:rPr>
        <w:t>（1）航空煤油（3号喷气燃料）</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-1  航空煤油的安全技术特性表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71"/>
        <w:gridCol w:w="2268"/>
        <w:gridCol w:w="2410"/>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标识</w:t>
            </w: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中文名</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3号喷气燃料</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英文名</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Jet fuel No.3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别名</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航空煤油</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规格</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GB253-89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危规号</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GB3.3类33501</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CAS号</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8008-20-6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理化性质</w:t>
            </w: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性状</w:t>
            </w:r>
          </w:p>
        </w:tc>
        <w:tc>
          <w:tcPr>
            <w:tcW w:w="7002"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无色或淡黄色液体，略带臭味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沸点/℃</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175～325</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溶解性</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与石油系，乙醇混溶，</w:t>
            </w:r>
          </w:p>
          <w:p>
            <w:pPr>
              <w:adjustRightInd w:val="0"/>
              <w:snapToGrid w:val="0"/>
              <w:jc w:val="center"/>
              <w:rPr>
                <w:rFonts w:ascii="方正仿宋_GBK" w:hAnsi="宋体" w:cs="宋体"/>
                <w:sz w:val="21"/>
                <w:szCs w:val="21"/>
              </w:rPr>
            </w:pPr>
            <w:r>
              <w:rPr>
                <w:rFonts w:hint="eastAsia" w:ascii="方正仿宋_GBK" w:hAnsi="宋体" w:cs="宋体"/>
                <w:sz w:val="21"/>
                <w:szCs w:val="21"/>
              </w:rPr>
              <w:t>不溶于水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闪点/℃</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≥38</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相对密度(水=1)</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0.775～0.830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自燃点℃</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210</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燃烧(分解)产物</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CO、CO</w:t>
            </w:r>
            <w:r>
              <w:rPr>
                <w:rFonts w:hint="eastAsia" w:ascii="方正仿宋_GBK" w:hAnsi="宋体" w:cs="宋体"/>
                <w:sz w:val="21"/>
                <w:szCs w:val="21"/>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燃烧性</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易燃</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爆炸极限(体积分数)/％</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稳定性</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稳定</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聚合危害</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燃烧爆炸危险性</w:t>
            </w: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净热值</w:t>
            </w:r>
          </w:p>
        </w:tc>
        <w:tc>
          <w:tcPr>
            <w:tcW w:w="226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不小于 42.8MJ/kg</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禁忌物</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硝酸、氧化剂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危险特性</w:t>
            </w:r>
          </w:p>
        </w:tc>
        <w:tc>
          <w:tcPr>
            <w:tcW w:w="7002" w:type="dxa"/>
            <w:gridSpan w:val="3"/>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属易燃、易爆品，主要侵入途径是蒸气吸入、食入、皮肤及眼睛接触；其闪点在38℃以上，在温度高于其闪点情况下，遇明火、氧化剂，可能引起燃烧或爆炸。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Merge w:val="continue"/>
            <w:vAlign w:val="center"/>
          </w:tcPr>
          <w:p>
            <w:pPr>
              <w:adjustRightInd w:val="0"/>
              <w:snapToGrid w:val="0"/>
              <w:jc w:val="center"/>
              <w:rPr>
                <w:rFonts w:ascii="方正仿宋_GBK" w:hAnsi="宋体" w:cs="宋体"/>
                <w:b/>
                <w:sz w:val="21"/>
                <w:szCs w:val="21"/>
              </w:rPr>
            </w:pPr>
          </w:p>
        </w:tc>
        <w:tc>
          <w:tcPr>
            <w:tcW w:w="11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灭火方法</w:t>
            </w:r>
          </w:p>
        </w:tc>
        <w:tc>
          <w:tcPr>
            <w:tcW w:w="7002" w:type="dxa"/>
            <w:gridSpan w:val="3"/>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用雾状水保持火场容器冷却，使用干粉、泡沫或二氧化碳灭火，并用雾状水保护消防人员。</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灭火剂：干粉、二氧化碳、泡沫、雾状水、砂土。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毒性</w:t>
            </w:r>
          </w:p>
        </w:tc>
        <w:tc>
          <w:tcPr>
            <w:tcW w:w="8173" w:type="dxa"/>
            <w:gridSpan w:val="4"/>
            <w:vAlign w:val="center"/>
          </w:tcPr>
          <w:p>
            <w:pPr>
              <w:tabs>
                <w:tab w:val="left" w:pos="360"/>
                <w:tab w:val="left" w:pos="4350"/>
                <w:tab w:val="left" w:pos="4755"/>
              </w:tabs>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接触限值</w:t>
            </w:r>
          </w:p>
          <w:p>
            <w:pPr>
              <w:tabs>
                <w:tab w:val="left" w:pos="360"/>
                <w:tab w:val="left" w:pos="4350"/>
                <w:tab w:val="left" w:pos="4755"/>
              </w:tabs>
              <w:adjustRightInd w:val="0"/>
              <w:snapToGrid w:val="0"/>
              <w:ind w:firstLine="206" w:firstLineChars="100"/>
              <w:rPr>
                <w:rFonts w:ascii="方正仿宋_GBK" w:hAnsi="宋体" w:cs="宋体"/>
                <w:sz w:val="21"/>
                <w:szCs w:val="21"/>
              </w:rPr>
            </w:pPr>
            <w:r>
              <w:rPr>
                <w:rFonts w:hint="eastAsia" w:ascii="方正仿宋_GBK" w:hAnsi="宋体" w:cs="宋体"/>
                <w:sz w:val="21"/>
                <w:szCs w:val="21"/>
              </w:rPr>
              <w:t>中 国      15 g/m</w:t>
            </w:r>
            <w:r>
              <w:rPr>
                <w:rFonts w:hint="eastAsia" w:ascii="方正仿宋_GBK" w:hAnsi="宋体" w:cs="宋体"/>
                <w:sz w:val="21"/>
                <w:szCs w:val="21"/>
                <w:vertAlign w:val="superscript"/>
              </w:rPr>
              <w:t>3</w:t>
            </w:r>
            <w:r>
              <w:rPr>
                <w:rFonts w:hint="eastAsia" w:ascii="方正仿宋_GBK" w:hAnsi="宋体" w:cs="宋体"/>
                <w:sz w:val="21"/>
                <w:szCs w:val="21"/>
              </w:rPr>
              <w:tab/>
            </w:r>
            <w:r>
              <w:rPr>
                <w:rFonts w:hint="eastAsia" w:ascii="方正仿宋_GBK" w:hAnsi="宋体" w:cs="宋体"/>
                <w:sz w:val="21"/>
                <w:szCs w:val="21"/>
              </w:rPr>
              <w:t>10～15min</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美 国     100 mg/m</w:t>
            </w:r>
            <w:r>
              <w:rPr>
                <w:rFonts w:hint="eastAsia" w:ascii="方正仿宋_GBK" w:hAnsi="宋体" w:cs="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Align w:val="center"/>
          </w:tcPr>
          <w:p>
            <w:pPr>
              <w:tabs>
                <w:tab w:val="left" w:pos="360"/>
              </w:tabs>
              <w:adjustRightInd w:val="0"/>
              <w:snapToGrid w:val="0"/>
              <w:jc w:val="center"/>
              <w:rPr>
                <w:rFonts w:ascii="方正仿宋_GBK" w:hAnsi="宋体" w:cs="宋体"/>
                <w:b/>
                <w:sz w:val="21"/>
                <w:szCs w:val="21"/>
              </w:rPr>
            </w:pPr>
            <w:r>
              <w:rPr>
                <w:rFonts w:hint="eastAsia" w:ascii="方正仿宋_GBK" w:hAnsi="宋体" w:cs="宋体"/>
                <w:b/>
                <w:sz w:val="21"/>
                <w:szCs w:val="21"/>
              </w:rPr>
              <w:t>对人体的危害</w:t>
            </w:r>
          </w:p>
        </w:tc>
        <w:tc>
          <w:tcPr>
            <w:tcW w:w="8173" w:type="dxa"/>
            <w:gridSpan w:val="4"/>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毒性与汽油相似，对皮肤、粘膜的刺激性较强，并可通过皮肤吸收，长期接触，可导致人体虚弱、贫血、白细胞改变，发热和死亡。成人经口吸收最小致死约为100ml。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急救</w:t>
            </w:r>
          </w:p>
        </w:tc>
        <w:tc>
          <w:tcPr>
            <w:tcW w:w="8173" w:type="dxa"/>
            <w:gridSpan w:val="4"/>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中毒时立即移至新鲜空气处，松开衣服。停止呼吸时，进行人工呼吸，就医。皮肤或眼睛接触时，立即脱去被污染的衣服，用流动清水冲洗20分钟。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防护</w:t>
            </w:r>
          </w:p>
        </w:tc>
        <w:tc>
          <w:tcPr>
            <w:tcW w:w="8173" w:type="dxa"/>
            <w:gridSpan w:val="4"/>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工程控制  生产过程密闭，加强通风。</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眼睛防护  戴化学安全防护眼镜。</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身体防护  穿戴防渗透工作服。</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手 防 护  戴防渗透耐油手套。</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其    它  工作现场禁止吸烟。工作毕，淋浴更衣。注意个人清洁卫生。</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呼吸系统防护  空气中浓雅超标时，佩戴装药剂盒防有机蒸气的自吸过滤式防毒面具(全面罩)，紧急事态抢救或撤离时，佩戴空气呼吸器。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泄漏应急处理</w:t>
            </w:r>
          </w:p>
        </w:tc>
        <w:tc>
          <w:tcPr>
            <w:tcW w:w="8173" w:type="dxa"/>
            <w:gridSpan w:val="4"/>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首先切断一切火源，戴好防毒面具与手套，用砂土吸收，倒至空旷地方任其蒸气，对污染地面进行通风，蒸发残余液体，并排除蒸气。储存容器泄漏，要立即收集，防止进入下水道。排洪沟等限制性空间。</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大量泄漏：构筑围堤或挖坑收容，用泡沫覆盖，降低蒸气灾害，用泵转移至槽车或专用收集器内，回收或运至废物处理场所处置。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67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储运</w:t>
            </w:r>
          </w:p>
        </w:tc>
        <w:tc>
          <w:tcPr>
            <w:tcW w:w="8173" w:type="dxa"/>
            <w:gridSpan w:val="4"/>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按SH 0164进行。贮存于阴凉通风处，贮运中注意防火、防爆、防静电，并采取措施防止细菌产生。</w:t>
            </w:r>
          </w:p>
        </w:tc>
      </w:tr>
    </w:tbl>
    <w:p>
      <w:pPr>
        <w:pStyle w:val="46"/>
        <w:ind w:firstLine="632" w:firstLineChars="200"/>
        <w:jc w:val="both"/>
        <w:rPr>
          <w:rFonts w:ascii="方正仿宋_GBK"/>
          <w:sz w:val="32"/>
          <w:szCs w:val="32"/>
        </w:rPr>
      </w:pPr>
    </w:p>
    <w:p>
      <w:pPr>
        <w:pStyle w:val="46"/>
        <w:ind w:firstLine="632" w:firstLineChars="200"/>
        <w:rPr>
          <w:rFonts w:ascii="方正仿宋_GBK"/>
          <w:sz w:val="32"/>
          <w:szCs w:val="32"/>
        </w:rPr>
      </w:pPr>
      <w:r>
        <w:rPr>
          <w:rFonts w:hint="eastAsia" w:ascii="方正仿宋_GBK"/>
          <w:sz w:val="32"/>
          <w:szCs w:val="32"/>
        </w:rPr>
        <w:t>（2）天然气</w:t>
      </w:r>
    </w:p>
    <w:p>
      <w:pPr>
        <w:pStyle w:val="46"/>
        <w:ind w:firstLine="632" w:firstLineChars="200"/>
        <w:rPr>
          <w:rFonts w:ascii="方正仿宋_GBK"/>
          <w:sz w:val="32"/>
          <w:szCs w:val="32"/>
        </w:rPr>
      </w:pPr>
      <w:r>
        <w:rPr>
          <w:rFonts w:hint="eastAsia" w:ascii="方正仿宋_GBK"/>
          <w:sz w:val="32"/>
          <w:szCs w:val="32"/>
        </w:rPr>
        <w:t>根据《危险化学品目录》（2015版），天然气长输管道输送的主要危险、有害物质是天然气，其主要成分为甲烷。</w:t>
      </w:r>
    </w:p>
    <w:p>
      <w:pPr>
        <w:pStyle w:val="46"/>
        <w:ind w:firstLine="632" w:firstLineChars="200"/>
        <w:jc w:val="both"/>
        <w:rPr>
          <w:rFonts w:ascii="方正仿宋_GBK"/>
          <w:sz w:val="32"/>
          <w:szCs w:val="32"/>
        </w:rPr>
      </w:pPr>
      <w:r>
        <w:rPr>
          <w:rFonts w:hint="eastAsia" w:ascii="方正仿宋_GBK"/>
          <w:sz w:val="32"/>
          <w:szCs w:val="32"/>
        </w:rPr>
        <w:t>天然气的主要安全技术特性见下表。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 xml:space="preserve">  天然气的安全技术特性表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843"/>
        <w:gridCol w:w="1701"/>
        <w:gridCol w:w="357"/>
        <w:gridCol w:w="1063"/>
        <w:gridCol w:w="564"/>
        <w:gridCol w:w="828"/>
        <w:gridCol w:w="965"/>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标识</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中文名</w:t>
            </w:r>
          </w:p>
        </w:tc>
        <w:tc>
          <w:tcPr>
            <w:tcW w:w="2058" w:type="dxa"/>
            <w:gridSpan w:val="2"/>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甲烷；沼气</w:t>
            </w:r>
          </w:p>
        </w:tc>
        <w:tc>
          <w:tcPr>
            <w:tcW w:w="106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英文名</w:t>
            </w:r>
          </w:p>
        </w:tc>
        <w:tc>
          <w:tcPr>
            <w:tcW w:w="3172" w:type="dxa"/>
            <w:gridSpan w:val="4"/>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Methane;</w:t>
            </w:r>
            <w:r>
              <w:rPr>
                <w:rFonts w:ascii="方正仿宋_GBK" w:hAnsi="宋体" w:cs="宋体"/>
                <w:sz w:val="21"/>
                <w:szCs w:val="21"/>
              </w:rPr>
              <w:t xml:space="preserve"> </w:t>
            </w:r>
            <w:r>
              <w:rPr>
                <w:rFonts w:hint="eastAsia" w:ascii="方正仿宋_GBK" w:hAnsi="宋体" w:cs="宋体"/>
                <w:sz w:val="21"/>
                <w:szCs w:val="21"/>
              </w:rPr>
              <w:t>Marshgas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分子式</w:t>
            </w:r>
          </w:p>
        </w:tc>
        <w:tc>
          <w:tcPr>
            <w:tcW w:w="2058" w:type="dxa"/>
            <w:gridSpan w:val="2"/>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CH4</w:t>
            </w:r>
          </w:p>
        </w:tc>
        <w:tc>
          <w:tcPr>
            <w:tcW w:w="106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分子量</w:t>
            </w:r>
          </w:p>
        </w:tc>
        <w:tc>
          <w:tcPr>
            <w:tcW w:w="1392" w:type="dxa"/>
            <w:gridSpan w:val="2"/>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16.04</w:t>
            </w:r>
          </w:p>
        </w:tc>
        <w:tc>
          <w:tcPr>
            <w:tcW w:w="965" w:type="dxa"/>
            <w:vMerge w:val="restart"/>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UN编号</w:t>
            </w:r>
          </w:p>
        </w:tc>
        <w:tc>
          <w:tcPr>
            <w:tcW w:w="815" w:type="dxa"/>
            <w:vMerge w:val="restart"/>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序号</w:t>
            </w:r>
          </w:p>
        </w:tc>
        <w:tc>
          <w:tcPr>
            <w:tcW w:w="2058" w:type="dxa"/>
            <w:gridSpan w:val="2"/>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1289</w:t>
            </w:r>
          </w:p>
        </w:tc>
        <w:tc>
          <w:tcPr>
            <w:tcW w:w="106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CAS号</w:t>
            </w:r>
          </w:p>
        </w:tc>
        <w:tc>
          <w:tcPr>
            <w:tcW w:w="1392" w:type="dxa"/>
            <w:gridSpan w:val="2"/>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74-82-8</w:t>
            </w:r>
          </w:p>
        </w:tc>
        <w:tc>
          <w:tcPr>
            <w:tcW w:w="965" w:type="dxa"/>
            <w:vMerge w:val="continue"/>
            <w:vAlign w:val="center"/>
          </w:tcPr>
          <w:p>
            <w:pPr>
              <w:jc w:val="center"/>
              <w:rPr>
                <w:rFonts w:ascii="方正仿宋_GBK" w:hAnsi="宋体" w:cs="宋体"/>
                <w:sz w:val="21"/>
                <w:szCs w:val="21"/>
              </w:rPr>
            </w:pPr>
          </w:p>
        </w:tc>
        <w:tc>
          <w:tcPr>
            <w:tcW w:w="815" w:type="dxa"/>
            <w:vMerge w:val="continue"/>
            <w:vAlign w:val="center"/>
          </w:tcPr>
          <w:p>
            <w:pPr>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理化性质</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性状</w:t>
            </w:r>
          </w:p>
        </w:tc>
        <w:tc>
          <w:tcPr>
            <w:tcW w:w="6293" w:type="dxa"/>
            <w:gridSpan w:val="7"/>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无色无臭气体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熔点/℃</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-182.5</w:t>
            </w:r>
          </w:p>
        </w:tc>
        <w:tc>
          <w:tcPr>
            <w:tcW w:w="1984"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溶解性</w:t>
            </w:r>
          </w:p>
        </w:tc>
        <w:tc>
          <w:tcPr>
            <w:tcW w:w="2608" w:type="dxa"/>
            <w:gridSpan w:val="3"/>
            <w:vAlign w:val="center"/>
          </w:tcPr>
          <w:p>
            <w:pPr>
              <w:adjustRightInd w:val="0"/>
              <w:snapToGrid w:val="0"/>
              <w:rPr>
                <w:rFonts w:ascii="方正仿宋_GBK" w:hAnsi="宋体" w:cs="宋体"/>
                <w:sz w:val="21"/>
                <w:szCs w:val="21"/>
              </w:rPr>
            </w:pPr>
            <w:r>
              <w:rPr>
                <w:rFonts w:hint="eastAsia" w:ascii="方正仿宋_GBK" w:hAnsi="宋体" w:cs="宋体"/>
                <w:sz w:val="21"/>
                <w:szCs w:val="21"/>
              </w:rPr>
              <w:t>微溶于水，熔于醇、乙醚。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沸点/℃</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-161.5</w:t>
            </w:r>
          </w:p>
        </w:tc>
        <w:tc>
          <w:tcPr>
            <w:tcW w:w="1984"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相对密度</w:t>
            </w:r>
          </w:p>
          <w:p>
            <w:pPr>
              <w:adjustRightInd w:val="0"/>
              <w:snapToGrid w:val="0"/>
              <w:jc w:val="center"/>
              <w:rPr>
                <w:rFonts w:ascii="方正仿宋_GBK" w:hAnsi="宋体" w:cs="宋体"/>
                <w:sz w:val="21"/>
                <w:szCs w:val="21"/>
              </w:rPr>
            </w:pPr>
            <w:r>
              <w:rPr>
                <w:rFonts w:hint="eastAsia" w:ascii="方正仿宋_GBK" w:hAnsi="宋体" w:cs="宋体"/>
                <w:sz w:val="21"/>
                <w:szCs w:val="21"/>
              </w:rPr>
              <w:t>（水=1）</w:t>
            </w:r>
          </w:p>
        </w:tc>
        <w:tc>
          <w:tcPr>
            <w:tcW w:w="2608"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0.42（-164℃）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饱和蒸气压/kPa</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53.32（-168.8℃）</w:t>
            </w:r>
          </w:p>
        </w:tc>
        <w:tc>
          <w:tcPr>
            <w:tcW w:w="1984"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相对密度</w:t>
            </w:r>
          </w:p>
          <w:p>
            <w:pPr>
              <w:adjustRightInd w:val="0"/>
              <w:snapToGrid w:val="0"/>
              <w:jc w:val="center"/>
              <w:rPr>
                <w:rFonts w:ascii="方正仿宋_GBK" w:hAnsi="宋体" w:cs="宋体"/>
                <w:sz w:val="21"/>
                <w:szCs w:val="21"/>
              </w:rPr>
            </w:pPr>
            <w:r>
              <w:rPr>
                <w:rFonts w:hint="eastAsia" w:ascii="方正仿宋_GBK" w:hAnsi="宋体" w:cs="宋体"/>
                <w:sz w:val="21"/>
                <w:szCs w:val="21"/>
              </w:rPr>
              <w:t>（空气=1）</w:t>
            </w:r>
          </w:p>
        </w:tc>
        <w:tc>
          <w:tcPr>
            <w:tcW w:w="2608"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临界温度/℃</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-82.6</w:t>
            </w:r>
          </w:p>
        </w:tc>
        <w:tc>
          <w:tcPr>
            <w:tcW w:w="1984"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燃烧热（kJ/mol）</w:t>
            </w:r>
          </w:p>
        </w:tc>
        <w:tc>
          <w:tcPr>
            <w:tcW w:w="2608"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889.5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临界压力/MPa</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4.59</w:t>
            </w:r>
          </w:p>
        </w:tc>
        <w:tc>
          <w:tcPr>
            <w:tcW w:w="1984"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最小引燃能量/mJ</w:t>
            </w:r>
          </w:p>
        </w:tc>
        <w:tc>
          <w:tcPr>
            <w:tcW w:w="2608"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燃烧爆炸危险性</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燃烧性</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易燃</w:t>
            </w:r>
          </w:p>
        </w:tc>
        <w:tc>
          <w:tcPr>
            <w:tcW w:w="1984"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燃烧（分解）产物</w:t>
            </w:r>
          </w:p>
        </w:tc>
        <w:tc>
          <w:tcPr>
            <w:tcW w:w="2608" w:type="dxa"/>
            <w:gridSpan w:val="3"/>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闪点/℃</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-188</w:t>
            </w:r>
          </w:p>
        </w:tc>
        <w:tc>
          <w:tcPr>
            <w:tcW w:w="1984" w:type="dxa"/>
            <w:gridSpan w:val="3"/>
            <w:tcBorders>
              <w:bottom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聚合危害</w:t>
            </w:r>
          </w:p>
        </w:tc>
        <w:tc>
          <w:tcPr>
            <w:tcW w:w="2608" w:type="dxa"/>
            <w:gridSpan w:val="3"/>
            <w:tcBorders>
              <w:bottom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爆炸极限（体积分数）/％</w:t>
            </w:r>
          </w:p>
        </w:tc>
        <w:tc>
          <w:tcPr>
            <w:tcW w:w="1701" w:type="dxa"/>
            <w:tcBorders>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5.3～15</w:t>
            </w:r>
          </w:p>
        </w:tc>
        <w:tc>
          <w:tcPr>
            <w:tcW w:w="1984"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稳定性</w:t>
            </w:r>
          </w:p>
        </w:tc>
        <w:tc>
          <w:tcPr>
            <w:tcW w:w="260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自燃温度/℃</w:t>
            </w:r>
          </w:p>
        </w:tc>
        <w:tc>
          <w:tcPr>
            <w:tcW w:w="17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538</w:t>
            </w:r>
          </w:p>
        </w:tc>
        <w:tc>
          <w:tcPr>
            <w:tcW w:w="1984" w:type="dxa"/>
            <w:gridSpan w:val="3"/>
            <w:tcBorders>
              <w:top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禁忌物</w:t>
            </w:r>
          </w:p>
        </w:tc>
        <w:tc>
          <w:tcPr>
            <w:tcW w:w="2608" w:type="dxa"/>
            <w:gridSpan w:val="3"/>
            <w:tcBorders>
              <w:top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强氧化剂、氟、氯。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8136" w:type="dxa"/>
            <w:gridSpan w:val="8"/>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危险特性易燃，与空气混合能形成爆炸性混合物，遇热源和明火有燃烧爆炸的危险。与五氧化溴、氯气、次氯酸、三氟化氮、液氧、二氟化氧及其它强氧化剂接触剧烈反应。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Merge w:val="continue"/>
            <w:vAlign w:val="center"/>
          </w:tcPr>
          <w:p>
            <w:pPr>
              <w:adjustRightInd w:val="0"/>
              <w:snapToGrid w:val="0"/>
              <w:jc w:val="center"/>
              <w:rPr>
                <w:rFonts w:ascii="方正仿宋_GBK" w:hAnsi="宋体" w:cs="宋体"/>
                <w:b/>
                <w:sz w:val="21"/>
                <w:szCs w:val="21"/>
              </w:rPr>
            </w:pPr>
          </w:p>
        </w:tc>
        <w:tc>
          <w:tcPr>
            <w:tcW w:w="8136" w:type="dxa"/>
            <w:gridSpan w:val="8"/>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灭火方法切断气源。若不能立即切断气源，则不允许熄灭正在燃烧的气体。喷水冷却容器，可能的话将容器从火场移至空旷处。</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灭火剂：雾状水、泡沫、二氧化碳、干粉。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毒性</w:t>
            </w:r>
          </w:p>
        </w:tc>
        <w:tc>
          <w:tcPr>
            <w:tcW w:w="8136" w:type="dxa"/>
            <w:gridSpan w:val="8"/>
            <w:tcBorders>
              <w:top w:val="nil"/>
            </w:tcBorders>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接触限值 中国MAC（mg/m</w:t>
            </w:r>
            <w:r>
              <w:rPr>
                <w:rFonts w:hint="eastAsia" w:ascii="方正仿宋_GBK" w:hAnsi="宋体" w:cs="宋体"/>
                <w:sz w:val="21"/>
                <w:szCs w:val="21"/>
                <w:vertAlign w:val="superscript"/>
              </w:rPr>
              <w:t>3</w:t>
            </w:r>
            <w:r>
              <w:rPr>
                <w:rFonts w:hint="eastAsia" w:ascii="方正仿宋_GBK" w:hAnsi="宋体" w:cs="宋体"/>
                <w:sz w:val="21"/>
                <w:szCs w:val="21"/>
              </w:rPr>
              <w:t>)未制定标准</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苏联MAC（mg/m</w:t>
            </w:r>
            <w:r>
              <w:rPr>
                <w:rFonts w:hint="eastAsia" w:ascii="方正仿宋_GBK" w:hAnsi="宋体" w:cs="宋体"/>
                <w:sz w:val="21"/>
                <w:szCs w:val="21"/>
                <w:vertAlign w:val="superscript"/>
              </w:rPr>
              <w:t>3</w:t>
            </w:r>
            <w:r>
              <w:rPr>
                <w:rFonts w:hint="eastAsia" w:ascii="方正仿宋_GBK" w:hAnsi="宋体" w:cs="宋体"/>
                <w:sz w:val="21"/>
                <w:szCs w:val="21"/>
              </w:rPr>
              <w:t>)300</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美国TVL-TWA</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ACGIH窒息性气体</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美国TLV-STEL未制定标准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对人体的危害</w:t>
            </w:r>
          </w:p>
        </w:tc>
        <w:tc>
          <w:tcPr>
            <w:tcW w:w="8136" w:type="dxa"/>
            <w:gridSpan w:val="8"/>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急救</w:t>
            </w:r>
          </w:p>
        </w:tc>
        <w:tc>
          <w:tcPr>
            <w:tcW w:w="8136" w:type="dxa"/>
            <w:gridSpan w:val="8"/>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皮肤接触若有冻伤，就医治疗。</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吸入迅速脱离现场至空气新鲜处。保持呼吸道通畅。如呼吸困难，给输氧。如呼吸停止，立即进行人工呼吸。就医。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防护</w:t>
            </w:r>
          </w:p>
        </w:tc>
        <w:tc>
          <w:tcPr>
            <w:tcW w:w="8136" w:type="dxa"/>
            <w:gridSpan w:val="8"/>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工程控制生产过程密闭，全面通风。</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呼吸系统防护一般不需要特殊防护，但建议特殊情况下，佩戴自吸过滤式防毒面具（半面罩）。</w:t>
            </w:r>
          </w:p>
          <w:p>
            <w:pPr>
              <w:tabs>
                <w:tab w:val="left" w:pos="360"/>
              </w:tabs>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眼睛防护一般不需要特殊防护，高浓度接触时可戴安全防护眼镜。</w:t>
            </w:r>
          </w:p>
          <w:p>
            <w:pPr>
              <w:tabs>
                <w:tab w:val="left" w:pos="360"/>
              </w:tabs>
              <w:adjustRightInd w:val="0"/>
              <w:snapToGrid w:val="0"/>
              <w:ind w:firstLine="206" w:firstLineChars="100"/>
              <w:rPr>
                <w:rFonts w:ascii="方正仿宋_GBK" w:hAnsi="宋体" w:cs="宋体"/>
                <w:sz w:val="21"/>
                <w:szCs w:val="21"/>
              </w:rPr>
            </w:pPr>
            <w:r>
              <w:rPr>
                <w:rFonts w:hint="eastAsia" w:ascii="方正仿宋_GBK" w:hAnsi="宋体" w:cs="宋体"/>
                <w:sz w:val="21"/>
                <w:szCs w:val="21"/>
              </w:rPr>
              <w:t>身体防护穿防静电工作服。</w:t>
            </w:r>
          </w:p>
          <w:p>
            <w:pPr>
              <w:tabs>
                <w:tab w:val="left" w:pos="360"/>
              </w:tabs>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手防护戴一般作业防护手套。</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其它工作现场严禁吸烟。避免长期反复接触。进入罐、限制性空间或其它高浓度区作业，须有人监护。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泄漏应急处理</w:t>
            </w:r>
          </w:p>
        </w:tc>
        <w:tc>
          <w:tcPr>
            <w:tcW w:w="8136" w:type="dxa"/>
            <w:gridSpan w:val="8"/>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迅速撤离泄漏污染区人员至上风处，并进行隔离，严格限制出入。切断火源。建议应急处理人员戴自给正压式呼吸器，穿消防防护服。尽可能切断泄漏源。合理通风，加速扩散。喷雾状水稀释、溶解。构筑围堤或挖坑收产生的大量废水。如有可能，将漏出气用排风机送至空旷地方或装设适当喷头烧掉。也可以将漏气的容器移至空旷处，注意通风。漏气容器要妥善处理，修复、检验后再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储运</w:t>
            </w:r>
          </w:p>
        </w:tc>
        <w:tc>
          <w:tcPr>
            <w:tcW w:w="8136" w:type="dxa"/>
            <w:gridSpan w:val="8"/>
            <w:tcBorders>
              <w:bottom w:val="single" w:color="auto" w:sz="4" w:space="0"/>
            </w:tcBorders>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易燃压缩气体。储存于阴凉、通风仓间内。仓温不宜超过30℃。远离火种、热源。防止阳光直射。应与氧气、压缩空气、卤素（氟、氯、溴）等分开存放。切忌混储混运。储存间内的照明、通风等设施应采用防爆型，开关设在仓外。配备相应品种和数量的消防器材。罐储时要有防火防爆技术措施。露天贮罐夏季要有降温措施。禁止使用易产生火花的机械设备和工具。验收时要注意品名，注意验瓶日期，先进仓的先发用。搬运时要轻装轻卸，防止钢瓶及附件破损。</w:t>
            </w:r>
          </w:p>
        </w:tc>
      </w:tr>
    </w:tbl>
    <w:p>
      <w:pPr>
        <w:pStyle w:val="46"/>
        <w:ind w:firstLine="632" w:firstLineChars="200"/>
        <w:jc w:val="both"/>
        <w:rPr>
          <w:rFonts w:ascii="方正仿宋_GBK"/>
          <w:sz w:val="32"/>
          <w:szCs w:val="32"/>
        </w:rPr>
      </w:pPr>
    </w:p>
    <w:p>
      <w:pPr>
        <w:pStyle w:val="46"/>
        <w:ind w:firstLine="632" w:firstLineChars="200"/>
        <w:rPr>
          <w:rFonts w:ascii="方正仿宋_GBK"/>
          <w:sz w:val="32"/>
          <w:szCs w:val="32"/>
        </w:rPr>
      </w:pPr>
      <w:r>
        <w:rPr>
          <w:rFonts w:hint="eastAsia" w:ascii="方正仿宋_GBK"/>
          <w:sz w:val="32"/>
          <w:szCs w:val="32"/>
        </w:rPr>
        <w:t>（3）重点监管的危险化学品</w:t>
      </w:r>
    </w:p>
    <w:p>
      <w:pPr>
        <w:pStyle w:val="46"/>
        <w:ind w:firstLine="632" w:firstLineChars="200"/>
        <w:rPr>
          <w:rFonts w:ascii="方正仿宋_GBK"/>
          <w:sz w:val="32"/>
          <w:szCs w:val="32"/>
        </w:rPr>
      </w:pPr>
      <w:r>
        <w:rPr>
          <w:rFonts w:hint="eastAsia" w:ascii="方正仿宋_GBK"/>
          <w:sz w:val="32"/>
          <w:szCs w:val="32"/>
        </w:rPr>
        <w:t>根据《重点监管的危险化学品名录》（2013年完整版），天然气为重点监管的危险化学品。天然气的安全措施和应急处置原则见下表。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-3  天然气的安全措施和应急处置原则</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特别警示</w:t>
            </w:r>
          </w:p>
        </w:tc>
        <w:tc>
          <w:tcPr>
            <w:tcW w:w="8165"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412" w:firstLineChars="200"/>
              <w:rPr>
                <w:rFonts w:ascii="方正仿宋_GBK" w:hAnsi="Arial" w:cs="Times New Roman"/>
                <w:kern w:val="0"/>
                <w:sz w:val="21"/>
                <w:szCs w:val="21"/>
              </w:rPr>
            </w:pPr>
            <w:r>
              <w:rPr>
                <w:rFonts w:hint="eastAsia" w:ascii="方正仿宋_GBK" w:hAnsi="Arial" w:cs="Times New Roman"/>
                <w:kern w:val="0"/>
                <w:sz w:val="21"/>
                <w:szCs w:val="21"/>
              </w:rPr>
              <w:t>极易燃气体。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理化特性</w:t>
            </w:r>
          </w:p>
        </w:tc>
        <w:tc>
          <w:tcPr>
            <w:tcW w:w="8165" w:type="dxa"/>
            <w:vAlign w:val="center"/>
          </w:tcPr>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无色、无臭、无味气体。微溶于水，溶于醇、乙醚等有机溶剂。分子量16.04，熔点-182.5</w:t>
            </w:r>
            <w:r>
              <w:rPr>
                <w:rFonts w:hint="eastAsia" w:ascii="方正仿宋_GBK" w:hAnsi="宋体"/>
                <w:sz w:val="21"/>
                <w:szCs w:val="21"/>
              </w:rPr>
              <w:t>℃</w:t>
            </w:r>
            <w:r>
              <w:rPr>
                <w:rFonts w:hint="eastAsia" w:ascii="方正仿宋_GBK" w:hAnsi="宋体" w:cs="宋体"/>
                <w:sz w:val="21"/>
                <w:szCs w:val="21"/>
              </w:rPr>
              <w:t>，沸点-161.5</w:t>
            </w:r>
            <w:r>
              <w:rPr>
                <w:rFonts w:hint="eastAsia" w:ascii="方正仿宋_GBK" w:hAnsi="宋体"/>
                <w:sz w:val="21"/>
                <w:szCs w:val="21"/>
              </w:rPr>
              <w:t>℃</w:t>
            </w:r>
            <w:r>
              <w:rPr>
                <w:rFonts w:hint="eastAsia" w:ascii="方正仿宋_GBK" w:hAnsi="宋体" w:cs="宋体"/>
                <w:sz w:val="21"/>
                <w:szCs w:val="21"/>
              </w:rPr>
              <w:t>，气体密度0.7163g/L，相对蒸气密度（空气=1）0.6，相对密度（水=1）0.42(-164</w:t>
            </w:r>
            <w:r>
              <w:rPr>
                <w:rFonts w:hint="eastAsia" w:ascii="方正仿宋_GBK" w:hAnsi="宋体"/>
                <w:sz w:val="21"/>
                <w:szCs w:val="21"/>
              </w:rPr>
              <w:t>℃</w:t>
            </w:r>
            <w:r>
              <w:rPr>
                <w:rFonts w:hint="eastAsia" w:ascii="方正仿宋_GBK" w:hAnsi="宋体" w:cs="宋体"/>
                <w:sz w:val="21"/>
                <w:szCs w:val="21"/>
              </w:rPr>
              <w:t>)，临界压力4.59MPa，临界温度-82.6</w:t>
            </w:r>
            <w:r>
              <w:rPr>
                <w:rFonts w:hint="eastAsia" w:ascii="方正仿宋_GBK" w:hAnsi="宋体"/>
                <w:sz w:val="21"/>
                <w:szCs w:val="21"/>
              </w:rPr>
              <w:t>℃</w:t>
            </w:r>
            <w:r>
              <w:rPr>
                <w:rFonts w:hint="eastAsia" w:ascii="方正仿宋_GBK" w:hAnsi="宋体" w:cs="宋体"/>
                <w:sz w:val="21"/>
                <w:szCs w:val="21"/>
              </w:rPr>
              <w:t>，饱和蒸气压53.32kPa(-168.8</w:t>
            </w:r>
            <w:r>
              <w:rPr>
                <w:rFonts w:hint="eastAsia" w:ascii="方正仿宋_GBK" w:hAnsi="宋体"/>
                <w:sz w:val="21"/>
                <w:szCs w:val="21"/>
              </w:rPr>
              <w:t>℃</w:t>
            </w:r>
            <w:r>
              <w:rPr>
                <w:rFonts w:hint="eastAsia" w:ascii="方正仿宋_GBK" w:hAnsi="宋体" w:cs="宋体"/>
                <w:sz w:val="21"/>
                <w:szCs w:val="21"/>
              </w:rPr>
              <w:t>)，爆炸极限5.0%～16%（体积比），自燃温度537</w:t>
            </w:r>
            <w:r>
              <w:rPr>
                <w:rFonts w:hint="eastAsia" w:ascii="方正仿宋_GBK" w:hAnsi="宋体"/>
                <w:sz w:val="21"/>
                <w:szCs w:val="21"/>
              </w:rPr>
              <w:t>℃</w:t>
            </w:r>
            <w:r>
              <w:rPr>
                <w:rFonts w:hint="eastAsia" w:ascii="方正仿宋_GBK" w:hAnsi="宋体" w:cs="宋体"/>
                <w:sz w:val="21"/>
                <w:szCs w:val="21"/>
              </w:rPr>
              <w:t>，最小点火能0.28mJ，最大爆炸压力0.717MPa。</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主要用途：主要用作燃料和用于炭黑、氢、乙炔、甲醛等的制造。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危害信息</w:t>
            </w:r>
          </w:p>
        </w:tc>
        <w:tc>
          <w:tcPr>
            <w:tcW w:w="8165" w:type="dxa"/>
            <w:vAlign w:val="center"/>
          </w:tcPr>
          <w:p>
            <w:pPr>
              <w:adjustRightInd w:val="0"/>
              <w:snapToGrid w:val="0"/>
              <w:rPr>
                <w:rFonts w:ascii="方正仿宋_GBK" w:hAnsi="宋体" w:cs="宋体"/>
                <w:sz w:val="21"/>
                <w:szCs w:val="21"/>
              </w:rPr>
            </w:pPr>
            <w:r>
              <w:rPr>
                <w:rFonts w:hint="eastAsia" w:ascii="方正仿宋_GBK" w:hAnsi="宋体" w:cs="宋体"/>
                <w:sz w:val="21"/>
                <w:szCs w:val="21"/>
              </w:rPr>
              <w:t>【燃烧和爆炸危险性】</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极易燃，与空气混合能形成爆炸性混合物，遇热源和明火有燃烧爆炸危险。</w:t>
            </w:r>
          </w:p>
          <w:p>
            <w:pPr>
              <w:adjustRightInd w:val="0"/>
              <w:snapToGrid w:val="0"/>
              <w:rPr>
                <w:rFonts w:ascii="方正仿宋_GBK" w:hAnsi="宋体" w:cs="宋体"/>
                <w:sz w:val="21"/>
                <w:szCs w:val="21"/>
              </w:rPr>
            </w:pPr>
            <w:r>
              <w:rPr>
                <w:rFonts w:hint="eastAsia" w:ascii="方正仿宋_GBK" w:hAnsi="宋体" w:cs="宋体"/>
                <w:sz w:val="21"/>
                <w:szCs w:val="21"/>
              </w:rPr>
              <w:t>【活性反应】</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与五氧化溴、氯气、次氯酸、三氟化氮、液氧、二氟化氧及其他强氧化剂剧烈反应。</w:t>
            </w:r>
          </w:p>
          <w:p>
            <w:pPr>
              <w:adjustRightInd w:val="0"/>
              <w:snapToGrid w:val="0"/>
              <w:rPr>
                <w:rFonts w:ascii="方正仿宋_GBK" w:hAnsi="宋体" w:cs="宋体"/>
                <w:sz w:val="21"/>
                <w:szCs w:val="21"/>
              </w:rPr>
            </w:pPr>
            <w:r>
              <w:rPr>
                <w:rFonts w:hint="eastAsia" w:ascii="方正仿宋_GBK" w:hAnsi="宋体" w:cs="宋体"/>
                <w:sz w:val="21"/>
                <w:szCs w:val="21"/>
              </w:rPr>
              <w:t>【健康危害】</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纯甲烷对人基本无毒，只有在极高浓度时成为单纯性窒息剂。皮肤接触液化气体可致冻伤。天然气主要组分为甲烷，其毒性因其他化学组成的不同而异。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安全措施</w:t>
            </w:r>
          </w:p>
        </w:tc>
        <w:tc>
          <w:tcPr>
            <w:tcW w:w="8165" w:type="dxa"/>
            <w:vAlign w:val="center"/>
          </w:tcPr>
          <w:p>
            <w:pPr>
              <w:adjustRightInd w:val="0"/>
              <w:snapToGrid w:val="0"/>
              <w:rPr>
                <w:rFonts w:ascii="方正仿宋_GBK" w:hAnsi="宋体" w:cs="宋体"/>
                <w:sz w:val="21"/>
                <w:szCs w:val="21"/>
              </w:rPr>
            </w:pPr>
            <w:bookmarkStart w:id="4" w:name="OLE_LINK4"/>
            <w:bookmarkStart w:id="5" w:name="OLE_LINK5"/>
            <w:r>
              <w:rPr>
                <w:rFonts w:hint="eastAsia" w:ascii="方正仿宋_GBK" w:hAnsi="宋体" w:cs="宋体"/>
                <w:sz w:val="21"/>
                <w:szCs w:val="21"/>
              </w:rPr>
              <w:t>【一般要求】</w:t>
            </w:r>
          </w:p>
          <w:bookmarkEnd w:id="4"/>
          <w:bookmarkEnd w:id="5"/>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操作人员必须经过专门培训，严格遵守操作规程，熟练掌握操作技能，具备应急处置知识。</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密闭操作，严防泄漏，工作场所全面通风，远离火种、热源，工作场所严禁吸烟。</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在生产、使用、贮存场所设置可燃气体监测报警仪，使用防爆型的通风系统和设备，配备两套以上重型防护服。穿防静电工作服，必要时戴防护手套，接触高浓度时应戴化学安全防护眼镜，</w:t>
            </w:r>
            <w:r>
              <w:rPr>
                <w:rFonts w:hint="eastAsia" w:ascii="方正仿宋_GBK" w:hAnsi="宋体" w:cs="宋体"/>
                <w:sz w:val="21"/>
                <w:szCs w:val="21"/>
                <w:lang w:eastAsia="zh-CN"/>
              </w:rPr>
              <w:t>佩戴</w:t>
            </w:r>
            <w:r>
              <w:rPr>
                <w:rFonts w:hint="eastAsia" w:ascii="方正仿宋_GBK" w:hAnsi="宋体" w:cs="宋体"/>
                <w:sz w:val="21"/>
                <w:szCs w:val="21"/>
              </w:rPr>
              <w:t>供气式呼吸器。进入罐或其它高浓度区作业，须有人监护。储罐等压力容器和设备应设置安全阀、压力表、液位计、温度计，并应装有带压力、液位、温度远传记录和报警功能的安全装置，重点储罐需设置紧急切断装置。</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避免与氧化剂接触。</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生产、储存区域应设置安全警示标志。在传送过程中，钢瓶和容器必须接地和跨接，防止产生静电。搬运时轻装轻卸，防止钢瓶及附件破损。禁止使用电磁起重机和用链绳捆扎或将瓶阀作为吊运着力点。配备相应品种和数量的消防器材及泄漏应急处理设备。</w:t>
            </w:r>
          </w:p>
          <w:p>
            <w:pPr>
              <w:adjustRightInd w:val="0"/>
              <w:snapToGrid w:val="0"/>
              <w:rPr>
                <w:rFonts w:ascii="方正仿宋_GBK" w:hAnsi="宋体" w:cs="宋体"/>
                <w:sz w:val="21"/>
                <w:szCs w:val="21"/>
              </w:rPr>
            </w:pPr>
            <w:r>
              <w:rPr>
                <w:rFonts w:hint="eastAsia" w:ascii="方正仿宋_GBK" w:hAnsi="宋体" w:cs="宋体"/>
                <w:sz w:val="21"/>
                <w:szCs w:val="21"/>
              </w:rPr>
              <w:t>【特殊要求】</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【操作安全】</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（1）天然气系统运行时，不准敲击，不准带压修理和紧固，不得超压，严禁负压。</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2）生产区域内，严禁明火和可能产生明火、火花的作业（固定动火区必须距离生产区30m以上）。生产需要或检修期间需动火时，必须办理动火审批手续。配气站严禁烟火，严禁堆放易燃物，站内应有良好的自然通风并应有事故排风装置。</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（3）天然气配气站中，不准独立进行操作。非操作人员未经许可，不准进入配气站。</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（4）含硫化氢的天然气生产作业现场应安装硫化氢监测系统。进行硫化氢监测，应符合以下要求：</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——含硫化氢作业环境应配备固定式和携带式硫化氢监测仪；</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——重点监测区应设置醒目的标志；</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——硫化氢监测仪报警值设定：阈限值为1级报警值；安全临界浓度为2级报警值；危险临界浓度为3级报警值；</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——硫化氢监测仪应定期校验，并进行检定。</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（5）充装时，使用万向节管道充装系统，严防超装。</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【储存安全】</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（1）储存于阴凉、通风的易燃气体专用库房。远离火种、热源。库房温度不宜超过30</w:t>
            </w:r>
            <w:r>
              <w:rPr>
                <w:rFonts w:hint="eastAsia" w:ascii="方正仿宋_GBK" w:hAnsi="宋体"/>
                <w:sz w:val="21"/>
                <w:szCs w:val="21"/>
              </w:rPr>
              <w:t>℃</w:t>
            </w:r>
            <w:r>
              <w:rPr>
                <w:rFonts w:hint="eastAsia" w:ascii="方正仿宋_GBK" w:hAnsi="宋体" w:cs="宋体"/>
                <w:sz w:val="21"/>
                <w:szCs w:val="21"/>
              </w:rPr>
              <w:t>。</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（2）应与氧化剂等分开存放，切忌混储。采用防爆型照明、通风设施。禁止使用易产生火花的机械设备和工具。储存区应备有泄漏应急处理设备。</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（3）天然气储气站中：</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——与相邻居民点、工矿企业和其他公用设施安全距离及站场内的平面布置，应符合国家现行标准；</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——天然气储气站内建(构)筑物应配置灭火器，其配置类型和数量应符合建筑灭火器配置的相关规定；</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——注意防雷、防静电，应按《建筑物防雷设计规范》（GB 50057）的规定设置防雷设施，工艺管网、设备、自动控制仪表系统应按标准安装防雷、防静电接地设施，并定期进行检查和检测。</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【运输安全】</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（1）运输车辆应有危险货物运输标志、安装具有行驶记录功能的卫星定位装置。未经公安机关批准，运输车辆不得进入危险化学品运输车辆限制通行的区域。</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（2）槽车和运输卡车要有导静电拖线；槽车上要备有2只以上干粉或二氧化碳灭火器和防爆工具。</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3）车辆运输钢瓶时,瓶口一律朝向车辆行驶方向的右方，堆放高度不得超过车辆的防护栏板，并用三角木垫卡牢，防止滚动。不准同车混装有抵触性质的物品和让无关人员搭车。运输途中远离火种，不准在有明火地点或人多地段停车，停车时要有人看管。发生泄漏或火灾时要把车开到安全地方进行灭火或堵漏。</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（4）采用管道输送时：</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——输气管道不应通过城市水源地、飞机场、军事设施、车站、码头。因条件限制无法避开时，应采取保护措施并经国家有关部门批准；</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——输气管道沿线应设置里程桩、转角桩、标志桩和测试桩；</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——输气管道采用地上敷设时，应在人员活动较多和易遭车辆、外来物撞击的地段，采取保护措施并设置明显的警示标志；</w:t>
            </w:r>
          </w:p>
          <w:p>
            <w:pPr>
              <w:adjustRightInd w:val="0"/>
              <w:snapToGrid w:val="0"/>
              <w:ind w:firstLine="412" w:firstLineChars="200"/>
              <w:rPr>
                <w:rFonts w:ascii="方正仿宋_GBK" w:hAnsi="宋体" w:cs="宋体"/>
                <w:sz w:val="21"/>
                <w:szCs w:val="21"/>
              </w:rPr>
            </w:pPr>
            <w:r>
              <w:rPr>
                <w:rFonts w:hint="eastAsia" w:ascii="方正仿宋_GBK" w:hAnsi="宋体" w:cs="宋体"/>
                <w:sz w:val="21"/>
                <w:szCs w:val="21"/>
              </w:rPr>
              <w:t>——输气管道管理单位应设专人定期对管道进行巡线检查，及时处理输气管道沿线的异常情况，并依据天然气管道保护的有关法律法规保护管道。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应急处置原则</w:t>
            </w:r>
          </w:p>
        </w:tc>
        <w:tc>
          <w:tcPr>
            <w:tcW w:w="8165" w:type="dxa"/>
            <w:vAlign w:val="center"/>
          </w:tcPr>
          <w:p>
            <w:pPr>
              <w:adjustRightInd w:val="0"/>
              <w:snapToGrid w:val="0"/>
              <w:rPr>
                <w:rFonts w:ascii="方正仿宋_GBK" w:hAnsi="宋体" w:cs="宋体"/>
                <w:sz w:val="21"/>
                <w:szCs w:val="21"/>
              </w:rPr>
            </w:pPr>
            <w:r>
              <w:rPr>
                <w:rFonts w:hint="eastAsia" w:ascii="方正仿宋_GBK" w:hAnsi="宋体" w:cs="宋体"/>
                <w:sz w:val="21"/>
                <w:szCs w:val="21"/>
              </w:rPr>
              <w:t>【急救措施】</w:t>
            </w:r>
          </w:p>
          <w:p>
            <w:pPr>
              <w:pStyle w:val="46"/>
              <w:adjustRightInd w:val="0"/>
              <w:snapToGrid w:val="0"/>
              <w:ind w:firstLine="412" w:firstLineChars="200"/>
              <w:rPr>
                <w:rFonts w:ascii="方正仿宋_GBK" w:hAnsi="宋体" w:cs="宋体"/>
                <w:kern w:val="2"/>
                <w:sz w:val="21"/>
                <w:szCs w:val="21"/>
              </w:rPr>
            </w:pPr>
            <w:r>
              <w:rPr>
                <w:rFonts w:hint="eastAsia" w:ascii="方正仿宋_GBK" w:hAnsi="宋体" w:cs="宋体"/>
                <w:kern w:val="2"/>
                <w:sz w:val="21"/>
                <w:szCs w:val="21"/>
              </w:rPr>
              <w:t>吸入：迅速脱离现场至空气新鲜处。保持呼吸道通畅。如呼吸困难，给氧。如呼吸停止，立即进行人工呼吸。就医。</w:t>
            </w:r>
          </w:p>
          <w:p>
            <w:pPr>
              <w:pStyle w:val="46"/>
              <w:adjustRightInd w:val="0"/>
              <w:snapToGrid w:val="0"/>
              <w:ind w:firstLine="412" w:firstLineChars="200"/>
              <w:rPr>
                <w:rFonts w:ascii="方正仿宋_GBK" w:hAnsi="宋体" w:cs="宋体"/>
                <w:kern w:val="2"/>
                <w:sz w:val="21"/>
                <w:szCs w:val="21"/>
              </w:rPr>
            </w:pPr>
            <w:r>
              <w:rPr>
                <w:rFonts w:hint="eastAsia" w:ascii="方正仿宋_GBK" w:hAnsi="宋体" w:cs="宋体"/>
                <w:kern w:val="2"/>
                <w:sz w:val="21"/>
                <w:szCs w:val="21"/>
              </w:rPr>
              <w:t>皮肤接触：如果发生冻伤：将患部浸泡于保持在38～42</w:t>
            </w:r>
            <w:r>
              <w:rPr>
                <w:rFonts w:hint="eastAsia" w:ascii="方正仿宋_GBK" w:hAnsi="宋体"/>
                <w:kern w:val="2"/>
                <w:sz w:val="21"/>
                <w:szCs w:val="21"/>
              </w:rPr>
              <w:t>℃</w:t>
            </w:r>
            <w:r>
              <w:rPr>
                <w:rFonts w:hint="eastAsia" w:ascii="方正仿宋_GBK" w:hAnsi="宋体" w:cs="宋体"/>
                <w:kern w:val="2"/>
                <w:sz w:val="21"/>
                <w:szCs w:val="21"/>
              </w:rPr>
              <w:t>的温水中复温。不要涂擦。不要使用热水或辐射热。使用清洁、干燥的敷料包扎。如有不适感，就医。</w:t>
            </w:r>
          </w:p>
          <w:p>
            <w:pPr>
              <w:adjustRightInd w:val="0"/>
              <w:snapToGrid w:val="0"/>
              <w:rPr>
                <w:rFonts w:ascii="方正仿宋_GBK" w:hAnsi="宋体" w:cs="宋体"/>
                <w:sz w:val="21"/>
                <w:szCs w:val="21"/>
              </w:rPr>
            </w:pPr>
            <w:r>
              <w:rPr>
                <w:rFonts w:hint="eastAsia" w:ascii="方正仿宋_GBK" w:hAnsi="宋体" w:cs="宋体"/>
                <w:sz w:val="21"/>
                <w:szCs w:val="21"/>
              </w:rPr>
              <w:t>【灭火方法】</w:t>
            </w:r>
          </w:p>
          <w:p>
            <w:pPr>
              <w:pStyle w:val="46"/>
              <w:adjustRightInd w:val="0"/>
              <w:snapToGrid w:val="0"/>
              <w:ind w:firstLine="412" w:firstLineChars="200"/>
              <w:rPr>
                <w:rFonts w:ascii="方正仿宋_GBK" w:hAnsi="宋体" w:cs="宋体"/>
                <w:kern w:val="2"/>
                <w:sz w:val="21"/>
                <w:szCs w:val="21"/>
              </w:rPr>
            </w:pPr>
            <w:r>
              <w:rPr>
                <w:rFonts w:hint="eastAsia" w:ascii="方正仿宋_GBK" w:hAnsi="宋体" w:cs="宋体"/>
                <w:kern w:val="2"/>
                <w:sz w:val="21"/>
                <w:szCs w:val="21"/>
              </w:rPr>
              <w:t>切断气源。若不能切断气源，则不允许熄灭泄漏处的火焰。喷水冷却容器，尽可能将容器从火场移至空旷处。</w:t>
            </w:r>
          </w:p>
          <w:p>
            <w:pPr>
              <w:pStyle w:val="46"/>
              <w:adjustRightInd w:val="0"/>
              <w:snapToGrid w:val="0"/>
              <w:ind w:firstLine="412" w:firstLineChars="200"/>
              <w:rPr>
                <w:rFonts w:ascii="方正仿宋_GBK" w:hAnsi="宋体" w:cs="宋体"/>
                <w:kern w:val="2"/>
                <w:sz w:val="21"/>
                <w:szCs w:val="21"/>
              </w:rPr>
            </w:pPr>
            <w:r>
              <w:rPr>
                <w:rFonts w:hint="eastAsia" w:ascii="方正仿宋_GBK" w:hAnsi="宋体" w:cs="宋体"/>
                <w:kern w:val="2"/>
                <w:sz w:val="21"/>
                <w:szCs w:val="21"/>
              </w:rPr>
              <w:t>灭火剂：雾状水、泡沫、二氧化碳、干粉。</w:t>
            </w:r>
          </w:p>
          <w:p>
            <w:pPr>
              <w:adjustRightInd w:val="0"/>
              <w:snapToGrid w:val="0"/>
              <w:rPr>
                <w:rFonts w:ascii="方正仿宋_GBK" w:hAnsi="宋体" w:cs="宋体"/>
                <w:sz w:val="21"/>
                <w:szCs w:val="21"/>
              </w:rPr>
            </w:pPr>
            <w:r>
              <w:rPr>
                <w:rFonts w:hint="eastAsia" w:ascii="方正仿宋_GBK" w:hAnsi="宋体" w:cs="宋体"/>
                <w:sz w:val="21"/>
                <w:szCs w:val="21"/>
              </w:rPr>
              <w:t>【泄漏应急处置】</w:t>
            </w:r>
          </w:p>
          <w:p>
            <w:pPr>
              <w:pStyle w:val="46"/>
              <w:adjustRightInd w:val="0"/>
              <w:snapToGrid w:val="0"/>
              <w:ind w:firstLine="412" w:firstLineChars="200"/>
              <w:rPr>
                <w:rFonts w:ascii="方正仿宋_GBK" w:hAnsi="宋体" w:cs="宋体"/>
                <w:kern w:val="2"/>
                <w:sz w:val="21"/>
                <w:szCs w:val="21"/>
              </w:rPr>
            </w:pPr>
            <w:r>
              <w:rPr>
                <w:rFonts w:hint="eastAsia" w:ascii="方正仿宋_GBK" w:hAnsi="宋体" w:cs="宋体"/>
                <w:kern w:val="2"/>
                <w:sz w:val="21"/>
                <w:szCs w:val="21"/>
              </w:rPr>
              <w:t>消除所有点火源。根据气体的影响区域划定警戒区，无关人员从侧风、上风向撤离至安全区。应急处理人员戴正压自给式空气呼吸器，穿防静电服。作业时使用的所有设备应接地。禁止接触或跨越泄漏物。尽可能切断泄漏源。若可能翻转容器，使之逸出气体而非液体。喷雾状水抑制蒸气或改变蒸气云流向，避免水流接触泄漏物。禁止用水直接冲击泄漏物或泄漏源。防止气体通过下水道、通风系统和密闭性空间扩散。隔离泄漏区直至气体散尽。</w:t>
            </w:r>
          </w:p>
          <w:p>
            <w:pPr>
              <w:pStyle w:val="46"/>
              <w:adjustRightInd w:val="0"/>
              <w:snapToGrid w:val="0"/>
              <w:ind w:firstLine="412" w:firstLineChars="200"/>
              <w:rPr>
                <w:rFonts w:ascii="方正仿宋_GBK" w:hAnsi="宋体" w:cs="宋体"/>
                <w:kern w:val="2"/>
                <w:sz w:val="21"/>
                <w:szCs w:val="21"/>
              </w:rPr>
            </w:pPr>
            <w:r>
              <w:rPr>
                <w:rFonts w:hint="eastAsia" w:ascii="方正仿宋_GBK" w:hAnsi="宋体" w:cs="宋体"/>
                <w:kern w:val="2"/>
                <w:sz w:val="21"/>
                <w:szCs w:val="21"/>
              </w:rPr>
              <w:t>作为一项紧急预防措施，泄漏隔离距离至少为100m。如果为大量泄漏，下风向的初始疏散距离应至少为800m。</w:t>
            </w:r>
          </w:p>
        </w:tc>
      </w:tr>
    </w:tbl>
    <w:p>
      <w:pPr>
        <w:pStyle w:val="46"/>
        <w:ind w:firstLine="632" w:firstLineChars="200"/>
        <w:jc w:val="both"/>
        <w:rPr>
          <w:rFonts w:ascii="方正仿宋_GBK"/>
          <w:sz w:val="32"/>
          <w:szCs w:val="32"/>
        </w:rPr>
      </w:pPr>
    </w:p>
    <w:p>
      <w:pPr>
        <w:keepNext/>
        <w:keepLines/>
        <w:ind w:firstLine="632" w:firstLineChars="200"/>
        <w:outlineLvl w:val="2"/>
        <w:rPr>
          <w:rFonts w:ascii="仿宋_GB2312" w:eastAsia="仿宋_GB2312"/>
          <w:b/>
          <w:bCs/>
        </w:rPr>
      </w:pPr>
      <w:r>
        <w:rPr>
          <w:rFonts w:hint="eastAsia" w:ascii="仿宋_GB2312" w:eastAsia="仿宋_GB2312"/>
          <w:b/>
          <w:bCs/>
        </w:rPr>
        <w:t>1.2.2 危险、有害因素分析</w:t>
      </w:r>
    </w:p>
    <w:p>
      <w:pPr>
        <w:pStyle w:val="46"/>
        <w:keepNext/>
        <w:widowControl/>
        <w:ind w:firstLine="632" w:firstLineChars="200"/>
        <w:jc w:val="both"/>
        <w:outlineLvl w:val="3"/>
        <w:rPr>
          <w:rFonts w:ascii="方正仿宋_GBK"/>
          <w:sz w:val="32"/>
          <w:szCs w:val="32"/>
        </w:rPr>
      </w:pPr>
      <w:r>
        <w:rPr>
          <w:rFonts w:hint="eastAsia" w:ascii="方正仿宋_GBK"/>
          <w:sz w:val="32"/>
          <w:szCs w:val="32"/>
        </w:rPr>
        <w:t>1.2.2.1 航空煤油长输管道运行期间危险、有害因素分析</w:t>
      </w:r>
    </w:p>
    <w:p>
      <w:pPr>
        <w:pStyle w:val="46"/>
        <w:ind w:firstLine="632" w:firstLineChars="200"/>
        <w:jc w:val="both"/>
        <w:rPr>
          <w:rFonts w:ascii="方正仿宋_GBK"/>
          <w:sz w:val="32"/>
          <w:szCs w:val="32"/>
        </w:rPr>
      </w:pPr>
      <w:r>
        <w:rPr>
          <w:rFonts w:hint="eastAsia" w:ascii="方正仿宋_GBK"/>
          <w:sz w:val="32"/>
          <w:szCs w:val="32"/>
        </w:rPr>
        <w:t>（1）管道腐蚀因素分析</w:t>
      </w:r>
    </w:p>
    <w:p>
      <w:pPr>
        <w:pStyle w:val="46"/>
        <w:ind w:firstLine="632" w:firstLineChars="200"/>
        <w:jc w:val="both"/>
        <w:rPr>
          <w:rFonts w:ascii="方正仿宋_GBK"/>
          <w:sz w:val="32"/>
          <w:szCs w:val="32"/>
        </w:rPr>
      </w:pPr>
      <w:r>
        <w:rPr>
          <w:rFonts w:hint="eastAsia" w:ascii="方正仿宋_GBK"/>
          <w:sz w:val="32"/>
          <w:szCs w:val="32"/>
        </w:rPr>
        <w:t>管道由于自身质量问题或受所处环境的土壤、杂散电流等因素的影响，造成管道电化学腐蚀、应力腐蚀和杂散电流腐蚀等，或管道施工时造成防腐层机械损伤以及地质灾害因素造成防腐层破坏，均可能造成管道腐蚀，腐蚀严重可发生破损或断裂，致使油品泄露引发火灾、爆炸事故。</w:t>
      </w:r>
    </w:p>
    <w:p>
      <w:pPr>
        <w:pStyle w:val="46"/>
        <w:ind w:firstLine="632" w:firstLineChars="200"/>
        <w:jc w:val="both"/>
        <w:rPr>
          <w:rFonts w:ascii="方正仿宋_GBK"/>
          <w:sz w:val="32"/>
          <w:szCs w:val="32"/>
        </w:rPr>
      </w:pPr>
      <w:r>
        <w:rPr>
          <w:rFonts w:hint="eastAsia" w:ascii="方正仿宋_GBK"/>
          <w:sz w:val="32"/>
          <w:szCs w:val="32"/>
        </w:rPr>
        <w:t>（2）设计不合理的危害分析</w:t>
      </w:r>
    </w:p>
    <w:p>
      <w:pPr>
        <w:pStyle w:val="46"/>
        <w:ind w:firstLine="632" w:firstLineChars="200"/>
        <w:jc w:val="both"/>
        <w:rPr>
          <w:rFonts w:ascii="方正仿宋_GBK"/>
          <w:sz w:val="32"/>
          <w:szCs w:val="32"/>
        </w:rPr>
      </w:pPr>
      <w:r>
        <w:rPr>
          <w:rFonts w:hint="eastAsia" w:ascii="方正仿宋_GBK"/>
          <w:sz w:val="32"/>
          <w:szCs w:val="32"/>
        </w:rPr>
        <w:t>设计质量的好坏对工程质量有直接的影响，管道强度设计计算时，对管道的受力载荷分析不当，管材、壁厚的选用不恰当，根据管道所经地区的分级或管道穿跨越公路等级、河流大小等情况，确定强度设计系数。如果管道沿线勘查不清楚，有可能出现地区分级不准确，造成强度设计系数选取不恰当，若这种失误导致管道壁厚计算值偏低，将不能满足实际工况的安全。若管道应力分析，强度、刚度及稳定性校核失误，会造成管道变形、弯曲甚至断裂。</w:t>
      </w:r>
    </w:p>
    <w:p>
      <w:pPr>
        <w:pStyle w:val="46"/>
        <w:ind w:firstLine="632" w:firstLineChars="200"/>
        <w:jc w:val="both"/>
        <w:rPr>
          <w:rFonts w:ascii="方正仿宋_GBK"/>
          <w:sz w:val="32"/>
          <w:szCs w:val="32"/>
        </w:rPr>
      </w:pPr>
      <w:r>
        <w:rPr>
          <w:rFonts w:hint="eastAsia" w:ascii="方正仿宋_GBK"/>
          <w:sz w:val="32"/>
          <w:szCs w:val="32"/>
        </w:rPr>
        <w:t>（3）施工缺陷的危害分析</w:t>
      </w:r>
    </w:p>
    <w:p>
      <w:pPr>
        <w:pStyle w:val="46"/>
        <w:ind w:firstLine="632" w:firstLineChars="200"/>
        <w:jc w:val="both"/>
        <w:rPr>
          <w:rFonts w:ascii="方正仿宋_GBK"/>
          <w:sz w:val="32"/>
          <w:szCs w:val="32"/>
        </w:rPr>
      </w:pPr>
      <w:r>
        <w:rPr>
          <w:rFonts w:hint="eastAsia" w:ascii="方正仿宋_GBK"/>
          <w:sz w:val="32"/>
          <w:szCs w:val="32"/>
        </w:rPr>
        <w:t>1）焊接是管道施工中最重要的一道工序，管道的焊缝处会产生各种缺陷，较为常见的有裂纹、夹渣、未熔透、未熔合、焊瘤、气孔和咬边等，埋地管道一旦建成，投产，一般情况下都是连续运行。因此管道中若存在焊接缺陷，不但难以发现，而且难以修复，会给管道的安全运行构成威胁。</w:t>
      </w:r>
    </w:p>
    <w:p>
      <w:pPr>
        <w:pStyle w:val="46"/>
        <w:ind w:firstLine="632" w:firstLineChars="200"/>
        <w:jc w:val="both"/>
        <w:rPr>
          <w:rFonts w:ascii="方正仿宋_GBK"/>
          <w:sz w:val="32"/>
          <w:szCs w:val="32"/>
        </w:rPr>
      </w:pPr>
      <w:r>
        <w:rPr>
          <w:rFonts w:hint="eastAsia" w:ascii="方正仿宋_GBK"/>
          <w:sz w:val="32"/>
          <w:szCs w:val="32"/>
        </w:rPr>
        <w:t>2）防腐层补口，补伤的质量问题，是一个较难控制的问题，因为用于施工的钢管，除两端留有一定的长度外，其余部分在防腐厂都已经涂敷了防腐层，钢管在现场焊接连接以后，未防腐焊接部位需要补口。在施工过程中，由于各种原因造成钢管内、外表面的防腐层损坏，特别是外表面涂层的损坏，在损坏处要进行补伤。补口、补伤质量不良会影响管道的抗腐蚀性，从而引起管道的腐蚀。</w:t>
      </w:r>
    </w:p>
    <w:p>
      <w:pPr>
        <w:pStyle w:val="46"/>
        <w:ind w:firstLine="632" w:firstLineChars="200"/>
        <w:jc w:val="both"/>
        <w:rPr>
          <w:rFonts w:ascii="方正仿宋_GBK"/>
          <w:sz w:val="32"/>
          <w:szCs w:val="32"/>
        </w:rPr>
      </w:pPr>
      <w:r>
        <w:rPr>
          <w:rFonts w:hint="eastAsia" w:ascii="方正仿宋_GBK"/>
          <w:sz w:val="32"/>
          <w:szCs w:val="32"/>
        </w:rPr>
        <w:t>3）若管沟开挖深度或穿越深度不够，或管沟基础不实，当回填压实，特别是采用机械压实时，将造成管道向下弯曲变形：地下水位较高而管沟内未及时排水就敷设管道，会使管道悬空，如果夯实不严，极易造成管道拱起变形。</w:t>
      </w:r>
    </w:p>
    <w:p>
      <w:pPr>
        <w:pStyle w:val="46"/>
        <w:ind w:firstLine="632" w:firstLineChars="200"/>
        <w:jc w:val="both"/>
        <w:rPr>
          <w:rFonts w:ascii="方正仿宋_GBK"/>
          <w:sz w:val="32"/>
          <w:szCs w:val="32"/>
        </w:rPr>
      </w:pPr>
      <w:r>
        <w:rPr>
          <w:rFonts w:hint="eastAsia" w:ascii="方正仿宋_GBK"/>
          <w:sz w:val="32"/>
          <w:szCs w:val="32"/>
        </w:rPr>
        <w:t>4）管道在敷设过程中，需要穿越公路、河沟等其他设施，对于穿越段管道，由于敷设完以后难以检修，因此施工质量的优劣对充分保证穿越管道的质量显得尤为重要。</w:t>
      </w:r>
    </w:p>
    <w:p>
      <w:pPr>
        <w:pStyle w:val="46"/>
        <w:ind w:firstLine="632" w:firstLineChars="200"/>
        <w:jc w:val="both"/>
        <w:rPr>
          <w:rFonts w:ascii="方正仿宋_GBK"/>
          <w:sz w:val="32"/>
          <w:szCs w:val="32"/>
        </w:rPr>
      </w:pPr>
      <w:r>
        <w:rPr>
          <w:rFonts w:hint="eastAsia" w:ascii="方正仿宋_GBK"/>
          <w:sz w:val="32"/>
          <w:szCs w:val="32"/>
        </w:rPr>
        <w:t>5）由于施工人员的资质、能力缺陷，造成工程质量没有达到设计要求，导致工程存在事故隐患；</w:t>
      </w:r>
    </w:p>
    <w:p>
      <w:pPr>
        <w:pStyle w:val="46"/>
        <w:ind w:firstLine="632" w:firstLineChars="200"/>
        <w:jc w:val="both"/>
        <w:rPr>
          <w:rFonts w:ascii="方正仿宋_GBK"/>
          <w:sz w:val="32"/>
          <w:szCs w:val="32"/>
        </w:rPr>
      </w:pPr>
      <w:r>
        <w:rPr>
          <w:rFonts w:hint="eastAsia" w:ascii="方正仿宋_GBK"/>
          <w:sz w:val="32"/>
          <w:szCs w:val="32"/>
        </w:rPr>
        <w:t>6）不熟悉地质条件。可能造成管线下沉断裂。施工过程中不熟悉交叉穿越管线电缆情况可能损坏第三方管线设施。</w:t>
      </w:r>
    </w:p>
    <w:p>
      <w:pPr>
        <w:pStyle w:val="46"/>
        <w:ind w:firstLine="632" w:firstLineChars="200"/>
        <w:jc w:val="both"/>
        <w:rPr>
          <w:rFonts w:ascii="方正仿宋_GBK"/>
          <w:sz w:val="32"/>
          <w:szCs w:val="32"/>
        </w:rPr>
      </w:pPr>
      <w:r>
        <w:rPr>
          <w:rFonts w:hint="eastAsia" w:ascii="方正仿宋_GBK"/>
          <w:sz w:val="32"/>
          <w:szCs w:val="32"/>
        </w:rPr>
        <w:t>7）施工过程中无监护，操作人员违章，有可能被过往车辆撞伤，发生交通事故。</w:t>
      </w:r>
    </w:p>
    <w:p>
      <w:pPr>
        <w:pStyle w:val="46"/>
        <w:ind w:firstLine="632" w:firstLineChars="200"/>
        <w:jc w:val="both"/>
        <w:rPr>
          <w:rFonts w:ascii="方正仿宋_GBK"/>
          <w:sz w:val="32"/>
          <w:szCs w:val="32"/>
        </w:rPr>
      </w:pPr>
      <w:r>
        <w:rPr>
          <w:rFonts w:hint="eastAsia" w:ascii="方正仿宋_GBK"/>
          <w:sz w:val="32"/>
          <w:szCs w:val="32"/>
        </w:rPr>
        <w:t>8）管道承受外载过大，若埋入地下的管道距地表面太浅，承受来往车辆重载的压轧使管道受损，或回填压力过大，致使管道破裂。</w:t>
      </w:r>
    </w:p>
    <w:p>
      <w:pPr>
        <w:pStyle w:val="46"/>
        <w:ind w:firstLine="632" w:firstLineChars="200"/>
        <w:jc w:val="both"/>
        <w:rPr>
          <w:rFonts w:ascii="方正仿宋_GBK"/>
          <w:sz w:val="32"/>
          <w:szCs w:val="32"/>
        </w:rPr>
      </w:pPr>
      <w:r>
        <w:rPr>
          <w:rFonts w:hint="eastAsia" w:ascii="方正仿宋_GBK"/>
          <w:sz w:val="32"/>
          <w:szCs w:val="32"/>
        </w:rPr>
        <w:t>（4）材料及设备缺陷的危害分析</w:t>
      </w:r>
    </w:p>
    <w:p>
      <w:pPr>
        <w:pStyle w:val="46"/>
        <w:ind w:firstLine="632" w:firstLineChars="200"/>
        <w:jc w:val="both"/>
        <w:rPr>
          <w:rFonts w:ascii="方正仿宋_GBK"/>
          <w:sz w:val="32"/>
          <w:szCs w:val="32"/>
        </w:rPr>
      </w:pPr>
      <w:r>
        <w:rPr>
          <w:rFonts w:hint="eastAsia" w:ascii="方正仿宋_GBK"/>
          <w:sz w:val="32"/>
          <w:szCs w:val="32"/>
        </w:rPr>
        <w:t>对成品油管道管材的基本要求是：强度高、韧性好，可焊性好，专用的油气管道钢材可以满足这些条件，若管材的焊缝质量不合格，会留下安全隐患，特别是螺旋管的焊缝较长，且容易有应力集中现象，因而出现焊缝缺陷的几率较直缝管高。即使是直缝管，也需严格检查，才能保证管材的质量。</w:t>
      </w:r>
    </w:p>
    <w:p>
      <w:pPr>
        <w:pStyle w:val="46"/>
        <w:ind w:firstLine="632" w:firstLineChars="200"/>
        <w:jc w:val="both"/>
        <w:rPr>
          <w:rFonts w:ascii="方正仿宋_GBK"/>
          <w:sz w:val="32"/>
          <w:szCs w:val="32"/>
        </w:rPr>
      </w:pPr>
      <w:r>
        <w:rPr>
          <w:rFonts w:hint="eastAsia" w:ascii="方正仿宋_GBK"/>
          <w:sz w:val="32"/>
          <w:szCs w:val="32"/>
        </w:rPr>
        <w:t>（5）第三方破坏的危害分析</w:t>
      </w:r>
    </w:p>
    <w:p>
      <w:pPr>
        <w:pStyle w:val="46"/>
        <w:ind w:firstLine="632" w:firstLineChars="200"/>
        <w:jc w:val="both"/>
        <w:rPr>
          <w:rFonts w:ascii="方正仿宋_GBK"/>
          <w:sz w:val="32"/>
          <w:szCs w:val="32"/>
        </w:rPr>
      </w:pPr>
      <w:r>
        <w:rPr>
          <w:rFonts w:hint="eastAsia" w:ascii="方正仿宋_GBK"/>
          <w:sz w:val="32"/>
          <w:szCs w:val="32"/>
        </w:rPr>
        <w:t>根据管道事故不完全统计，社会危险有害因素（人为外力破坏）已成为管道泄漏、火灾、爆炸事故的主要原因之一。</w:t>
      </w:r>
    </w:p>
    <w:p>
      <w:pPr>
        <w:pStyle w:val="46"/>
        <w:ind w:firstLine="632" w:firstLineChars="200"/>
        <w:jc w:val="both"/>
        <w:rPr>
          <w:rFonts w:ascii="方正仿宋_GBK"/>
          <w:sz w:val="32"/>
          <w:szCs w:val="32"/>
        </w:rPr>
      </w:pPr>
      <w:r>
        <w:rPr>
          <w:rFonts w:hint="eastAsia" w:ascii="方正仿宋_GBK"/>
          <w:sz w:val="32"/>
          <w:szCs w:val="32"/>
        </w:rPr>
        <w:t>1）无意破坏</w:t>
      </w:r>
    </w:p>
    <w:p>
      <w:pPr>
        <w:pStyle w:val="46"/>
        <w:ind w:firstLine="632" w:firstLineChars="200"/>
        <w:jc w:val="both"/>
        <w:rPr>
          <w:rFonts w:ascii="方正仿宋_GBK"/>
          <w:sz w:val="32"/>
          <w:szCs w:val="32"/>
        </w:rPr>
      </w:pPr>
      <w:r>
        <w:rPr>
          <w:rFonts w:hint="eastAsia" w:ascii="方正仿宋_GBK"/>
          <w:sz w:val="32"/>
          <w:szCs w:val="32"/>
        </w:rPr>
        <w:t>管道在其经过经济发达地区或城镇范围内，建(构)筑物的施工、道路和桥梁等基础设施的建设、各种地下管线的敷设施工的同时，经常出现有损长输管道的现象。对于穿越河流、铁路、公路的管道，当航道、铁路、公路分别进行清淤、维护施工作业时，如果未充分考虑管线的安全，很有可能对其造成破坏。管道附近甚至管道上存在生产现象或取土情况，特别是管道附近大型建(构)筑物施工、爆破作业将带来管道地基沉降，引起管道悬空，既破坏管道埋深恒压状态，又引起管道弯曲、变形甚至断裂。</w:t>
      </w:r>
    </w:p>
    <w:p>
      <w:pPr>
        <w:pStyle w:val="46"/>
        <w:ind w:firstLine="632" w:firstLineChars="200"/>
        <w:jc w:val="both"/>
        <w:rPr>
          <w:rFonts w:ascii="方正仿宋_GBK"/>
          <w:sz w:val="32"/>
          <w:szCs w:val="32"/>
        </w:rPr>
      </w:pPr>
      <w:r>
        <w:rPr>
          <w:rFonts w:hint="eastAsia" w:ascii="方正仿宋_GBK"/>
          <w:sz w:val="32"/>
          <w:szCs w:val="32"/>
        </w:rPr>
        <w:t>管道附近空地甚至管道上修建公路、房屋、建 (构)筑物等设施</w:t>
      </w:r>
      <w:bookmarkStart w:id="20" w:name="_GoBack"/>
      <w:bookmarkEnd w:id="20"/>
      <w:r>
        <w:rPr>
          <w:rFonts w:hint="eastAsia" w:ascii="方正仿宋_GBK"/>
          <w:sz w:val="32"/>
          <w:szCs w:val="32"/>
        </w:rPr>
        <w:t>或进行开挖沟渠、挖砂、生产、打井等作业，造成严重占压埋地管道现象。这种占压现象，既构成了对管道基础的破坏，引起基础下沉，又增加了管道的负荷、破坏了管道的恒压状态，造成管道弯曲变形甚至损坏。</w:t>
      </w:r>
    </w:p>
    <w:p>
      <w:pPr>
        <w:pStyle w:val="46"/>
        <w:ind w:firstLine="632" w:firstLineChars="200"/>
        <w:jc w:val="both"/>
        <w:rPr>
          <w:rFonts w:ascii="方正仿宋_GBK"/>
          <w:sz w:val="32"/>
          <w:szCs w:val="32"/>
        </w:rPr>
      </w:pPr>
      <w:r>
        <w:rPr>
          <w:rFonts w:hint="eastAsia" w:ascii="方正仿宋_GBK"/>
          <w:sz w:val="32"/>
          <w:szCs w:val="32"/>
        </w:rPr>
        <w:t>根深植物在管道附近甚至管道上生长时，由于线路地点偏僻不便巡线，造成漏巡，并且管道一般敷设深度在1.2m左右，有时甚至更浅，树根很容易达到管道处。因此，深根植物的根系将缠绕、挤压、损坏管道的防腐覆盖层，造成管道防腐失效。</w:t>
      </w:r>
    </w:p>
    <w:p>
      <w:pPr>
        <w:pStyle w:val="46"/>
        <w:ind w:firstLine="632" w:firstLineChars="200"/>
        <w:jc w:val="both"/>
        <w:rPr>
          <w:rFonts w:ascii="方正仿宋_GBK"/>
          <w:sz w:val="32"/>
          <w:szCs w:val="32"/>
        </w:rPr>
      </w:pPr>
      <w:r>
        <w:rPr>
          <w:rFonts w:hint="eastAsia" w:ascii="方正仿宋_GBK"/>
          <w:sz w:val="32"/>
          <w:szCs w:val="32"/>
        </w:rPr>
        <w:t>2）有意破坏</w:t>
      </w:r>
    </w:p>
    <w:p>
      <w:pPr>
        <w:pStyle w:val="46"/>
        <w:ind w:firstLine="632" w:firstLineChars="200"/>
        <w:jc w:val="both"/>
        <w:rPr>
          <w:rFonts w:ascii="方正仿宋_GBK"/>
          <w:sz w:val="32"/>
          <w:szCs w:val="32"/>
        </w:rPr>
      </w:pPr>
      <w:r>
        <w:rPr>
          <w:rFonts w:hint="eastAsia" w:ascii="方正仿宋_GBK"/>
          <w:sz w:val="32"/>
          <w:szCs w:val="32"/>
        </w:rPr>
        <w:t>管道有意破坏表现为盗、扒管道防腐层、仪器仪表、阀门或附属设施，在管道上开孔偷油，或者人为蓄意破坏管线设施等。</w:t>
      </w:r>
    </w:p>
    <w:p>
      <w:pPr>
        <w:pStyle w:val="46"/>
        <w:ind w:firstLine="632" w:firstLineChars="200"/>
        <w:jc w:val="both"/>
        <w:rPr>
          <w:rFonts w:ascii="方正仿宋_GBK"/>
          <w:sz w:val="32"/>
          <w:szCs w:val="32"/>
        </w:rPr>
      </w:pPr>
      <w:r>
        <w:rPr>
          <w:rFonts w:hint="eastAsia" w:ascii="方正仿宋_GBK"/>
          <w:sz w:val="32"/>
          <w:szCs w:val="32"/>
        </w:rPr>
        <w:t>（6）应力开裂爆炸危险因素分析</w:t>
      </w:r>
    </w:p>
    <w:p>
      <w:pPr>
        <w:pStyle w:val="46"/>
        <w:ind w:firstLine="632" w:firstLineChars="200"/>
        <w:jc w:val="both"/>
        <w:rPr>
          <w:rFonts w:ascii="方正仿宋_GBK"/>
          <w:sz w:val="32"/>
          <w:szCs w:val="32"/>
        </w:rPr>
      </w:pPr>
      <w:r>
        <w:rPr>
          <w:rFonts w:hint="eastAsia" w:ascii="方正仿宋_GBK"/>
          <w:sz w:val="32"/>
          <w:szCs w:val="32"/>
        </w:rPr>
        <w:t>应力作用破裂是指金属管道在固定拉应力和特定介质的共同作用下引起的破裂。这种破坏形式往往是脆性断裂，而且往往没有预兆，对管道具有很大的危害性和破坏性。</w:t>
      </w:r>
    </w:p>
    <w:p>
      <w:pPr>
        <w:pStyle w:val="46"/>
        <w:ind w:firstLine="632" w:firstLineChars="200"/>
        <w:jc w:val="both"/>
        <w:rPr>
          <w:rFonts w:ascii="方正仿宋_GBK"/>
          <w:sz w:val="32"/>
          <w:szCs w:val="32"/>
        </w:rPr>
      </w:pPr>
      <w:r>
        <w:rPr>
          <w:rFonts w:hint="eastAsia" w:ascii="方正仿宋_GBK"/>
          <w:sz w:val="32"/>
          <w:szCs w:val="32"/>
        </w:rPr>
        <w:t>引发应力破裂的原因主要包括以下三个方面的原因：</w:t>
      </w:r>
    </w:p>
    <w:p>
      <w:pPr>
        <w:pStyle w:val="46"/>
        <w:ind w:firstLine="632" w:firstLineChars="200"/>
        <w:jc w:val="both"/>
        <w:rPr>
          <w:rFonts w:ascii="方正仿宋_GBK"/>
          <w:sz w:val="32"/>
          <w:szCs w:val="32"/>
        </w:rPr>
      </w:pPr>
      <w:r>
        <w:rPr>
          <w:rFonts w:hint="eastAsia" w:ascii="方正仿宋_GBK"/>
          <w:sz w:val="32"/>
          <w:szCs w:val="32"/>
        </w:rPr>
        <w:t>1）环境因素：土壤类型、地形、土壤电导率、CO</w:t>
      </w:r>
      <w:r>
        <w:rPr>
          <w:rFonts w:hint="eastAsia" w:ascii="方正仿宋_GBK"/>
          <w:sz w:val="32"/>
          <w:szCs w:val="32"/>
          <w:vertAlign w:val="subscript"/>
        </w:rPr>
        <w:t>2</w:t>
      </w:r>
      <w:r>
        <w:rPr>
          <w:rFonts w:hint="eastAsia" w:ascii="方正仿宋_GBK"/>
          <w:sz w:val="32"/>
          <w:szCs w:val="32"/>
        </w:rPr>
        <w:t>及水含量等；温度、湿度；管道防腐层粘结性，粘结性差的防腐层易产生中性pH值土壤应力腐蚀破裂；阴极保护程度，防腐层剥离区可产生阴极保护屏蔽区，易产生应力腐蚀破裂。</w:t>
      </w:r>
    </w:p>
    <w:p>
      <w:pPr>
        <w:pStyle w:val="46"/>
        <w:ind w:firstLine="632" w:firstLineChars="200"/>
        <w:jc w:val="both"/>
        <w:rPr>
          <w:rFonts w:ascii="方正仿宋_GBK"/>
          <w:sz w:val="32"/>
          <w:szCs w:val="32"/>
        </w:rPr>
      </w:pPr>
      <w:r>
        <w:rPr>
          <w:rFonts w:hint="eastAsia" w:ascii="方正仿宋_GBK"/>
          <w:sz w:val="32"/>
          <w:szCs w:val="32"/>
        </w:rPr>
        <w:t>2）材料因素</w:t>
      </w:r>
    </w:p>
    <w:p>
      <w:pPr>
        <w:pStyle w:val="46"/>
        <w:ind w:firstLine="632" w:firstLineChars="200"/>
        <w:jc w:val="both"/>
        <w:rPr>
          <w:rFonts w:ascii="方正仿宋_GBK"/>
          <w:sz w:val="32"/>
          <w:szCs w:val="32"/>
        </w:rPr>
      </w:pPr>
      <w:r>
        <w:rPr>
          <w:rFonts w:hint="eastAsia" w:ascii="方正仿宋_GBK"/>
          <w:sz w:val="32"/>
          <w:szCs w:val="32"/>
        </w:rPr>
        <w:t>①钢材微观结构的影响</w:t>
      </w:r>
    </w:p>
    <w:p>
      <w:pPr>
        <w:pStyle w:val="46"/>
        <w:ind w:firstLine="632" w:firstLineChars="200"/>
        <w:jc w:val="both"/>
        <w:rPr>
          <w:rFonts w:ascii="方正仿宋_GBK"/>
          <w:sz w:val="32"/>
          <w:szCs w:val="32"/>
        </w:rPr>
      </w:pPr>
      <w:r>
        <w:rPr>
          <w:rFonts w:hint="eastAsia" w:ascii="方正仿宋_GBK"/>
          <w:sz w:val="32"/>
          <w:szCs w:val="32"/>
        </w:rPr>
        <w:t>与管材制造方法(如焊接方法)、管材种类及成分、管材杂质含量(大于200μm～250μm的非金属杂质的存在会加速裂纹的形成)、钢材强度及钢材塑性变形特点有关。</w:t>
      </w:r>
    </w:p>
    <w:p>
      <w:pPr>
        <w:pStyle w:val="46"/>
        <w:ind w:firstLine="632" w:firstLineChars="200"/>
        <w:jc w:val="both"/>
        <w:rPr>
          <w:rFonts w:ascii="方正仿宋_GBK"/>
          <w:sz w:val="32"/>
          <w:szCs w:val="32"/>
        </w:rPr>
      </w:pPr>
      <w:r>
        <w:rPr>
          <w:rFonts w:hint="eastAsia" w:ascii="方正仿宋_GBK"/>
          <w:sz w:val="32"/>
          <w:szCs w:val="32"/>
        </w:rPr>
        <w:t>②管道表面条件</w:t>
      </w:r>
    </w:p>
    <w:p>
      <w:pPr>
        <w:pStyle w:val="46"/>
        <w:ind w:firstLine="632" w:firstLineChars="200"/>
        <w:jc w:val="both"/>
        <w:rPr>
          <w:rFonts w:ascii="方正仿宋_GBK"/>
          <w:sz w:val="32"/>
          <w:szCs w:val="32"/>
        </w:rPr>
      </w:pPr>
      <w:r>
        <w:rPr>
          <w:rFonts w:hint="eastAsia" w:ascii="方正仿宋_GBK"/>
          <w:sz w:val="32"/>
          <w:szCs w:val="32"/>
        </w:rPr>
        <w:t>管道表面条件对裂纹的产生起重要作用，如抛光表面很少产生裂纹。</w:t>
      </w:r>
    </w:p>
    <w:p>
      <w:pPr>
        <w:pStyle w:val="46"/>
        <w:ind w:firstLine="632" w:firstLineChars="200"/>
        <w:jc w:val="both"/>
        <w:rPr>
          <w:rFonts w:ascii="方正仿宋_GBK"/>
          <w:sz w:val="32"/>
          <w:szCs w:val="32"/>
        </w:rPr>
      </w:pPr>
      <w:r>
        <w:rPr>
          <w:rFonts w:hint="eastAsia" w:ascii="方正仿宋_GBK"/>
          <w:sz w:val="32"/>
          <w:szCs w:val="32"/>
        </w:rPr>
        <w:t>③拉应力</w:t>
      </w:r>
    </w:p>
    <w:p>
      <w:pPr>
        <w:pStyle w:val="46"/>
        <w:ind w:firstLine="632" w:firstLineChars="200"/>
        <w:jc w:val="both"/>
        <w:rPr>
          <w:rFonts w:ascii="方正仿宋_GBK"/>
          <w:sz w:val="32"/>
          <w:szCs w:val="32"/>
        </w:rPr>
      </w:pPr>
      <w:r>
        <w:rPr>
          <w:rFonts w:hint="eastAsia" w:ascii="方正仿宋_GBK"/>
          <w:sz w:val="32"/>
          <w:szCs w:val="32"/>
        </w:rPr>
        <w:t>主要包括制造应力、工作应力、操作应力、循环负荷、拉伸速率、次级负载等。</w:t>
      </w:r>
    </w:p>
    <w:p>
      <w:pPr>
        <w:pStyle w:val="46"/>
        <w:ind w:firstLine="632" w:firstLineChars="200"/>
        <w:jc w:val="both"/>
        <w:rPr>
          <w:rFonts w:ascii="方正仿宋_GBK"/>
          <w:sz w:val="32"/>
          <w:szCs w:val="32"/>
        </w:rPr>
      </w:pPr>
      <w:r>
        <w:rPr>
          <w:rFonts w:hint="eastAsia" w:ascii="方正仿宋_GBK"/>
          <w:sz w:val="32"/>
          <w:szCs w:val="32"/>
        </w:rPr>
        <w:t>环境因素、材料因素、拉应力，其单方面或三方面都能导致产生近中性PH值应力腐蚀破裂。</w:t>
      </w:r>
    </w:p>
    <w:p>
      <w:pPr>
        <w:pStyle w:val="46"/>
        <w:ind w:firstLine="632" w:firstLineChars="200"/>
        <w:jc w:val="both"/>
        <w:rPr>
          <w:rFonts w:ascii="方正仿宋_GBK"/>
          <w:sz w:val="32"/>
          <w:szCs w:val="32"/>
        </w:rPr>
      </w:pPr>
      <w:r>
        <w:rPr>
          <w:rFonts w:hint="eastAsia" w:ascii="方正仿宋_GBK"/>
          <w:sz w:val="32"/>
          <w:szCs w:val="32"/>
        </w:rPr>
        <w:t>（7）道路穿越危险性分析</w:t>
      </w:r>
    </w:p>
    <w:p>
      <w:pPr>
        <w:pStyle w:val="46"/>
        <w:ind w:firstLine="632" w:firstLineChars="200"/>
        <w:jc w:val="both"/>
        <w:rPr>
          <w:rFonts w:ascii="方正仿宋_GBK"/>
          <w:sz w:val="32"/>
          <w:szCs w:val="32"/>
        </w:rPr>
      </w:pPr>
      <w:r>
        <w:rPr>
          <w:rFonts w:hint="eastAsia" w:ascii="方正仿宋_GBK"/>
          <w:sz w:val="32"/>
          <w:szCs w:val="32"/>
        </w:rPr>
        <w:t>输油管道多次穿越公路，在防护措施不当的前提下，可能由于道路上重型车辆等的碾压，导致输油管道的破裂，最终导致油品泄漏，造成安全事故。因此，一般情况下穿越道路的管道不存在危险性，但必须确保保护套管的强度，施工过程中必须确保施工质量。</w:t>
      </w:r>
    </w:p>
    <w:p>
      <w:pPr>
        <w:pStyle w:val="46"/>
        <w:ind w:firstLine="632" w:firstLineChars="200"/>
        <w:jc w:val="both"/>
        <w:rPr>
          <w:rFonts w:ascii="方正仿宋_GBK"/>
          <w:sz w:val="32"/>
          <w:szCs w:val="32"/>
        </w:rPr>
      </w:pPr>
      <w:r>
        <w:rPr>
          <w:rFonts w:hint="eastAsia" w:ascii="方正仿宋_GBK"/>
          <w:sz w:val="32"/>
          <w:szCs w:val="32"/>
        </w:rPr>
        <w:t>（8）自动控制危险、有害因素分析</w:t>
      </w:r>
    </w:p>
    <w:p>
      <w:pPr>
        <w:pStyle w:val="46"/>
        <w:ind w:firstLine="632" w:firstLineChars="200"/>
        <w:jc w:val="both"/>
        <w:rPr>
          <w:rFonts w:ascii="方正仿宋_GBK"/>
          <w:sz w:val="32"/>
          <w:szCs w:val="32"/>
        </w:rPr>
      </w:pPr>
      <w:r>
        <w:rPr>
          <w:rFonts w:hint="eastAsia" w:ascii="方正仿宋_GBK"/>
          <w:sz w:val="32"/>
          <w:szCs w:val="32"/>
        </w:rPr>
        <w:t>如果控制系统检测和传输设施损坏或故障，各种信号不能及时或有效传到控制室，可能会给装置的安全控制带来困难，甚至会导致操作失误，引起事故的发生。若控制程序错误或损坏，安全连锁协调不当，易燃易爆、有毒物料泄漏，导致火灾、爆炸和中毒等事故的发生。若控制阀门质量不合格，不能有效的动作，会造成生产系统憋压，甚至导致设备设施破裂，物料泄漏引起火灾、爆炸和中毒等事故。为了保证检测仪表的可靠性，在正常运行过程中应定期对仪表进行检测、校验，以免因仪表控制失灵而发生危险。控制设施的故障主要有以下几种情况。</w:t>
      </w:r>
    </w:p>
    <w:p>
      <w:pPr>
        <w:pStyle w:val="46"/>
        <w:ind w:firstLine="632" w:firstLineChars="200"/>
        <w:jc w:val="both"/>
        <w:rPr>
          <w:rFonts w:ascii="方正仿宋_GBK"/>
          <w:sz w:val="32"/>
          <w:szCs w:val="32"/>
        </w:rPr>
      </w:pPr>
      <w:r>
        <w:rPr>
          <w:rFonts w:hint="eastAsia" w:ascii="方正仿宋_GBK"/>
          <w:sz w:val="32"/>
          <w:szCs w:val="32"/>
        </w:rPr>
        <w:t>1）供电中断</w:t>
      </w:r>
    </w:p>
    <w:p>
      <w:pPr>
        <w:pStyle w:val="46"/>
        <w:ind w:firstLine="632" w:firstLineChars="200"/>
        <w:jc w:val="both"/>
        <w:rPr>
          <w:rFonts w:ascii="方正仿宋_GBK"/>
          <w:sz w:val="32"/>
          <w:szCs w:val="32"/>
        </w:rPr>
      </w:pPr>
      <w:r>
        <w:rPr>
          <w:rFonts w:hint="eastAsia" w:ascii="方正仿宋_GBK"/>
          <w:sz w:val="32"/>
          <w:szCs w:val="32"/>
        </w:rPr>
        <w:t>控制系统通过不间断供电系统（UPS）供电。当外供电中断时，如UPS因本身故障无法自动切换供电，造成控制系统供电中断，使仪表无法正常工作。</w:t>
      </w:r>
    </w:p>
    <w:p>
      <w:pPr>
        <w:pStyle w:val="46"/>
        <w:ind w:firstLine="632" w:firstLineChars="200"/>
        <w:jc w:val="both"/>
        <w:rPr>
          <w:rFonts w:ascii="方正仿宋_GBK"/>
          <w:sz w:val="32"/>
          <w:szCs w:val="32"/>
        </w:rPr>
      </w:pPr>
      <w:r>
        <w:rPr>
          <w:rFonts w:hint="eastAsia" w:ascii="方正仿宋_GBK"/>
          <w:sz w:val="32"/>
          <w:szCs w:val="32"/>
        </w:rPr>
        <w:t>2）仪表故障</w:t>
      </w:r>
    </w:p>
    <w:p>
      <w:pPr>
        <w:pStyle w:val="46"/>
        <w:ind w:firstLine="632" w:firstLineChars="200"/>
        <w:jc w:val="both"/>
        <w:rPr>
          <w:rFonts w:ascii="方正仿宋_GBK"/>
          <w:sz w:val="32"/>
          <w:szCs w:val="32"/>
        </w:rPr>
      </w:pPr>
      <w:r>
        <w:rPr>
          <w:rFonts w:hint="eastAsia" w:ascii="方正仿宋_GBK"/>
          <w:sz w:val="32"/>
          <w:szCs w:val="32"/>
        </w:rPr>
        <w:t>①如采用的仪表设备性能不可靠，未达到免维护级别，仪表故障率较高，可能造成控制系统失效。</w:t>
      </w:r>
    </w:p>
    <w:p>
      <w:pPr>
        <w:pStyle w:val="46"/>
        <w:ind w:firstLine="632" w:firstLineChars="200"/>
        <w:jc w:val="both"/>
        <w:rPr>
          <w:rFonts w:ascii="方正仿宋_GBK"/>
          <w:sz w:val="32"/>
          <w:szCs w:val="32"/>
        </w:rPr>
      </w:pPr>
      <w:r>
        <w:rPr>
          <w:rFonts w:hint="eastAsia" w:ascii="方正仿宋_GBK"/>
          <w:sz w:val="32"/>
          <w:szCs w:val="32"/>
        </w:rPr>
        <w:t>②智能仪表设备的故障自诊断功能失灵，出现故障时未报警提示，未对仪表进行预维护，使仪表设备的可靠性降低。</w:t>
      </w:r>
    </w:p>
    <w:p>
      <w:pPr>
        <w:pStyle w:val="46"/>
        <w:ind w:firstLine="632" w:firstLineChars="200"/>
        <w:jc w:val="both"/>
        <w:rPr>
          <w:rFonts w:ascii="方正仿宋_GBK"/>
          <w:sz w:val="32"/>
          <w:szCs w:val="32"/>
        </w:rPr>
      </w:pPr>
      <w:r>
        <w:rPr>
          <w:rFonts w:hint="eastAsia" w:ascii="方正仿宋_GBK"/>
          <w:sz w:val="32"/>
          <w:szCs w:val="32"/>
        </w:rPr>
        <w:t>3）仪表测量管路故障</w:t>
      </w:r>
    </w:p>
    <w:p>
      <w:pPr>
        <w:pStyle w:val="46"/>
        <w:ind w:firstLine="632" w:firstLineChars="200"/>
        <w:jc w:val="both"/>
        <w:rPr>
          <w:rFonts w:ascii="方正仿宋_GBK"/>
          <w:sz w:val="32"/>
          <w:szCs w:val="32"/>
        </w:rPr>
      </w:pPr>
      <w:r>
        <w:rPr>
          <w:rFonts w:hint="eastAsia" w:ascii="方正仿宋_GBK"/>
          <w:sz w:val="32"/>
          <w:szCs w:val="32"/>
        </w:rPr>
        <w:t>①测量管路系统采用不可靠的管阀件，当发生测量管路泄漏时，造成测量不准确或失效。</w:t>
      </w:r>
    </w:p>
    <w:p>
      <w:pPr>
        <w:pStyle w:val="46"/>
        <w:ind w:firstLine="632" w:firstLineChars="200"/>
        <w:jc w:val="both"/>
        <w:rPr>
          <w:rFonts w:ascii="方正仿宋_GBK"/>
          <w:sz w:val="32"/>
          <w:szCs w:val="32"/>
        </w:rPr>
      </w:pPr>
      <w:r>
        <w:rPr>
          <w:rFonts w:hint="eastAsia" w:ascii="方正仿宋_GBK"/>
          <w:sz w:val="32"/>
          <w:szCs w:val="32"/>
        </w:rPr>
        <w:t>②仪表测量管路的畅通是仪表准确测量的前提。如测量管路保证措施不利，造成测量管路堵塞，使压力等参数传递不准确。</w:t>
      </w:r>
    </w:p>
    <w:p>
      <w:pPr>
        <w:pStyle w:val="46"/>
        <w:ind w:firstLine="632" w:firstLineChars="200"/>
        <w:jc w:val="both"/>
        <w:rPr>
          <w:rFonts w:ascii="方正仿宋_GBK"/>
          <w:sz w:val="32"/>
          <w:szCs w:val="32"/>
        </w:rPr>
      </w:pPr>
      <w:r>
        <w:rPr>
          <w:rFonts w:hint="eastAsia" w:ascii="方正仿宋_GBK"/>
          <w:sz w:val="32"/>
          <w:szCs w:val="32"/>
        </w:rPr>
        <w:t>4）仪表信号线路故障</w:t>
      </w:r>
    </w:p>
    <w:p>
      <w:pPr>
        <w:pStyle w:val="46"/>
        <w:ind w:firstLine="632" w:firstLineChars="200"/>
        <w:jc w:val="both"/>
        <w:rPr>
          <w:rFonts w:ascii="方正仿宋_GBK"/>
          <w:sz w:val="32"/>
          <w:szCs w:val="32"/>
        </w:rPr>
      </w:pPr>
      <w:r>
        <w:rPr>
          <w:rFonts w:hint="eastAsia" w:ascii="方正仿宋_GBK"/>
          <w:sz w:val="32"/>
          <w:szCs w:val="32"/>
        </w:rPr>
        <w:t>①仪表信号电缆防护不利，造成电缆破损、断裂或受到电磁干扰等，使控制信号无法正常传输。</w:t>
      </w:r>
    </w:p>
    <w:p>
      <w:pPr>
        <w:pStyle w:val="46"/>
        <w:ind w:firstLine="632" w:firstLineChars="200"/>
        <w:jc w:val="both"/>
        <w:rPr>
          <w:rFonts w:ascii="方正仿宋_GBK"/>
          <w:sz w:val="32"/>
          <w:szCs w:val="32"/>
        </w:rPr>
      </w:pPr>
      <w:r>
        <w:rPr>
          <w:rFonts w:hint="eastAsia" w:ascii="方正仿宋_GBK"/>
          <w:sz w:val="32"/>
          <w:szCs w:val="32"/>
        </w:rPr>
        <w:t>②通讯系统故障，使通讯的可靠性降低。</w:t>
      </w:r>
    </w:p>
    <w:p>
      <w:pPr>
        <w:pStyle w:val="46"/>
        <w:keepNext/>
        <w:widowControl/>
        <w:ind w:firstLine="632" w:firstLineChars="200"/>
        <w:jc w:val="both"/>
        <w:outlineLvl w:val="3"/>
        <w:rPr>
          <w:rFonts w:ascii="方正仿宋_GBK"/>
          <w:sz w:val="32"/>
          <w:szCs w:val="32"/>
        </w:rPr>
      </w:pPr>
      <w:r>
        <w:rPr>
          <w:rFonts w:hint="eastAsia" w:ascii="方正仿宋_GBK"/>
          <w:sz w:val="32"/>
          <w:szCs w:val="32"/>
        </w:rPr>
        <w:t>1.2.2.2 航空煤油长输管道检维修期间危险、有害因素分析</w:t>
      </w:r>
    </w:p>
    <w:p>
      <w:pPr>
        <w:pStyle w:val="46"/>
        <w:ind w:firstLine="632" w:firstLineChars="200"/>
        <w:jc w:val="both"/>
        <w:rPr>
          <w:rFonts w:ascii="方正仿宋_GBK"/>
          <w:sz w:val="32"/>
          <w:szCs w:val="32"/>
        </w:rPr>
      </w:pPr>
      <w:r>
        <w:rPr>
          <w:rFonts w:hint="eastAsia" w:ascii="方正仿宋_GBK"/>
          <w:sz w:val="32"/>
          <w:szCs w:val="32"/>
        </w:rPr>
        <w:t>在检修过程中很容易发生事故，因检修内容多、工期紧、多种交叉作业同时并进，检修作业受到环境和气候等条件的制约，加之外来施工人员、临时雇用人员等进入检修现场机会多，对作业现场环境不熟悉，从而决定了检修的复杂性和危险性。尽管在检修前对设备和管道做过充分的吹扫置换，但是有毒、有腐蚀性物质仍有可能存在，检修作业又离不开动火、动土、限定空间等作业，客观上具备了火灾爆炸、中毒、高处坠落、触电、机械伤害、物体打击、起重伤害等事故的条件。</w:t>
      </w:r>
    </w:p>
    <w:p>
      <w:pPr>
        <w:pStyle w:val="46"/>
        <w:ind w:firstLine="632" w:firstLineChars="200"/>
        <w:jc w:val="both"/>
        <w:rPr>
          <w:rFonts w:ascii="方正仿宋_GBK"/>
          <w:sz w:val="32"/>
          <w:szCs w:val="32"/>
        </w:rPr>
      </w:pPr>
      <w:r>
        <w:rPr>
          <w:rFonts w:hint="eastAsia" w:ascii="方正仿宋_GBK"/>
          <w:sz w:val="32"/>
          <w:szCs w:val="32"/>
        </w:rPr>
        <w:t>1）起重伤害</w:t>
      </w:r>
    </w:p>
    <w:p>
      <w:pPr>
        <w:pStyle w:val="46"/>
        <w:ind w:firstLine="632" w:firstLineChars="200"/>
        <w:jc w:val="both"/>
        <w:rPr>
          <w:rFonts w:ascii="方正仿宋_GBK"/>
          <w:sz w:val="32"/>
          <w:szCs w:val="32"/>
        </w:rPr>
      </w:pPr>
      <w:r>
        <w:rPr>
          <w:rFonts w:hint="eastAsia" w:ascii="方正仿宋_GBK"/>
          <w:sz w:val="32"/>
          <w:szCs w:val="32"/>
        </w:rPr>
        <w:t>在检修中可能使用起重设备，若起重时在周围无防护和监护，易对检修人员造成起重伤害。</w:t>
      </w:r>
    </w:p>
    <w:p>
      <w:pPr>
        <w:pStyle w:val="46"/>
        <w:ind w:firstLine="632" w:firstLineChars="200"/>
        <w:jc w:val="both"/>
        <w:rPr>
          <w:rFonts w:ascii="方正仿宋_GBK"/>
          <w:sz w:val="32"/>
          <w:szCs w:val="32"/>
        </w:rPr>
      </w:pPr>
      <w:r>
        <w:rPr>
          <w:rFonts w:hint="eastAsia" w:ascii="方正仿宋_GBK"/>
          <w:sz w:val="32"/>
          <w:szCs w:val="32"/>
        </w:rPr>
        <w:t>2）物体打击</w:t>
      </w:r>
    </w:p>
    <w:p>
      <w:pPr>
        <w:pStyle w:val="46"/>
        <w:ind w:firstLine="632" w:firstLineChars="200"/>
        <w:jc w:val="both"/>
        <w:rPr>
          <w:rFonts w:ascii="方正仿宋_GBK"/>
          <w:sz w:val="32"/>
          <w:szCs w:val="32"/>
        </w:rPr>
      </w:pPr>
      <w:r>
        <w:rPr>
          <w:rFonts w:hint="eastAsia" w:ascii="方正仿宋_GBK"/>
          <w:sz w:val="32"/>
          <w:szCs w:val="32"/>
        </w:rPr>
        <w:t>检修时使用切割机等机械设备，如疏忽大意，易造成检修人员机械伤害事故和物体打击事故。</w:t>
      </w:r>
    </w:p>
    <w:p>
      <w:pPr>
        <w:pStyle w:val="46"/>
        <w:ind w:firstLine="632" w:firstLineChars="200"/>
        <w:jc w:val="both"/>
        <w:rPr>
          <w:rFonts w:ascii="方正仿宋_GBK"/>
          <w:sz w:val="32"/>
          <w:szCs w:val="32"/>
        </w:rPr>
      </w:pPr>
      <w:r>
        <w:rPr>
          <w:rFonts w:hint="eastAsia" w:ascii="方正仿宋_GBK"/>
          <w:sz w:val="32"/>
          <w:szCs w:val="32"/>
        </w:rPr>
        <w:t>3）触电</w:t>
      </w:r>
    </w:p>
    <w:p>
      <w:pPr>
        <w:pStyle w:val="46"/>
        <w:ind w:firstLine="632" w:firstLineChars="200"/>
        <w:jc w:val="both"/>
        <w:rPr>
          <w:rFonts w:ascii="方正仿宋_GBK"/>
          <w:sz w:val="32"/>
          <w:szCs w:val="32"/>
        </w:rPr>
      </w:pPr>
      <w:r>
        <w:rPr>
          <w:rFonts w:hint="eastAsia" w:ascii="方正仿宋_GBK"/>
          <w:sz w:val="32"/>
          <w:szCs w:val="32"/>
        </w:rPr>
        <w:t>在维修带电设备时，可能受到触电伤害。</w:t>
      </w:r>
    </w:p>
    <w:p>
      <w:pPr>
        <w:pStyle w:val="46"/>
        <w:ind w:firstLine="632" w:firstLineChars="200"/>
        <w:jc w:val="both"/>
        <w:rPr>
          <w:rFonts w:ascii="方正仿宋_GBK"/>
          <w:sz w:val="32"/>
          <w:szCs w:val="32"/>
        </w:rPr>
      </w:pPr>
      <w:r>
        <w:rPr>
          <w:rFonts w:hint="eastAsia" w:ascii="方正仿宋_GBK"/>
          <w:sz w:val="32"/>
          <w:szCs w:val="32"/>
        </w:rPr>
        <w:t>4）中毒窒息</w:t>
      </w:r>
    </w:p>
    <w:p>
      <w:pPr>
        <w:pStyle w:val="46"/>
        <w:ind w:firstLine="632" w:firstLineChars="200"/>
        <w:jc w:val="both"/>
        <w:rPr>
          <w:rFonts w:ascii="方正仿宋_GBK"/>
          <w:sz w:val="32"/>
          <w:szCs w:val="32"/>
        </w:rPr>
      </w:pPr>
      <w:r>
        <w:rPr>
          <w:rFonts w:hint="eastAsia" w:ascii="方正仿宋_GBK"/>
          <w:sz w:val="32"/>
          <w:szCs w:val="32"/>
        </w:rPr>
        <w:t>在检修作业时，若管道未进行清洗或安全置换，或未彻底切断输送物料，易发生火灾爆炸和中毒窒息事故。</w:t>
      </w:r>
    </w:p>
    <w:p>
      <w:pPr>
        <w:pStyle w:val="46"/>
        <w:keepNext/>
        <w:widowControl/>
        <w:ind w:firstLine="632" w:firstLineChars="200"/>
        <w:jc w:val="both"/>
        <w:outlineLvl w:val="3"/>
        <w:rPr>
          <w:rFonts w:ascii="方正仿宋_GBK"/>
          <w:sz w:val="32"/>
          <w:szCs w:val="32"/>
        </w:rPr>
      </w:pPr>
      <w:r>
        <w:rPr>
          <w:rFonts w:hint="eastAsia" w:ascii="方正仿宋_GBK"/>
          <w:sz w:val="32"/>
          <w:szCs w:val="32"/>
        </w:rPr>
        <w:t>1.2.2.3 天然气长输管道运行期间危险、有害因素分析</w:t>
      </w:r>
    </w:p>
    <w:p>
      <w:pPr>
        <w:pStyle w:val="46"/>
        <w:ind w:firstLine="632" w:firstLineChars="200"/>
        <w:jc w:val="both"/>
        <w:rPr>
          <w:rFonts w:ascii="方正仿宋_GBK"/>
          <w:sz w:val="32"/>
          <w:szCs w:val="32"/>
        </w:rPr>
      </w:pPr>
      <w:r>
        <w:rPr>
          <w:rFonts w:hint="eastAsia" w:ascii="方正仿宋_GBK"/>
          <w:sz w:val="32"/>
          <w:szCs w:val="32"/>
        </w:rPr>
        <w:t>管道运行期间存在的主要危险有害因素有管道腐蚀穿孔、憋压爆裂、管材质量、第三方破坏、自然灾害和穿越因素等引发的天然气泄漏，如果泄漏的天然气遇火，将产生喷射火焰，甚至发生火灾、爆炸事故，从而引起热辐射和火灾、爆炸伤害。</w:t>
      </w:r>
    </w:p>
    <w:p>
      <w:pPr>
        <w:pStyle w:val="46"/>
        <w:ind w:firstLine="632" w:firstLineChars="200"/>
        <w:jc w:val="both"/>
        <w:rPr>
          <w:rFonts w:ascii="方正仿宋_GBK"/>
          <w:sz w:val="32"/>
          <w:szCs w:val="32"/>
        </w:rPr>
      </w:pPr>
      <w:r>
        <w:rPr>
          <w:rFonts w:hint="eastAsia" w:ascii="方正仿宋_GBK"/>
          <w:sz w:val="32"/>
          <w:szCs w:val="32"/>
        </w:rPr>
        <w:t>1）管道设计时由于选材、设计工艺不合理，导致管线运行危险度高。</w:t>
      </w:r>
    </w:p>
    <w:p>
      <w:pPr>
        <w:pStyle w:val="46"/>
        <w:ind w:firstLine="632" w:firstLineChars="200"/>
        <w:jc w:val="both"/>
        <w:rPr>
          <w:rFonts w:ascii="方正仿宋_GBK"/>
          <w:sz w:val="32"/>
          <w:szCs w:val="32"/>
        </w:rPr>
      </w:pPr>
      <w:r>
        <w:rPr>
          <w:rFonts w:hint="eastAsia" w:ascii="方正仿宋_GBK"/>
          <w:sz w:val="32"/>
          <w:szCs w:val="32"/>
        </w:rPr>
        <w:t>2）管道施工时可能发生的焊缝焊接不合格和防腐层损坏，对管道运营时留下安全隐患。</w:t>
      </w:r>
    </w:p>
    <w:p>
      <w:pPr>
        <w:pStyle w:val="46"/>
        <w:ind w:firstLine="632" w:firstLineChars="200"/>
        <w:jc w:val="both"/>
        <w:rPr>
          <w:rFonts w:ascii="方正仿宋_GBK"/>
          <w:sz w:val="32"/>
          <w:szCs w:val="32"/>
        </w:rPr>
      </w:pPr>
      <w:r>
        <w:rPr>
          <w:rFonts w:hint="eastAsia" w:ascii="方正仿宋_GBK"/>
          <w:sz w:val="32"/>
          <w:szCs w:val="32"/>
        </w:rPr>
        <w:t>3）管道穿越道路时，管道的套管可能因地质因素、车辆因素而破损，若不及时处理更换，长时间受过往车辆碾压，管道疲劳破裂而引发天然气泄漏。</w:t>
      </w:r>
    </w:p>
    <w:p>
      <w:pPr>
        <w:pStyle w:val="46"/>
        <w:ind w:firstLine="632" w:firstLineChars="200"/>
        <w:jc w:val="both"/>
        <w:rPr>
          <w:rFonts w:ascii="方正仿宋_GBK"/>
          <w:sz w:val="32"/>
          <w:szCs w:val="32"/>
        </w:rPr>
      </w:pPr>
      <w:r>
        <w:rPr>
          <w:rFonts w:hint="eastAsia" w:ascii="方正仿宋_GBK"/>
          <w:sz w:val="32"/>
          <w:szCs w:val="32"/>
        </w:rPr>
        <w:t>4）管道位于城市建成区，主要会出现第三方破坏行为，将造成管道的破损，发生泄漏，可能引发火灾或爆炸事故。</w:t>
      </w:r>
    </w:p>
    <w:p>
      <w:pPr>
        <w:pStyle w:val="46"/>
        <w:ind w:firstLine="632" w:firstLineChars="200"/>
        <w:jc w:val="both"/>
        <w:rPr>
          <w:rFonts w:ascii="方正仿宋_GBK"/>
          <w:sz w:val="32"/>
          <w:szCs w:val="32"/>
        </w:rPr>
      </w:pPr>
      <w:r>
        <w:rPr>
          <w:rFonts w:hint="eastAsia" w:ascii="方正仿宋_GBK"/>
          <w:sz w:val="32"/>
          <w:szCs w:val="32"/>
        </w:rPr>
        <w:t>5）城市建设的高速发展，各种基础设施建设、改造工程项目繁多，野蛮施工、强行违规作业，施工现场管理不到位，机械挖掘作业等都可能造成管道的破裂，产生火灾爆炸危险。</w:t>
      </w:r>
    </w:p>
    <w:p>
      <w:pPr>
        <w:pStyle w:val="46"/>
        <w:ind w:firstLine="632" w:firstLineChars="200"/>
        <w:jc w:val="both"/>
        <w:rPr>
          <w:rFonts w:ascii="方正仿宋_GBK"/>
          <w:sz w:val="32"/>
          <w:szCs w:val="32"/>
        </w:rPr>
      </w:pPr>
      <w:r>
        <w:rPr>
          <w:rFonts w:hint="eastAsia" w:ascii="方正仿宋_GBK"/>
          <w:sz w:val="32"/>
          <w:szCs w:val="32"/>
        </w:rPr>
        <w:t>6）私自在管道上方乱搭乱建，以及重型车辆对管道的碾压等，可能造成管道破裂。</w:t>
      </w:r>
    </w:p>
    <w:p>
      <w:pPr>
        <w:pStyle w:val="46"/>
        <w:ind w:firstLine="632" w:firstLineChars="200"/>
        <w:jc w:val="both"/>
        <w:rPr>
          <w:rFonts w:ascii="方正仿宋_GBK"/>
          <w:sz w:val="32"/>
          <w:szCs w:val="32"/>
        </w:rPr>
      </w:pPr>
      <w:r>
        <w:rPr>
          <w:rFonts w:hint="eastAsia" w:ascii="方正仿宋_GBK"/>
          <w:sz w:val="32"/>
          <w:szCs w:val="32"/>
        </w:rPr>
        <w:t>7）管道周边的隐患建筑，不仅影响管道的正常检查、维护，而且会降低管道的安全系数，破坏管道受力平衡，一旦发生泄漏，极易导致火灾、爆炸和群体伤亡事故。</w:t>
      </w:r>
    </w:p>
    <w:p>
      <w:pPr>
        <w:pStyle w:val="46"/>
        <w:keepNext/>
        <w:widowControl/>
        <w:ind w:firstLine="632" w:firstLineChars="200"/>
        <w:jc w:val="both"/>
        <w:outlineLvl w:val="3"/>
        <w:rPr>
          <w:rFonts w:ascii="方正仿宋_GBK"/>
          <w:sz w:val="32"/>
          <w:szCs w:val="32"/>
        </w:rPr>
      </w:pPr>
      <w:r>
        <w:rPr>
          <w:rFonts w:hint="eastAsia" w:ascii="方正仿宋_GBK"/>
          <w:sz w:val="32"/>
          <w:szCs w:val="32"/>
        </w:rPr>
        <w:t>1.2.2.4 天然气长输管道清管及检修期危险、有害因素分析</w:t>
      </w:r>
    </w:p>
    <w:p>
      <w:pPr>
        <w:pStyle w:val="46"/>
        <w:ind w:firstLine="632" w:firstLineChars="200"/>
        <w:jc w:val="both"/>
        <w:rPr>
          <w:rFonts w:ascii="方正仿宋_GBK"/>
          <w:sz w:val="32"/>
          <w:szCs w:val="32"/>
        </w:rPr>
      </w:pPr>
      <w:r>
        <w:rPr>
          <w:rFonts w:hint="eastAsia" w:ascii="方正仿宋_GBK"/>
          <w:sz w:val="32"/>
          <w:szCs w:val="32"/>
        </w:rPr>
        <w:t>清管及检修期主要存在于人员误操作、违章操作、防护设施缺陷、作业环境不良等方面。</w:t>
      </w:r>
    </w:p>
    <w:p>
      <w:pPr>
        <w:pStyle w:val="46"/>
        <w:ind w:firstLine="632" w:firstLineChars="200"/>
        <w:jc w:val="both"/>
        <w:rPr>
          <w:rFonts w:ascii="方正仿宋_GBK"/>
          <w:sz w:val="32"/>
          <w:szCs w:val="32"/>
        </w:rPr>
      </w:pPr>
      <w:r>
        <w:rPr>
          <w:rFonts w:hint="eastAsia" w:ascii="方正仿宋_GBK"/>
          <w:sz w:val="32"/>
          <w:szCs w:val="32"/>
        </w:rPr>
        <w:t>（1）清管时，若清管器收球筒中天然气未被完全放空或因收球筒球阀泄漏，操作不当可引起人身伤害。当打开收球筒快开盲板取清管球时，可能会因空气的进入遇火引发火灾爆炸事故。</w:t>
      </w:r>
    </w:p>
    <w:p>
      <w:pPr>
        <w:pStyle w:val="46"/>
        <w:ind w:firstLine="632" w:firstLineChars="200"/>
        <w:jc w:val="both"/>
        <w:rPr>
          <w:rFonts w:ascii="方正仿宋_GBK"/>
          <w:sz w:val="32"/>
          <w:szCs w:val="32"/>
        </w:rPr>
      </w:pPr>
      <w:r>
        <w:rPr>
          <w:rFonts w:hint="eastAsia" w:ascii="方正仿宋_GBK"/>
          <w:sz w:val="32"/>
          <w:szCs w:val="32"/>
        </w:rPr>
        <w:t>（2）设备检修涉及撤检、敲打、起吊作业。</w:t>
      </w:r>
    </w:p>
    <w:p>
      <w:pPr>
        <w:pStyle w:val="46"/>
        <w:ind w:firstLine="632" w:firstLineChars="200"/>
        <w:jc w:val="both"/>
        <w:rPr>
          <w:rFonts w:ascii="方正仿宋_GBK"/>
          <w:sz w:val="32"/>
          <w:szCs w:val="32"/>
        </w:rPr>
      </w:pPr>
      <w:r>
        <w:rPr>
          <w:rFonts w:hint="eastAsia" w:ascii="方正仿宋_GBK"/>
          <w:sz w:val="32"/>
          <w:szCs w:val="32"/>
        </w:rPr>
        <w:t>（3）管道置换不合格、管道及设备泄漏、违章动火、焊机绝缘失效、二次回路连接不符合要求等。</w:t>
      </w:r>
    </w:p>
    <w:p>
      <w:pPr>
        <w:pStyle w:val="46"/>
        <w:ind w:firstLine="632" w:firstLineChars="200"/>
        <w:jc w:val="both"/>
        <w:rPr>
          <w:rFonts w:ascii="方正仿宋_GBK"/>
          <w:sz w:val="32"/>
          <w:szCs w:val="32"/>
        </w:rPr>
      </w:pPr>
      <w:r>
        <w:rPr>
          <w:rFonts w:hint="eastAsia" w:ascii="方正仿宋_GBK"/>
          <w:sz w:val="32"/>
          <w:szCs w:val="32"/>
        </w:rPr>
        <w:t>（4）防暑降温措施不到位。</w:t>
      </w:r>
    </w:p>
    <w:p>
      <w:pPr>
        <w:pStyle w:val="46"/>
        <w:ind w:firstLine="632" w:firstLineChars="200"/>
        <w:jc w:val="both"/>
        <w:rPr>
          <w:rFonts w:ascii="方正仿宋_GBK"/>
          <w:sz w:val="32"/>
          <w:szCs w:val="32"/>
        </w:rPr>
      </w:pPr>
      <w:r>
        <w:rPr>
          <w:rFonts w:hint="eastAsia" w:ascii="方正仿宋_GBK"/>
          <w:sz w:val="32"/>
          <w:szCs w:val="32"/>
        </w:rPr>
        <w:t>（5）拆卸设备、设施，高处作业等。</w:t>
      </w:r>
    </w:p>
    <w:p>
      <w:pPr>
        <w:pStyle w:val="46"/>
        <w:keepNext/>
        <w:widowControl/>
        <w:ind w:firstLine="632" w:firstLineChars="200"/>
        <w:jc w:val="both"/>
        <w:outlineLvl w:val="3"/>
        <w:rPr>
          <w:rFonts w:ascii="方正仿宋_GBK"/>
          <w:sz w:val="32"/>
          <w:szCs w:val="32"/>
        </w:rPr>
      </w:pPr>
      <w:r>
        <w:rPr>
          <w:rFonts w:hint="eastAsia" w:ascii="方正仿宋_GBK"/>
          <w:sz w:val="32"/>
          <w:szCs w:val="32"/>
        </w:rPr>
        <w:t>1.2.2.</w:t>
      </w:r>
      <w:r>
        <w:rPr>
          <w:rFonts w:ascii="方正仿宋_GBK"/>
          <w:sz w:val="32"/>
          <w:szCs w:val="32"/>
        </w:rPr>
        <w:t>5</w:t>
      </w:r>
      <w:r>
        <w:rPr>
          <w:rFonts w:hint="eastAsia" w:ascii="方正仿宋_GBK"/>
          <w:sz w:val="32"/>
          <w:szCs w:val="32"/>
        </w:rPr>
        <w:t xml:space="preserve"> 长输管道自然和社会环境危险、有害因素分析</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1</w:t>
      </w:r>
      <w:r>
        <w:rPr>
          <w:rFonts w:hint="eastAsia" w:ascii="方正仿宋_GBK"/>
          <w:sz w:val="32"/>
          <w:szCs w:val="32"/>
        </w:rPr>
        <w:t>）雷击。巨大的雷电流流入地下，在雷击点及其连接的金属部分产生极高的对地电压，可直接导致接触电压或跨步电压；直击雷可对现场人员造成雷击伤害。</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2</w:t>
      </w:r>
      <w:r>
        <w:rPr>
          <w:rFonts w:hint="eastAsia" w:ascii="方正仿宋_GBK"/>
          <w:sz w:val="32"/>
          <w:szCs w:val="32"/>
        </w:rPr>
        <w:t>）降水。大量的降水会使管道上方覆土层松软，边坡泥土流失，使管道面临裸露出地面的危险；大暴雨引发的洪水，更容易将管道上方、下方的覆土层冲走，使管道裸露、悬空，甚至将管道扭曲、冲断。</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3</w:t>
      </w:r>
      <w:r>
        <w:rPr>
          <w:rFonts w:hint="eastAsia" w:ascii="方正仿宋_GBK"/>
          <w:sz w:val="32"/>
          <w:szCs w:val="32"/>
        </w:rPr>
        <w:t>）地震。造成电力、通信线路中断、毁坏；永久性土地变形引起管道及建筑物倒塌或严重变形；可能使消防设施和供水管道等被破坏；地震产生的电磁场变化，干扰长输管道控制仪器、仪表正常工作。</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4</w:t>
      </w:r>
      <w:r>
        <w:rPr>
          <w:rFonts w:hint="eastAsia" w:ascii="方正仿宋_GBK"/>
          <w:sz w:val="32"/>
          <w:szCs w:val="32"/>
        </w:rPr>
        <w:t>）土壤。土壤的电解质溶液会使埋地金属管道产生电化学腐蚀；管道防腐质量不好或施工时造成防腐层机械损伤，土壤中含水、盐、碱、地下杂散电流等都会造成管道腐蚀，严重时可造成管道穿孔，引发事故。</w:t>
      </w:r>
    </w:p>
    <w:p>
      <w:pPr>
        <w:pStyle w:val="46"/>
        <w:ind w:firstLine="632" w:firstLineChars="200"/>
        <w:jc w:val="both"/>
        <w:rPr>
          <w:rFonts w:ascii="方正仿宋_GBK"/>
          <w:sz w:val="32"/>
          <w:szCs w:val="32"/>
        </w:rPr>
      </w:pPr>
      <w:r>
        <w:rPr>
          <w:rFonts w:hint="eastAsia" w:ascii="方正仿宋_GBK"/>
          <w:sz w:val="32"/>
          <w:szCs w:val="32"/>
        </w:rPr>
        <w:t>（5）社会环境。管道上方土地利用发生变化，管线进入城市建成区，后期城市改造等。</w:t>
      </w:r>
    </w:p>
    <w:p>
      <w:pPr>
        <w:keepNext/>
        <w:keepLines/>
        <w:ind w:firstLine="632" w:firstLineChars="200"/>
        <w:outlineLvl w:val="2"/>
        <w:rPr>
          <w:rFonts w:ascii="仿宋_GB2312" w:eastAsia="仿宋_GB2312"/>
          <w:b/>
          <w:bCs/>
        </w:rPr>
      </w:pPr>
      <w:r>
        <w:rPr>
          <w:rFonts w:hint="eastAsia" w:ascii="仿宋_GB2312" w:eastAsia="仿宋_GB2312"/>
          <w:b/>
          <w:bCs/>
        </w:rPr>
        <w:t>1.2.3 高后果区识别结果</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1</w:t>
      </w:r>
      <w:r>
        <w:rPr>
          <w:rFonts w:hint="eastAsia" w:ascii="方正仿宋_GBK"/>
          <w:sz w:val="32"/>
          <w:szCs w:val="32"/>
        </w:rPr>
        <w:t>）中国航空油料有限责任公司重庆分公司重庆机场航空油料输送管线</w:t>
      </w:r>
    </w:p>
    <w:p>
      <w:pPr>
        <w:pStyle w:val="46"/>
        <w:ind w:firstLine="632" w:firstLineChars="200"/>
        <w:jc w:val="both"/>
        <w:rPr>
          <w:rFonts w:ascii="方正仿宋_GBK"/>
          <w:sz w:val="32"/>
          <w:szCs w:val="32"/>
        </w:rPr>
      </w:pPr>
      <w:r>
        <w:rPr>
          <w:rFonts w:hint="eastAsia" w:ascii="方正仿宋_GBK"/>
          <w:sz w:val="32"/>
          <w:szCs w:val="32"/>
        </w:rPr>
        <w:t>依据《中国航空油料有限责任公司重庆分公司油库库外和机坪围界外沿线输油管道高后果区识别报告》（重庆美高科技有限公司，202</w:t>
      </w:r>
      <w:r>
        <w:rPr>
          <w:rFonts w:ascii="方正仿宋_GBK"/>
          <w:sz w:val="32"/>
          <w:szCs w:val="32"/>
        </w:rPr>
        <w:t>1</w:t>
      </w:r>
      <w:r>
        <w:rPr>
          <w:rFonts w:hint="eastAsia" w:ascii="方正仿宋_GBK"/>
          <w:sz w:val="32"/>
          <w:szCs w:val="32"/>
        </w:rPr>
        <w:t>.10），结合地理信息系统和现场调查情况，对中国航空油料有限责任公司重庆分公司D</w:t>
      </w:r>
      <w:r>
        <w:rPr>
          <w:rFonts w:ascii="方正仿宋_GBK"/>
          <w:sz w:val="32"/>
          <w:szCs w:val="32"/>
        </w:rPr>
        <w:t>219</w:t>
      </w:r>
      <w:r>
        <w:rPr>
          <w:rFonts w:hint="eastAsia" w:ascii="方正仿宋_GBK"/>
          <w:sz w:val="32"/>
          <w:szCs w:val="32"/>
        </w:rPr>
        <w:t>航空油料输送管线途径江北辖区内长约3</w:t>
      </w:r>
      <w:r>
        <w:rPr>
          <w:rFonts w:ascii="方正仿宋_GBK"/>
          <w:sz w:val="32"/>
          <w:szCs w:val="32"/>
        </w:rPr>
        <w:t>.92</w:t>
      </w:r>
      <w:r>
        <w:rPr>
          <w:rFonts w:hint="eastAsia" w:ascii="方正仿宋_GBK"/>
          <w:sz w:val="32"/>
          <w:szCs w:val="32"/>
        </w:rPr>
        <w:t>km管道进行识别，共识别出3处高后果区管段，如下表所示。</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-4  中航油重庆机场管线（江北区）高后果区识别统计表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9"/>
        <w:gridCol w:w="1843"/>
        <w:gridCol w:w="1843"/>
        <w:gridCol w:w="1134"/>
        <w:gridCol w:w="709"/>
        <w:gridCol w:w="1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序号</w:t>
            </w:r>
          </w:p>
        </w:tc>
        <w:tc>
          <w:tcPr>
            <w:tcW w:w="155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位置</w:t>
            </w:r>
          </w:p>
        </w:tc>
        <w:tc>
          <w:tcPr>
            <w:tcW w:w="1843"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起始GPS坐标</w:t>
            </w:r>
          </w:p>
        </w:tc>
        <w:tc>
          <w:tcPr>
            <w:tcW w:w="1843"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终止GPS坐标</w:t>
            </w:r>
          </w:p>
        </w:tc>
        <w:tc>
          <w:tcPr>
            <w:tcW w:w="1134"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长度（m）</w:t>
            </w:r>
          </w:p>
        </w:tc>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等级</w:t>
            </w:r>
          </w:p>
        </w:tc>
        <w:tc>
          <w:tcPr>
            <w:tcW w:w="1048"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唐家沱油库至港城园C区</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29°36'10.3"N</w:t>
            </w:r>
          </w:p>
          <w:p>
            <w:pPr>
              <w:adjustRightInd w:val="0"/>
              <w:snapToGrid w:val="0"/>
              <w:jc w:val="center"/>
              <w:rPr>
                <w:rFonts w:ascii="方正仿宋_GBK" w:hAnsi="宋体" w:cs="宋体"/>
                <w:sz w:val="21"/>
                <w:szCs w:val="21"/>
              </w:rPr>
            </w:pPr>
            <w:r>
              <w:rPr>
                <w:rFonts w:hint="eastAsia" w:ascii="方正仿宋_GBK" w:hAnsi="宋体" w:cs="宋体"/>
                <w:sz w:val="21"/>
                <w:szCs w:val="21"/>
              </w:rPr>
              <w:t>106°38'6.64"E</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29°37'2.6"N</w:t>
            </w:r>
          </w:p>
          <w:p>
            <w:pPr>
              <w:adjustRightInd w:val="0"/>
              <w:snapToGrid w:val="0"/>
              <w:jc w:val="center"/>
              <w:rPr>
                <w:rFonts w:ascii="方正仿宋_GBK" w:hAnsi="宋体" w:cs="宋体"/>
                <w:sz w:val="21"/>
                <w:szCs w:val="21"/>
              </w:rPr>
            </w:pPr>
            <w:r>
              <w:rPr>
                <w:rFonts w:hint="eastAsia" w:ascii="方正仿宋_GBK" w:hAnsi="宋体" w:cs="宋体"/>
                <w:sz w:val="21"/>
                <w:szCs w:val="21"/>
              </w:rPr>
              <w:t>106°38'4.21"E</w:t>
            </w:r>
          </w:p>
        </w:tc>
        <w:tc>
          <w:tcPr>
            <w:tcW w:w="113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1726</w:t>
            </w:r>
          </w:p>
        </w:tc>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Ⅲ级</w:t>
            </w:r>
          </w:p>
        </w:tc>
        <w:tc>
          <w:tcPr>
            <w:tcW w:w="104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四级地区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海尔路至沪渝高速</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29°37'7.06"N</w:t>
            </w:r>
          </w:p>
          <w:p>
            <w:pPr>
              <w:adjustRightInd w:val="0"/>
              <w:snapToGrid w:val="0"/>
              <w:jc w:val="center"/>
              <w:rPr>
                <w:rFonts w:ascii="方正仿宋_GBK" w:hAnsi="宋体" w:cs="宋体"/>
                <w:sz w:val="21"/>
                <w:szCs w:val="21"/>
              </w:rPr>
            </w:pPr>
            <w:r>
              <w:rPr>
                <w:rFonts w:hint="eastAsia" w:ascii="方正仿宋_GBK" w:hAnsi="宋体" w:cs="宋体"/>
                <w:sz w:val="21"/>
                <w:szCs w:val="21"/>
              </w:rPr>
              <w:t>106°38'0.5"E</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29°37'22.88"N</w:t>
            </w:r>
          </w:p>
          <w:p>
            <w:pPr>
              <w:adjustRightInd w:val="0"/>
              <w:snapToGrid w:val="0"/>
              <w:jc w:val="center"/>
              <w:rPr>
                <w:rFonts w:ascii="方正仿宋_GBK" w:hAnsi="宋体" w:cs="宋体"/>
                <w:sz w:val="21"/>
                <w:szCs w:val="21"/>
              </w:rPr>
            </w:pPr>
            <w:r>
              <w:rPr>
                <w:rFonts w:hint="eastAsia" w:ascii="方正仿宋_GBK" w:hAnsi="宋体" w:cs="宋体"/>
                <w:sz w:val="21"/>
                <w:szCs w:val="21"/>
              </w:rPr>
              <w:t>106°38'3.01"E</w:t>
            </w:r>
          </w:p>
        </w:tc>
        <w:tc>
          <w:tcPr>
            <w:tcW w:w="113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698</w:t>
            </w:r>
          </w:p>
        </w:tc>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Ⅲ级</w:t>
            </w:r>
          </w:p>
        </w:tc>
        <w:tc>
          <w:tcPr>
            <w:tcW w:w="104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四级地区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高架铁路</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29°37'35.27"N</w:t>
            </w:r>
          </w:p>
          <w:p>
            <w:pPr>
              <w:adjustRightInd w:val="0"/>
              <w:snapToGrid w:val="0"/>
              <w:jc w:val="center"/>
              <w:rPr>
                <w:rFonts w:ascii="方正仿宋_GBK" w:hAnsi="宋体" w:cs="宋体"/>
                <w:sz w:val="21"/>
                <w:szCs w:val="21"/>
              </w:rPr>
            </w:pPr>
            <w:r>
              <w:rPr>
                <w:rFonts w:hint="eastAsia" w:ascii="方正仿宋_GBK" w:hAnsi="宋体" w:cs="宋体"/>
                <w:sz w:val="21"/>
                <w:szCs w:val="21"/>
              </w:rPr>
              <w:t>106°38'3.13"E</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29°37'42.72"N</w:t>
            </w:r>
          </w:p>
          <w:p>
            <w:pPr>
              <w:adjustRightInd w:val="0"/>
              <w:snapToGrid w:val="0"/>
              <w:jc w:val="center"/>
              <w:rPr>
                <w:rFonts w:ascii="方正仿宋_GBK" w:hAnsi="宋体" w:cs="宋体"/>
                <w:sz w:val="21"/>
                <w:szCs w:val="21"/>
              </w:rPr>
            </w:pPr>
            <w:r>
              <w:rPr>
                <w:rFonts w:hint="eastAsia" w:ascii="方正仿宋_GBK" w:hAnsi="宋体" w:cs="宋体"/>
                <w:sz w:val="21"/>
                <w:szCs w:val="21"/>
              </w:rPr>
              <w:t>106°38'3.86"E</w:t>
            </w:r>
          </w:p>
        </w:tc>
        <w:tc>
          <w:tcPr>
            <w:tcW w:w="113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335</w:t>
            </w:r>
          </w:p>
        </w:tc>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I级</w:t>
            </w:r>
          </w:p>
        </w:tc>
        <w:tc>
          <w:tcPr>
            <w:tcW w:w="104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穿越铁路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合计长度</w:t>
            </w:r>
          </w:p>
        </w:tc>
        <w:tc>
          <w:tcPr>
            <w:tcW w:w="1843" w:type="dxa"/>
            <w:vAlign w:val="center"/>
          </w:tcPr>
          <w:p>
            <w:pPr>
              <w:adjustRightInd w:val="0"/>
              <w:snapToGrid w:val="0"/>
              <w:jc w:val="center"/>
              <w:rPr>
                <w:rFonts w:ascii="方正仿宋_GBK" w:hAnsi="宋体" w:cs="宋体"/>
                <w:sz w:val="21"/>
                <w:szCs w:val="21"/>
              </w:rPr>
            </w:pPr>
          </w:p>
        </w:tc>
        <w:tc>
          <w:tcPr>
            <w:tcW w:w="1843" w:type="dxa"/>
            <w:vAlign w:val="center"/>
          </w:tcPr>
          <w:p>
            <w:pPr>
              <w:adjustRightInd w:val="0"/>
              <w:snapToGrid w:val="0"/>
              <w:jc w:val="center"/>
              <w:rPr>
                <w:rFonts w:ascii="方正仿宋_GBK" w:hAnsi="宋体" w:cs="宋体"/>
                <w:sz w:val="21"/>
                <w:szCs w:val="21"/>
              </w:rPr>
            </w:pPr>
          </w:p>
        </w:tc>
        <w:tc>
          <w:tcPr>
            <w:tcW w:w="113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fldChar w:fldCharType="begin"/>
            </w:r>
            <w:r>
              <w:rPr>
                <w:rFonts w:hint="eastAsia" w:ascii="方正仿宋_GBK" w:hAnsi="宋体" w:cs="宋体"/>
                <w:sz w:val="21"/>
                <w:szCs w:val="21"/>
              </w:rPr>
              <w:instrText xml:space="preserve"> =SUM(ABOVE) </w:instrText>
            </w:r>
            <w:r>
              <w:rPr>
                <w:rFonts w:hint="eastAsia" w:ascii="方正仿宋_GBK" w:hAnsi="宋体" w:cs="宋体"/>
                <w:sz w:val="21"/>
                <w:szCs w:val="21"/>
              </w:rPr>
              <w:fldChar w:fldCharType="separate"/>
            </w:r>
            <w:r>
              <w:rPr>
                <w:rFonts w:hint="eastAsia" w:ascii="方正仿宋_GBK" w:hAnsi="宋体" w:cs="宋体"/>
                <w:sz w:val="21"/>
                <w:szCs w:val="21"/>
              </w:rPr>
              <w:t>2759</w:t>
            </w:r>
            <w:r>
              <w:rPr>
                <w:rFonts w:hint="eastAsia" w:ascii="方正仿宋_GBK" w:hAnsi="宋体" w:cs="宋体"/>
                <w:sz w:val="21"/>
                <w:szCs w:val="21"/>
              </w:rPr>
              <w:fldChar w:fldCharType="end"/>
            </w:r>
          </w:p>
        </w:tc>
        <w:tc>
          <w:tcPr>
            <w:tcW w:w="709" w:type="dxa"/>
            <w:vAlign w:val="center"/>
          </w:tcPr>
          <w:p>
            <w:pPr>
              <w:adjustRightInd w:val="0"/>
              <w:snapToGrid w:val="0"/>
              <w:jc w:val="center"/>
              <w:rPr>
                <w:rFonts w:ascii="方正仿宋_GBK" w:hAnsi="宋体" w:cs="宋体"/>
                <w:sz w:val="21"/>
                <w:szCs w:val="21"/>
              </w:rPr>
            </w:pPr>
          </w:p>
        </w:tc>
        <w:tc>
          <w:tcPr>
            <w:tcW w:w="1048" w:type="dxa"/>
            <w:vAlign w:val="center"/>
          </w:tcPr>
          <w:p>
            <w:pPr>
              <w:adjustRightInd w:val="0"/>
              <w:snapToGrid w:val="0"/>
              <w:jc w:val="center"/>
              <w:rPr>
                <w:rFonts w:ascii="方正仿宋_GBK" w:hAnsi="宋体" w:cs="宋体"/>
                <w:sz w:val="21"/>
                <w:szCs w:val="21"/>
              </w:rPr>
            </w:pP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2</w:t>
      </w:r>
      <w:r>
        <w:rPr>
          <w:rFonts w:hint="eastAsia" w:ascii="方正仿宋_GBK"/>
          <w:sz w:val="32"/>
          <w:szCs w:val="32"/>
        </w:rPr>
        <w:t>）重庆燃气集团输配分公司D711外环管线</w:t>
      </w:r>
    </w:p>
    <w:p>
      <w:pPr>
        <w:pStyle w:val="46"/>
        <w:ind w:firstLine="632" w:firstLineChars="200"/>
        <w:jc w:val="both"/>
        <w:rPr>
          <w:rFonts w:ascii="方正仿宋_GBK"/>
          <w:sz w:val="32"/>
          <w:szCs w:val="32"/>
        </w:rPr>
      </w:pPr>
      <w:r>
        <w:rPr>
          <w:rFonts w:hint="eastAsia" w:ascii="方正仿宋_GBK"/>
          <w:sz w:val="32"/>
          <w:szCs w:val="32"/>
        </w:rPr>
        <w:t>依据《重庆燃气集团股份有限公司管道维护分公司江北区输气管道高后果区识别报告》（重庆市安全生产科学研究有限公司，202</w:t>
      </w:r>
      <w:r>
        <w:rPr>
          <w:rFonts w:ascii="方正仿宋_GBK"/>
          <w:sz w:val="32"/>
          <w:szCs w:val="32"/>
        </w:rPr>
        <w:t>2</w:t>
      </w:r>
      <w:r>
        <w:rPr>
          <w:rFonts w:hint="eastAsia" w:ascii="方正仿宋_GBK"/>
          <w:sz w:val="32"/>
          <w:szCs w:val="32"/>
        </w:rPr>
        <w:t>.</w:t>
      </w:r>
      <w:r>
        <w:rPr>
          <w:rFonts w:ascii="方正仿宋_GBK"/>
          <w:sz w:val="32"/>
          <w:szCs w:val="32"/>
        </w:rPr>
        <w:t>6</w:t>
      </w:r>
      <w:r>
        <w:rPr>
          <w:rFonts w:hint="eastAsia" w:ascii="方正仿宋_GBK"/>
          <w:sz w:val="32"/>
          <w:szCs w:val="32"/>
        </w:rPr>
        <w:t>），结合现场调查情况，对重庆燃气集团外环管线D711输气管道途径江北辖区内长约12.2km管道进行识别，共识别出2处高后果区管段，如下表所示。</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-5  重庆燃气D711外环管线（江北区）高后果区识别统计表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560"/>
        <w:gridCol w:w="1842"/>
        <w:gridCol w:w="1843"/>
        <w:gridCol w:w="1134"/>
        <w:gridCol w:w="727"/>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8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序号</w:t>
            </w:r>
          </w:p>
        </w:tc>
        <w:tc>
          <w:tcPr>
            <w:tcW w:w="156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位置</w:t>
            </w:r>
          </w:p>
        </w:tc>
        <w:tc>
          <w:tcPr>
            <w:tcW w:w="184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起始GPS坐标</w:t>
            </w:r>
          </w:p>
        </w:tc>
        <w:tc>
          <w:tcPr>
            <w:tcW w:w="1843"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终止GPS坐标</w:t>
            </w:r>
          </w:p>
        </w:tc>
        <w:tc>
          <w:tcPr>
            <w:tcW w:w="1134"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长度（m）</w:t>
            </w:r>
          </w:p>
        </w:tc>
        <w:tc>
          <w:tcPr>
            <w:tcW w:w="727"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等级</w:t>
            </w:r>
          </w:p>
        </w:tc>
        <w:tc>
          <w:tcPr>
            <w:tcW w:w="105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156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复盛镇及鱼复工业园</w:t>
            </w:r>
          </w:p>
        </w:tc>
        <w:tc>
          <w:tcPr>
            <w:tcW w:w="184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29°39′40″N</w:t>
            </w:r>
          </w:p>
          <w:p>
            <w:pPr>
              <w:adjustRightInd w:val="0"/>
              <w:snapToGrid w:val="0"/>
              <w:jc w:val="center"/>
              <w:rPr>
                <w:rFonts w:ascii="方正仿宋_GBK" w:hAnsi="宋体" w:cs="宋体"/>
                <w:sz w:val="21"/>
                <w:szCs w:val="21"/>
              </w:rPr>
            </w:pPr>
            <w:r>
              <w:rPr>
                <w:rFonts w:hint="eastAsia" w:ascii="方正仿宋_GBK" w:hAnsi="宋体" w:cs="宋体"/>
                <w:sz w:val="21"/>
                <w:szCs w:val="21"/>
              </w:rPr>
              <w:t>106°47′11″E</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29°38′02″N</w:t>
            </w:r>
          </w:p>
          <w:p>
            <w:pPr>
              <w:adjustRightInd w:val="0"/>
              <w:snapToGrid w:val="0"/>
              <w:jc w:val="center"/>
              <w:rPr>
                <w:rFonts w:ascii="方正仿宋_GBK" w:hAnsi="宋体" w:cs="宋体"/>
                <w:sz w:val="21"/>
                <w:szCs w:val="21"/>
              </w:rPr>
            </w:pPr>
            <w:r>
              <w:rPr>
                <w:rFonts w:hint="eastAsia" w:ascii="方正仿宋_GBK" w:hAnsi="宋体" w:cs="宋体"/>
                <w:sz w:val="21"/>
                <w:szCs w:val="21"/>
              </w:rPr>
              <w:t>106°46′47″E</w:t>
            </w:r>
          </w:p>
        </w:tc>
        <w:tc>
          <w:tcPr>
            <w:tcW w:w="113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3370</w:t>
            </w:r>
          </w:p>
        </w:tc>
        <w:tc>
          <w:tcPr>
            <w:tcW w:w="727"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Ⅱ级</w:t>
            </w:r>
          </w:p>
        </w:tc>
        <w:tc>
          <w:tcPr>
            <w:tcW w:w="10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三级地区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156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鱼嘴镇果园港及福港大道</w:t>
            </w:r>
          </w:p>
        </w:tc>
        <w:tc>
          <w:tcPr>
            <w:tcW w:w="184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29°37′34″N</w:t>
            </w:r>
          </w:p>
          <w:p>
            <w:pPr>
              <w:adjustRightInd w:val="0"/>
              <w:snapToGrid w:val="0"/>
              <w:jc w:val="center"/>
              <w:rPr>
                <w:rFonts w:ascii="方正仿宋_GBK" w:hAnsi="宋体" w:cs="宋体"/>
                <w:sz w:val="21"/>
                <w:szCs w:val="21"/>
              </w:rPr>
            </w:pPr>
            <w:r>
              <w:rPr>
                <w:rFonts w:hint="eastAsia" w:ascii="方正仿宋_GBK" w:hAnsi="宋体" w:cs="宋体"/>
                <w:sz w:val="21"/>
                <w:szCs w:val="21"/>
              </w:rPr>
              <w:t>106°46′41″E</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29°36′54″N</w:t>
            </w:r>
          </w:p>
          <w:p>
            <w:pPr>
              <w:adjustRightInd w:val="0"/>
              <w:snapToGrid w:val="0"/>
              <w:jc w:val="center"/>
              <w:rPr>
                <w:rFonts w:ascii="方正仿宋_GBK" w:hAnsi="宋体" w:cs="宋体"/>
                <w:sz w:val="21"/>
                <w:szCs w:val="21"/>
              </w:rPr>
            </w:pPr>
            <w:r>
              <w:rPr>
                <w:rFonts w:hint="eastAsia" w:ascii="方正仿宋_GBK" w:hAnsi="宋体" w:cs="宋体"/>
                <w:sz w:val="21"/>
                <w:szCs w:val="21"/>
              </w:rPr>
              <w:t>106°46′19″E</w:t>
            </w:r>
          </w:p>
        </w:tc>
        <w:tc>
          <w:tcPr>
            <w:tcW w:w="113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3100</w:t>
            </w:r>
          </w:p>
        </w:tc>
        <w:tc>
          <w:tcPr>
            <w:tcW w:w="727"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Ⅱ级</w:t>
            </w:r>
          </w:p>
        </w:tc>
        <w:tc>
          <w:tcPr>
            <w:tcW w:w="10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三级地区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8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156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合计长度</w:t>
            </w:r>
          </w:p>
        </w:tc>
        <w:tc>
          <w:tcPr>
            <w:tcW w:w="1842" w:type="dxa"/>
            <w:vAlign w:val="center"/>
          </w:tcPr>
          <w:p>
            <w:pPr>
              <w:adjustRightInd w:val="0"/>
              <w:snapToGrid w:val="0"/>
              <w:jc w:val="center"/>
              <w:rPr>
                <w:rFonts w:ascii="方正仿宋_GBK" w:hAnsi="宋体" w:cs="宋体"/>
                <w:sz w:val="21"/>
                <w:szCs w:val="21"/>
              </w:rPr>
            </w:pPr>
          </w:p>
        </w:tc>
        <w:tc>
          <w:tcPr>
            <w:tcW w:w="1843" w:type="dxa"/>
            <w:vAlign w:val="center"/>
          </w:tcPr>
          <w:p>
            <w:pPr>
              <w:adjustRightInd w:val="0"/>
              <w:snapToGrid w:val="0"/>
              <w:jc w:val="center"/>
              <w:rPr>
                <w:rFonts w:ascii="方正仿宋_GBK" w:hAnsi="宋体" w:cs="宋体"/>
                <w:sz w:val="21"/>
                <w:szCs w:val="21"/>
              </w:rPr>
            </w:pPr>
          </w:p>
        </w:tc>
        <w:tc>
          <w:tcPr>
            <w:tcW w:w="113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6470</w:t>
            </w:r>
          </w:p>
        </w:tc>
        <w:tc>
          <w:tcPr>
            <w:tcW w:w="727" w:type="dxa"/>
            <w:vAlign w:val="center"/>
          </w:tcPr>
          <w:p>
            <w:pPr>
              <w:adjustRightInd w:val="0"/>
              <w:snapToGrid w:val="0"/>
              <w:jc w:val="center"/>
              <w:rPr>
                <w:rFonts w:ascii="方正仿宋_GBK" w:hAnsi="宋体" w:cs="宋体"/>
                <w:sz w:val="21"/>
                <w:szCs w:val="21"/>
              </w:rPr>
            </w:pPr>
          </w:p>
        </w:tc>
        <w:tc>
          <w:tcPr>
            <w:tcW w:w="1059" w:type="dxa"/>
            <w:vAlign w:val="center"/>
          </w:tcPr>
          <w:p>
            <w:pPr>
              <w:adjustRightInd w:val="0"/>
              <w:snapToGrid w:val="0"/>
              <w:jc w:val="center"/>
              <w:rPr>
                <w:rFonts w:ascii="方正仿宋_GBK" w:hAnsi="宋体" w:cs="宋体"/>
                <w:sz w:val="21"/>
                <w:szCs w:val="21"/>
              </w:rPr>
            </w:pP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3</w:t>
      </w:r>
      <w:r>
        <w:rPr>
          <w:rFonts w:hint="eastAsia" w:ascii="方正仿宋_GBK"/>
          <w:sz w:val="32"/>
          <w:szCs w:val="32"/>
        </w:rPr>
        <w:t>）重庆燃气集团输配分公司晏家-鱼嘴输气管线</w:t>
      </w:r>
    </w:p>
    <w:p>
      <w:pPr>
        <w:pStyle w:val="46"/>
        <w:ind w:firstLine="632" w:firstLineChars="200"/>
        <w:jc w:val="both"/>
        <w:rPr>
          <w:rFonts w:ascii="方正仿宋_GBK"/>
          <w:sz w:val="32"/>
          <w:szCs w:val="32"/>
        </w:rPr>
      </w:pPr>
      <w:r>
        <w:rPr>
          <w:rFonts w:hint="eastAsia" w:ascii="方正仿宋_GBK"/>
          <w:sz w:val="32"/>
          <w:szCs w:val="32"/>
        </w:rPr>
        <w:t>依据《重庆燃气集团股份有限公司管道维护分公司江北区输气管道高后果区识别报告》（重庆市安全生产科学研究有限公司，202</w:t>
      </w:r>
      <w:r>
        <w:rPr>
          <w:rFonts w:ascii="方正仿宋_GBK"/>
          <w:sz w:val="32"/>
          <w:szCs w:val="32"/>
        </w:rPr>
        <w:t>2</w:t>
      </w:r>
      <w:r>
        <w:rPr>
          <w:rFonts w:hint="eastAsia" w:ascii="方正仿宋_GBK"/>
          <w:sz w:val="32"/>
          <w:szCs w:val="32"/>
        </w:rPr>
        <w:t>.</w:t>
      </w:r>
      <w:r>
        <w:rPr>
          <w:rFonts w:ascii="方正仿宋_GBK"/>
          <w:sz w:val="32"/>
          <w:szCs w:val="32"/>
        </w:rPr>
        <w:t>6</w:t>
      </w:r>
      <w:r>
        <w:rPr>
          <w:rFonts w:hint="eastAsia" w:ascii="方正仿宋_GBK"/>
          <w:sz w:val="32"/>
          <w:szCs w:val="32"/>
        </w:rPr>
        <w:t>），结合地理信息系统和现场调查情况，对重庆燃气集团输配分公司晏家-鱼嘴D</w:t>
      </w:r>
      <w:r>
        <w:rPr>
          <w:rFonts w:ascii="方正仿宋_GBK"/>
          <w:sz w:val="32"/>
          <w:szCs w:val="32"/>
        </w:rPr>
        <w:t>508</w:t>
      </w:r>
      <w:r>
        <w:rPr>
          <w:rFonts w:hint="eastAsia" w:ascii="方正仿宋_GBK"/>
          <w:sz w:val="32"/>
          <w:szCs w:val="32"/>
        </w:rPr>
        <w:t>输气管线途径江北辖区内长约</w:t>
      </w:r>
      <w:r>
        <w:rPr>
          <w:rFonts w:ascii="方正仿宋_GBK"/>
          <w:sz w:val="32"/>
          <w:szCs w:val="32"/>
        </w:rPr>
        <w:t>10</w:t>
      </w:r>
      <w:r>
        <w:rPr>
          <w:rFonts w:hint="eastAsia" w:ascii="方正仿宋_GBK"/>
          <w:sz w:val="32"/>
          <w:szCs w:val="32"/>
        </w:rPr>
        <w:t>.</w:t>
      </w:r>
      <w:r>
        <w:rPr>
          <w:rFonts w:ascii="方正仿宋_GBK"/>
          <w:sz w:val="32"/>
          <w:szCs w:val="32"/>
        </w:rPr>
        <w:t>4</w:t>
      </w:r>
      <w:r>
        <w:rPr>
          <w:rFonts w:hint="eastAsia" w:ascii="方正仿宋_GBK"/>
          <w:sz w:val="32"/>
          <w:szCs w:val="32"/>
        </w:rPr>
        <w:t>km管道进行识别，晏鱼线江北区段共识别出1处高后果区管段，如下表所示。</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-6  重庆燃气晏鱼线（江北区）高后果区识别统计表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92"/>
        <w:gridCol w:w="1843"/>
        <w:gridCol w:w="1985"/>
        <w:gridCol w:w="992"/>
        <w:gridCol w:w="850"/>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序号</w:t>
            </w:r>
          </w:p>
        </w:tc>
        <w:tc>
          <w:tcPr>
            <w:tcW w:w="99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位置</w:t>
            </w:r>
          </w:p>
        </w:tc>
        <w:tc>
          <w:tcPr>
            <w:tcW w:w="1843"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起始GPS坐标</w:t>
            </w:r>
          </w:p>
        </w:tc>
        <w:tc>
          <w:tcPr>
            <w:tcW w:w="1985"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终止GPS坐标</w:t>
            </w:r>
          </w:p>
        </w:tc>
        <w:tc>
          <w:tcPr>
            <w:tcW w:w="99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长度</w:t>
            </w:r>
          </w:p>
          <w:p>
            <w:pPr>
              <w:adjustRightInd w:val="0"/>
              <w:snapToGrid w:val="0"/>
              <w:jc w:val="center"/>
              <w:rPr>
                <w:rFonts w:ascii="方正仿宋_GBK" w:hAnsi="宋体" w:cs="宋体"/>
                <w:b/>
                <w:sz w:val="21"/>
                <w:szCs w:val="21"/>
              </w:rPr>
            </w:pPr>
            <w:r>
              <w:rPr>
                <w:rFonts w:hint="eastAsia" w:ascii="方正仿宋_GBK" w:hAnsi="宋体" w:cs="宋体"/>
                <w:b/>
                <w:sz w:val="21"/>
                <w:szCs w:val="21"/>
              </w:rPr>
              <w:t>（m）</w:t>
            </w:r>
          </w:p>
        </w:tc>
        <w:tc>
          <w:tcPr>
            <w:tcW w:w="85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等级</w:t>
            </w:r>
          </w:p>
        </w:tc>
        <w:tc>
          <w:tcPr>
            <w:tcW w:w="1474"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99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鱼嘴镇果园港</w:t>
            </w:r>
          </w:p>
        </w:tc>
        <w:tc>
          <w:tcPr>
            <w:tcW w:w="18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29°37'2</w:t>
            </w:r>
            <w:r>
              <w:rPr>
                <w:rFonts w:ascii="方正仿宋_GBK" w:hAnsi="宋体" w:cs="宋体"/>
                <w:sz w:val="21"/>
                <w:szCs w:val="21"/>
              </w:rPr>
              <w:t>0</w:t>
            </w:r>
            <w:r>
              <w:rPr>
                <w:rFonts w:hint="eastAsia" w:ascii="方正仿宋_GBK" w:hAnsi="宋体" w:cs="宋体"/>
                <w:sz w:val="21"/>
                <w:szCs w:val="21"/>
              </w:rPr>
              <w:t>.</w:t>
            </w:r>
            <w:r>
              <w:rPr>
                <w:rFonts w:ascii="方正仿宋_GBK" w:hAnsi="宋体" w:cs="宋体"/>
                <w:sz w:val="21"/>
                <w:szCs w:val="21"/>
              </w:rPr>
              <w:t>63</w:t>
            </w:r>
            <w:r>
              <w:rPr>
                <w:rFonts w:hint="eastAsia" w:ascii="方正仿宋_GBK" w:hAnsi="宋体" w:cs="宋体"/>
                <w:sz w:val="21"/>
                <w:szCs w:val="21"/>
              </w:rPr>
              <w:t>"N</w:t>
            </w:r>
          </w:p>
          <w:p>
            <w:pPr>
              <w:adjustRightInd w:val="0"/>
              <w:snapToGrid w:val="0"/>
              <w:jc w:val="center"/>
              <w:rPr>
                <w:rFonts w:ascii="方正仿宋_GBK" w:hAnsi="宋体" w:cs="宋体"/>
                <w:sz w:val="21"/>
                <w:szCs w:val="21"/>
              </w:rPr>
            </w:pPr>
            <w:r>
              <w:rPr>
                <w:rFonts w:hint="eastAsia" w:ascii="方正仿宋_GBK" w:hAnsi="宋体" w:cs="宋体"/>
                <w:sz w:val="21"/>
                <w:szCs w:val="21"/>
              </w:rPr>
              <w:t>106°47'</w:t>
            </w:r>
            <w:r>
              <w:rPr>
                <w:rFonts w:ascii="方正仿宋_GBK" w:hAnsi="宋体" w:cs="宋体"/>
                <w:sz w:val="21"/>
                <w:szCs w:val="21"/>
              </w:rPr>
              <w:t>56</w:t>
            </w:r>
            <w:r>
              <w:rPr>
                <w:rFonts w:hint="eastAsia" w:ascii="方正仿宋_GBK" w:hAnsi="宋体" w:cs="宋体"/>
                <w:sz w:val="21"/>
                <w:szCs w:val="21"/>
              </w:rPr>
              <w:t>.</w:t>
            </w:r>
            <w:r>
              <w:rPr>
                <w:rFonts w:ascii="方正仿宋_GBK" w:hAnsi="宋体" w:cs="宋体"/>
                <w:sz w:val="21"/>
                <w:szCs w:val="21"/>
              </w:rPr>
              <w:t>62</w:t>
            </w:r>
            <w:r>
              <w:rPr>
                <w:rFonts w:hint="eastAsia" w:ascii="方正仿宋_GBK" w:hAnsi="宋体" w:cs="宋体"/>
                <w:sz w:val="21"/>
                <w:szCs w:val="21"/>
              </w:rPr>
              <w:t>"E</w:t>
            </w:r>
          </w:p>
        </w:tc>
        <w:tc>
          <w:tcPr>
            <w:tcW w:w="198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29°37'</w:t>
            </w:r>
            <w:r>
              <w:rPr>
                <w:rFonts w:ascii="方正仿宋_GBK" w:hAnsi="宋体" w:cs="宋体"/>
                <w:sz w:val="21"/>
                <w:szCs w:val="21"/>
              </w:rPr>
              <w:t>2</w:t>
            </w:r>
            <w:r>
              <w:rPr>
                <w:rFonts w:hint="eastAsia" w:ascii="方正仿宋_GBK" w:hAnsi="宋体" w:cs="宋体"/>
                <w:sz w:val="21"/>
                <w:szCs w:val="21"/>
              </w:rPr>
              <w:t>2.</w:t>
            </w:r>
            <w:r>
              <w:rPr>
                <w:rFonts w:ascii="方正仿宋_GBK" w:hAnsi="宋体" w:cs="宋体"/>
                <w:sz w:val="21"/>
                <w:szCs w:val="21"/>
              </w:rPr>
              <w:t>66</w:t>
            </w:r>
            <w:r>
              <w:rPr>
                <w:rFonts w:hint="eastAsia" w:ascii="方正仿宋_GBK" w:hAnsi="宋体" w:cs="宋体"/>
                <w:sz w:val="21"/>
                <w:szCs w:val="21"/>
              </w:rPr>
              <w:t>"N</w:t>
            </w:r>
          </w:p>
          <w:p>
            <w:pPr>
              <w:adjustRightInd w:val="0"/>
              <w:snapToGrid w:val="0"/>
              <w:jc w:val="center"/>
              <w:rPr>
                <w:rFonts w:ascii="方正仿宋_GBK" w:hAnsi="宋体" w:cs="宋体"/>
                <w:sz w:val="21"/>
                <w:szCs w:val="21"/>
              </w:rPr>
            </w:pPr>
            <w:r>
              <w:rPr>
                <w:rFonts w:hint="eastAsia" w:ascii="方正仿宋_GBK" w:hAnsi="宋体" w:cs="宋体"/>
                <w:sz w:val="21"/>
                <w:szCs w:val="21"/>
              </w:rPr>
              <w:t>106°47'</w:t>
            </w:r>
            <w:r>
              <w:rPr>
                <w:rFonts w:ascii="方正仿宋_GBK" w:hAnsi="宋体" w:cs="宋体"/>
                <w:sz w:val="21"/>
                <w:szCs w:val="21"/>
              </w:rPr>
              <w:t>24</w:t>
            </w:r>
            <w:r>
              <w:rPr>
                <w:rFonts w:hint="eastAsia" w:ascii="方正仿宋_GBK" w:hAnsi="宋体" w:cs="宋体"/>
                <w:sz w:val="21"/>
                <w:szCs w:val="21"/>
              </w:rPr>
              <w:t>.</w:t>
            </w:r>
            <w:r>
              <w:rPr>
                <w:rFonts w:ascii="方正仿宋_GBK" w:hAnsi="宋体" w:cs="宋体"/>
                <w:sz w:val="21"/>
                <w:szCs w:val="21"/>
              </w:rPr>
              <w:t>3</w:t>
            </w:r>
            <w:r>
              <w:rPr>
                <w:rFonts w:hint="eastAsia" w:ascii="方正仿宋_GBK" w:hAnsi="宋体" w:cs="宋体"/>
                <w:sz w:val="21"/>
                <w:szCs w:val="21"/>
              </w:rPr>
              <w:t>8"E</w:t>
            </w:r>
          </w:p>
        </w:tc>
        <w:tc>
          <w:tcPr>
            <w:tcW w:w="992" w:type="dxa"/>
            <w:vAlign w:val="center"/>
          </w:tcPr>
          <w:p>
            <w:pPr>
              <w:adjustRightInd w:val="0"/>
              <w:snapToGrid w:val="0"/>
              <w:jc w:val="center"/>
              <w:rPr>
                <w:rFonts w:ascii="方正仿宋_GBK" w:hAnsi="宋体" w:cs="宋体"/>
                <w:sz w:val="21"/>
                <w:szCs w:val="21"/>
              </w:rPr>
            </w:pPr>
            <w:r>
              <w:rPr>
                <w:rFonts w:ascii="方正仿宋_GBK" w:hAnsi="宋体" w:cs="宋体"/>
                <w:sz w:val="21"/>
                <w:szCs w:val="21"/>
              </w:rPr>
              <w:t>872</w:t>
            </w:r>
          </w:p>
        </w:tc>
        <w:tc>
          <w:tcPr>
            <w:tcW w:w="85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Ⅱ级</w:t>
            </w:r>
          </w:p>
        </w:tc>
        <w:tc>
          <w:tcPr>
            <w:tcW w:w="1474"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三级地区</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4</w:t>
      </w:r>
      <w:r>
        <w:rPr>
          <w:rFonts w:hint="eastAsia" w:ascii="方正仿宋_GBK"/>
          <w:sz w:val="32"/>
          <w:szCs w:val="32"/>
        </w:rPr>
        <w:t>）重庆气矿江北天然气运销部卧渝线C段</w:t>
      </w:r>
    </w:p>
    <w:p>
      <w:pPr>
        <w:pStyle w:val="46"/>
        <w:ind w:firstLine="632" w:firstLineChars="200"/>
        <w:jc w:val="both"/>
        <w:rPr>
          <w:rFonts w:ascii="方正仿宋_GBK"/>
          <w:sz w:val="32"/>
          <w:szCs w:val="32"/>
        </w:rPr>
      </w:pPr>
      <w:r>
        <w:rPr>
          <w:rFonts w:hint="eastAsia" w:ascii="方正仿宋_GBK"/>
          <w:sz w:val="32"/>
          <w:szCs w:val="32"/>
        </w:rPr>
        <w:t>依据《江北天然气运销部卧渝线C段（江北区段）高后果区识别报告》（江北天然气运销部，202</w:t>
      </w:r>
      <w:r>
        <w:rPr>
          <w:rFonts w:ascii="方正仿宋_GBK"/>
          <w:sz w:val="32"/>
          <w:szCs w:val="32"/>
        </w:rPr>
        <w:t>1</w:t>
      </w:r>
      <w:r>
        <w:rPr>
          <w:rFonts w:hint="eastAsia" w:ascii="方正仿宋_GBK"/>
          <w:sz w:val="32"/>
          <w:szCs w:val="32"/>
        </w:rPr>
        <w:t>.1</w:t>
      </w:r>
      <w:r>
        <w:rPr>
          <w:rFonts w:ascii="方正仿宋_GBK"/>
          <w:sz w:val="32"/>
          <w:szCs w:val="32"/>
        </w:rPr>
        <w:t>2</w:t>
      </w:r>
      <w:r>
        <w:rPr>
          <w:rFonts w:hint="eastAsia" w:ascii="方正仿宋_GBK"/>
          <w:sz w:val="32"/>
          <w:szCs w:val="32"/>
        </w:rPr>
        <w:t>），结合地理信息系统和现场调查情况，卧渝线C段途径江北辖区内长约</w:t>
      </w:r>
      <w:r>
        <w:rPr>
          <w:rFonts w:ascii="方正仿宋_GBK"/>
          <w:sz w:val="32"/>
          <w:szCs w:val="32"/>
        </w:rPr>
        <w:t>3.5</w:t>
      </w:r>
      <w:r>
        <w:rPr>
          <w:rFonts w:hint="eastAsia" w:ascii="方正仿宋_GBK"/>
          <w:sz w:val="32"/>
          <w:szCs w:val="32"/>
        </w:rPr>
        <w:t>km管道均属于高后果区管段，如下表所示。</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表1.</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-7  江北</w:t>
      </w:r>
      <w:r>
        <w:rPr>
          <w:rFonts w:hint="eastAsia" w:ascii="方正黑体_GBK" w:hAnsi="Times New Roman" w:eastAsia="方正黑体_GBK" w:cs="Times New Roman"/>
          <w:bCs/>
          <w:kern w:val="44"/>
          <w:sz w:val="28"/>
          <w:szCs w:val="28"/>
        </w:rPr>
        <w:t>天然气</w:t>
      </w:r>
      <w:r>
        <w:rPr>
          <w:rFonts w:hint="eastAsia" w:ascii="方正黑体_GBK" w:hAnsi="Times New Roman" w:eastAsia="方正黑体_GBK" w:cs="Times New Roman"/>
          <w:bCs/>
          <w:kern w:val="44"/>
          <w:sz w:val="28"/>
          <w:szCs w:val="28"/>
          <w:lang w:val="zh-CN"/>
        </w:rPr>
        <w:t>运销部卧渝线C段（江北区）高后果区识别统计表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08"/>
        <w:gridCol w:w="1418"/>
        <w:gridCol w:w="1417"/>
        <w:gridCol w:w="709"/>
        <w:gridCol w:w="709"/>
        <w:gridCol w:w="3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42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序号</w:t>
            </w:r>
          </w:p>
        </w:tc>
        <w:tc>
          <w:tcPr>
            <w:tcW w:w="708"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位置</w:t>
            </w:r>
          </w:p>
        </w:tc>
        <w:tc>
          <w:tcPr>
            <w:tcW w:w="1418"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起始GPS坐标</w:t>
            </w:r>
          </w:p>
        </w:tc>
        <w:tc>
          <w:tcPr>
            <w:tcW w:w="1417"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终止GPS坐标</w:t>
            </w:r>
          </w:p>
        </w:tc>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长度（m）</w:t>
            </w:r>
          </w:p>
        </w:tc>
        <w:tc>
          <w:tcPr>
            <w:tcW w:w="7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等级</w:t>
            </w:r>
          </w:p>
        </w:tc>
        <w:tc>
          <w:tcPr>
            <w:tcW w:w="3458"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2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70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大石坝-嘉陵江</w:t>
            </w:r>
          </w:p>
        </w:tc>
        <w:tc>
          <w:tcPr>
            <w:tcW w:w="141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29°34'38.13"N</w:t>
            </w:r>
          </w:p>
          <w:p>
            <w:pPr>
              <w:adjustRightInd w:val="0"/>
              <w:snapToGrid w:val="0"/>
              <w:jc w:val="center"/>
              <w:rPr>
                <w:rFonts w:ascii="方正仿宋_GBK" w:hAnsi="宋体" w:cs="宋体"/>
                <w:sz w:val="21"/>
                <w:szCs w:val="21"/>
              </w:rPr>
            </w:pPr>
            <w:r>
              <w:rPr>
                <w:rFonts w:hint="eastAsia" w:ascii="方正仿宋_GBK" w:hAnsi="宋体" w:cs="宋体"/>
                <w:sz w:val="21"/>
                <w:szCs w:val="21"/>
              </w:rPr>
              <w:t>106°29'53.31"E</w:t>
            </w:r>
          </w:p>
        </w:tc>
        <w:tc>
          <w:tcPr>
            <w:tcW w:w="1417"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29°33'30.18"N</w:t>
            </w:r>
          </w:p>
          <w:p>
            <w:pPr>
              <w:adjustRightInd w:val="0"/>
              <w:snapToGrid w:val="0"/>
              <w:jc w:val="center"/>
              <w:rPr>
                <w:rFonts w:ascii="方正仿宋_GBK" w:hAnsi="宋体" w:cs="宋体"/>
                <w:sz w:val="21"/>
                <w:szCs w:val="21"/>
              </w:rPr>
            </w:pPr>
            <w:r>
              <w:rPr>
                <w:rFonts w:hint="eastAsia" w:ascii="方正仿宋_GBK" w:hAnsi="宋体" w:cs="宋体"/>
                <w:sz w:val="21"/>
                <w:szCs w:val="21"/>
              </w:rPr>
              <w:t>106°29'29.74"E</w:t>
            </w:r>
          </w:p>
        </w:tc>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3500</w:t>
            </w:r>
          </w:p>
        </w:tc>
        <w:tc>
          <w:tcPr>
            <w:tcW w:w="7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Ⅲ级</w:t>
            </w:r>
          </w:p>
        </w:tc>
        <w:tc>
          <w:tcPr>
            <w:tcW w:w="3458"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四级地区，管道200m范围内存在学校、医院、小区、商圈、轻轨站等人口密集区域，沿线分布江北区科技实验小学、科技实验小学附属幼儿园、二</w:t>
            </w:r>
            <w:r>
              <w:rPr>
                <w:rFonts w:hint="eastAsia" w:ascii="方正仿宋_GBK" w:hAnsi="微软雅黑" w:cs="微软雅黑"/>
                <w:sz w:val="21"/>
                <w:szCs w:val="21"/>
              </w:rPr>
              <w:t>〇</w:t>
            </w:r>
            <w:r>
              <w:rPr>
                <w:rFonts w:hint="eastAsia" w:ascii="方正仿宋_GBK" w:hAnsi="仿宋_GB2312" w:cs="仿宋_GB2312"/>
                <w:sz w:val="21"/>
                <w:szCs w:val="21"/>
              </w:rPr>
              <w:t>三中学、骑士医院、重庆三博江陵医院、东源</w:t>
            </w:r>
            <w:r>
              <w:rPr>
                <w:rFonts w:hint="eastAsia" w:ascii="方正仿宋_GBK" w:hAnsi="宋体" w:cs="宋体"/>
                <w:sz w:val="21"/>
                <w:szCs w:val="21"/>
              </w:rPr>
              <w:t>D7商业街等</w:t>
            </w:r>
          </w:p>
        </w:tc>
      </w:tr>
    </w:tbl>
    <w:p>
      <w:pPr>
        <w:pStyle w:val="3"/>
        <w:pageBreakBefore/>
        <w:adjustRightInd w:val="0"/>
        <w:snapToGrid w:val="0"/>
        <w:spacing w:before="100" w:beforeAutospacing="1" w:after="100" w:afterAutospacing="1" w:line="240" w:lineRule="auto"/>
        <w:jc w:val="center"/>
        <w:rPr>
          <w:rFonts w:ascii="方正黑体_GBK" w:hAnsi="Times New Roman" w:eastAsia="方正黑体_GBK"/>
          <w:b w:val="0"/>
          <w:bCs/>
          <w:sz w:val="32"/>
          <w:szCs w:val="32"/>
        </w:rPr>
      </w:pPr>
      <w:bookmarkStart w:id="6" w:name="_Toc113279517"/>
      <w:r>
        <w:rPr>
          <w:rFonts w:ascii="方正黑体_GBK" w:hAnsi="Times New Roman" w:eastAsia="方正黑体_GBK"/>
          <w:b w:val="0"/>
          <w:bCs/>
          <w:sz w:val="32"/>
          <w:szCs w:val="32"/>
        </w:rPr>
        <w:t>2</w:t>
      </w:r>
      <w:r>
        <w:rPr>
          <w:rFonts w:hint="eastAsia" w:ascii="方正黑体_GBK" w:hAnsi="Times New Roman" w:eastAsia="方正黑体_GBK"/>
          <w:b w:val="0"/>
          <w:bCs/>
          <w:sz w:val="32"/>
          <w:szCs w:val="32"/>
        </w:rPr>
        <w:t xml:space="preserve">  事故风险分析</w:t>
      </w:r>
      <w:bookmarkEnd w:id="6"/>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7" w:name="_Toc113279518"/>
      <w:r>
        <w:rPr>
          <w:rFonts w:ascii="方正楷体_GBK" w:hAnsi="方正楷体_GBK" w:eastAsia="方正楷体_GBK" w:cs="方正楷体_GBK"/>
          <w:b w:val="0"/>
          <w:bCs w:val="0"/>
        </w:rPr>
        <w:t>2</w:t>
      </w:r>
      <w:r>
        <w:rPr>
          <w:rFonts w:hint="eastAsia" w:ascii="方正楷体_GBK" w:hAnsi="方正楷体_GBK" w:eastAsia="方正楷体_GBK" w:cs="方正楷体_GBK"/>
          <w:b w:val="0"/>
          <w:bCs w:val="0"/>
        </w:rPr>
        <w:t>.1  事故风险类型</w:t>
      </w:r>
      <w:bookmarkEnd w:id="7"/>
    </w:p>
    <w:p>
      <w:pPr>
        <w:pStyle w:val="46"/>
        <w:ind w:firstLine="632" w:firstLineChars="200"/>
        <w:jc w:val="both"/>
        <w:rPr>
          <w:rFonts w:ascii="方正仿宋_GBK"/>
          <w:sz w:val="32"/>
          <w:szCs w:val="32"/>
        </w:rPr>
      </w:pPr>
      <w:r>
        <w:rPr>
          <w:rFonts w:hint="eastAsia" w:ascii="方正仿宋_GBK"/>
          <w:sz w:val="32"/>
          <w:szCs w:val="32"/>
        </w:rPr>
        <w:t>航空煤油易燃，其蒸汽和空气混合能形成爆炸性混合物，具有刺激性，对环境有害，一旦发生泄漏，易造成火灾、爆炸、环境污染等事故类型。</w:t>
      </w:r>
    </w:p>
    <w:p>
      <w:pPr>
        <w:pStyle w:val="46"/>
        <w:ind w:firstLine="632" w:firstLineChars="200"/>
        <w:jc w:val="both"/>
        <w:rPr>
          <w:rFonts w:ascii="方正仿宋_GBK"/>
          <w:sz w:val="32"/>
          <w:szCs w:val="32"/>
        </w:rPr>
      </w:pPr>
      <w:r>
        <w:rPr>
          <w:rFonts w:hint="eastAsia" w:ascii="方正仿宋_GBK"/>
          <w:sz w:val="32"/>
          <w:szCs w:val="32"/>
        </w:rPr>
        <w:t>天然气主要成分是甲烷，还含有微量乙烷、丁烷、戊烷、二氧化碳、一氧化碳、硫化氢等，具有易燃、易爆、易扩散等特性。一旦发生泄漏，可能造成火灾、爆炸、窒息等危险。</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8" w:name="_Toc113279519"/>
      <w:r>
        <w:rPr>
          <w:rFonts w:ascii="方正楷体_GBK" w:hAnsi="方正楷体_GBK" w:eastAsia="方正楷体_GBK" w:cs="方正楷体_GBK"/>
          <w:b w:val="0"/>
          <w:bCs w:val="0"/>
        </w:rPr>
        <w:t>2</w:t>
      </w:r>
      <w:r>
        <w:rPr>
          <w:rFonts w:hint="eastAsia" w:ascii="方正楷体_GBK" w:hAnsi="方正楷体_GBK" w:eastAsia="方正楷体_GBK" w:cs="方正楷体_GBK"/>
          <w:b w:val="0"/>
          <w:bCs w:val="0"/>
        </w:rPr>
        <w:t>.</w:t>
      </w:r>
      <w:r>
        <w:rPr>
          <w:rFonts w:ascii="方正楷体_GBK" w:hAnsi="方正楷体_GBK" w:eastAsia="方正楷体_GBK" w:cs="方正楷体_GBK"/>
          <w:b w:val="0"/>
          <w:bCs w:val="0"/>
        </w:rPr>
        <w:t>2</w:t>
      </w:r>
      <w:r>
        <w:rPr>
          <w:rFonts w:hint="eastAsia" w:ascii="方正楷体_GBK" w:hAnsi="方正楷体_GBK" w:eastAsia="方正楷体_GBK" w:cs="方正楷体_GBK"/>
          <w:b w:val="0"/>
          <w:bCs w:val="0"/>
        </w:rPr>
        <w:t xml:space="preserve">  输气管道潜在影响半径分析</w:t>
      </w:r>
      <w:bookmarkEnd w:id="8"/>
    </w:p>
    <w:p>
      <w:pPr>
        <w:pStyle w:val="46"/>
        <w:ind w:firstLine="632" w:firstLineChars="200"/>
        <w:jc w:val="both"/>
        <w:rPr>
          <w:rFonts w:ascii="方正仿宋_GBK"/>
          <w:sz w:val="32"/>
          <w:szCs w:val="32"/>
        </w:rPr>
      </w:pPr>
      <w:r>
        <w:rPr>
          <w:rFonts w:hint="eastAsia" w:ascii="方正仿宋_GBK"/>
          <w:sz w:val="32"/>
          <w:szCs w:val="32"/>
        </w:rPr>
        <w:t>江北区内现有三条天然气长输管道经过，分别是重燃外环管线江北区段、晏鱼线江北区段、卧渝线C段江北区段。</w:t>
      </w:r>
    </w:p>
    <w:p>
      <w:pPr>
        <w:pStyle w:val="46"/>
        <w:ind w:firstLine="632" w:firstLineChars="200"/>
        <w:jc w:val="both"/>
        <w:rPr>
          <w:rFonts w:ascii="方正仿宋_GBK"/>
          <w:sz w:val="32"/>
          <w:szCs w:val="32"/>
        </w:rPr>
      </w:pPr>
      <w:r>
        <w:rPr>
          <w:rFonts w:hint="eastAsia" w:ascii="方正仿宋_GBK"/>
          <w:sz w:val="32"/>
          <w:szCs w:val="32"/>
        </w:rPr>
        <w:t>重燃外环管线江北段长约12.2km，管道设计压力4.5MPa，管径D711。晏鱼线江北段长约10.4km，管道设计压力4.5MPa，管径D508。卧渝线C段大石坝站至嘉陵江边全长约3</w:t>
      </w:r>
      <w:r>
        <w:rPr>
          <w:rFonts w:ascii="方正仿宋_GBK"/>
          <w:sz w:val="32"/>
          <w:szCs w:val="32"/>
        </w:rPr>
        <w:t>.5</w:t>
      </w:r>
      <w:r>
        <w:rPr>
          <w:rFonts w:hint="eastAsia" w:ascii="方正仿宋_GBK"/>
          <w:sz w:val="32"/>
          <w:szCs w:val="32"/>
        </w:rPr>
        <w:t>km，管道设计压力</w:t>
      </w:r>
      <w:r>
        <w:rPr>
          <w:rFonts w:ascii="方正仿宋_GBK"/>
          <w:sz w:val="32"/>
          <w:szCs w:val="32"/>
        </w:rPr>
        <w:t>2.5</w:t>
      </w:r>
      <w:r>
        <w:rPr>
          <w:rFonts w:hint="eastAsia" w:ascii="方正仿宋_GBK"/>
          <w:sz w:val="32"/>
          <w:szCs w:val="32"/>
        </w:rPr>
        <w:t>MPa，管径D426。</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1</w:t>
      </w:r>
      <w:r>
        <w:rPr>
          <w:rFonts w:hint="eastAsia" w:ascii="方正仿宋_GBK"/>
          <w:sz w:val="32"/>
          <w:szCs w:val="32"/>
        </w:rPr>
        <w:t>）潜在影响半径计算依据</w:t>
      </w:r>
    </w:p>
    <w:p>
      <w:pPr>
        <w:pStyle w:val="46"/>
        <w:ind w:firstLine="632" w:firstLineChars="200"/>
        <w:jc w:val="both"/>
        <w:rPr>
          <w:rFonts w:ascii="方正仿宋_GBK"/>
          <w:sz w:val="32"/>
          <w:szCs w:val="32"/>
        </w:rPr>
      </w:pPr>
      <w:r>
        <w:rPr>
          <w:rFonts w:hint="eastAsia" w:ascii="方正仿宋_GBK"/>
          <w:sz w:val="32"/>
          <w:szCs w:val="32"/>
        </w:rPr>
        <w:t>根据《油气输送管道完整性管理规范》（GB 32167-2015）第6.1.3.2条，天然气输气管道潜在影响半径可按下式计算：</w:t>
      </w:r>
    </w:p>
    <w:p>
      <w:pPr>
        <w:adjustRightInd w:val="0"/>
        <w:snapToGrid w:val="0"/>
        <w:spacing w:line="360" w:lineRule="auto"/>
        <w:jc w:val="center"/>
        <w:rPr>
          <w:rFonts w:ascii="仿宋_GB2312" w:eastAsia="仿宋_GB2312"/>
          <w:szCs w:val="32"/>
        </w:rPr>
      </w:pPr>
      <w:r>
        <w:rPr>
          <w:rFonts w:hint="eastAsia" w:ascii="仿宋_GB2312" w:eastAsia="仿宋_GB2312"/>
          <w:szCs w:val="32"/>
        </w:rPr>
        <w:t>r=0.099</w:t>
      </w:r>
      <m:oMath>
        <m:rad>
          <m:radPr>
            <m:degHide m:val="1"/>
            <m:ctrlPr>
              <w:rPr>
                <w:rFonts w:hint="eastAsia" w:ascii="Cambria Math" w:hAnsi="Cambria Math" w:eastAsia="仿宋_GB2312"/>
                <w:i/>
                <w:szCs w:val="32"/>
              </w:rPr>
            </m:ctrlPr>
          </m:radPr>
          <m:deg>
            <m:ctrlPr>
              <w:rPr>
                <w:rFonts w:hint="eastAsia" w:ascii="Cambria Math" w:hAnsi="Cambria Math" w:eastAsia="仿宋_GB2312"/>
                <w:i/>
                <w:szCs w:val="32"/>
              </w:rPr>
            </m:ctrlPr>
          </m:deg>
          <m:e>
            <m:sSup>
              <m:sSupPr>
                <m:ctrlPr>
                  <w:rPr>
                    <w:rFonts w:hint="eastAsia" w:ascii="Cambria Math" w:hAnsi="Cambria Math" w:eastAsia="仿宋_GB2312"/>
                    <w:i/>
                    <w:szCs w:val="32"/>
                  </w:rPr>
                </m:ctrlPr>
              </m:sSupPr>
              <m:e>
                <m:r>
                  <w:rPr>
                    <w:rFonts w:hint="eastAsia" w:ascii="Cambria Math" w:hAnsi="Cambria Math" w:eastAsia="仿宋_GB2312"/>
                    <w:szCs w:val="32"/>
                  </w:rPr>
                  <m:t>d</m:t>
                </m:r>
                <m:ctrlPr>
                  <w:rPr>
                    <w:rFonts w:hint="eastAsia" w:ascii="Cambria Math" w:hAnsi="Cambria Math" w:eastAsia="仿宋_GB2312"/>
                    <w:i/>
                    <w:szCs w:val="32"/>
                  </w:rPr>
                </m:ctrlPr>
              </m:e>
              <m:sup>
                <m:r>
                  <w:rPr>
                    <w:rFonts w:hint="eastAsia" w:ascii="Cambria Math" w:hAnsi="Cambria Math" w:eastAsia="仿宋_GB2312"/>
                    <w:szCs w:val="32"/>
                  </w:rPr>
                  <m:t>2</m:t>
                </m:r>
                <m:ctrlPr>
                  <w:rPr>
                    <w:rFonts w:hint="eastAsia" w:ascii="Cambria Math" w:hAnsi="Cambria Math" w:eastAsia="仿宋_GB2312"/>
                    <w:i/>
                    <w:szCs w:val="32"/>
                  </w:rPr>
                </m:ctrlPr>
              </m:sup>
            </m:sSup>
            <m:r>
              <w:rPr>
                <w:rFonts w:hint="eastAsia" w:ascii="Cambria Math" w:hAnsi="Cambria Math" w:eastAsia="仿宋_GB2312"/>
                <w:szCs w:val="32"/>
              </w:rPr>
              <m:t>p</m:t>
            </m:r>
            <m:ctrlPr>
              <w:rPr>
                <w:rFonts w:hint="eastAsia" w:ascii="Cambria Math" w:hAnsi="Cambria Math" w:eastAsia="仿宋_GB2312"/>
                <w:i/>
                <w:szCs w:val="32"/>
              </w:rPr>
            </m:ctrlPr>
          </m:e>
        </m:rad>
      </m:oMath>
      <w:r>
        <w:rPr>
          <w:rFonts w:hint="eastAsia" w:ascii="仿宋_GB2312" w:eastAsia="仿宋_GB2312"/>
          <w:szCs w:val="32"/>
        </w:rPr>
        <w:t xml:space="preserve">            （公式</w:t>
      </w:r>
      <w:r>
        <w:rPr>
          <w:rFonts w:ascii="仿宋_GB2312" w:eastAsia="仿宋_GB2312"/>
          <w:szCs w:val="32"/>
        </w:rPr>
        <w:t>2.2</w:t>
      </w:r>
      <w:r>
        <w:rPr>
          <w:rFonts w:hint="eastAsia" w:ascii="仿宋_GB2312" w:eastAsia="仿宋_GB2312"/>
          <w:szCs w:val="32"/>
        </w:rPr>
        <w:t>-1）</w:t>
      </w:r>
    </w:p>
    <w:p>
      <w:pPr>
        <w:pStyle w:val="46"/>
        <w:ind w:firstLine="632" w:firstLineChars="200"/>
        <w:jc w:val="both"/>
        <w:rPr>
          <w:rFonts w:ascii="方正仿宋_GBK"/>
          <w:sz w:val="32"/>
          <w:szCs w:val="32"/>
        </w:rPr>
      </w:pPr>
      <w:r>
        <w:rPr>
          <w:rFonts w:hint="eastAsia" w:ascii="方正仿宋_GBK"/>
          <w:sz w:val="32"/>
          <w:szCs w:val="32"/>
        </w:rPr>
        <w:t>式中：r——受影响区域的半径，单位为米（</w:t>
      </w:r>
      <w:r>
        <w:rPr>
          <w:rFonts w:ascii="方正仿宋_GBK"/>
          <w:sz w:val="32"/>
          <w:szCs w:val="32"/>
        </w:rPr>
        <w:t>m</w:t>
      </w:r>
      <w:r>
        <w:rPr>
          <w:rFonts w:hint="eastAsia" w:ascii="方正仿宋_GBK"/>
          <w:sz w:val="32"/>
          <w:szCs w:val="32"/>
        </w:rPr>
        <w:t>）；</w:t>
      </w:r>
    </w:p>
    <w:p>
      <w:pPr>
        <w:pStyle w:val="46"/>
        <w:ind w:left="632" w:leftChars="200" w:firstLine="948" w:firstLineChars="300"/>
        <w:jc w:val="both"/>
        <w:rPr>
          <w:rFonts w:ascii="方正仿宋_GBK"/>
          <w:sz w:val="32"/>
          <w:szCs w:val="32"/>
        </w:rPr>
      </w:pPr>
      <w:r>
        <w:rPr>
          <w:rFonts w:ascii="方正仿宋_GBK"/>
          <w:sz w:val="32"/>
          <w:szCs w:val="32"/>
        </w:rPr>
        <w:t>d</w:t>
      </w:r>
      <w:r>
        <w:rPr>
          <w:rFonts w:hint="eastAsia" w:ascii="方正仿宋_GBK"/>
          <w:sz w:val="32"/>
          <w:szCs w:val="32"/>
        </w:rPr>
        <w:t>——管道外径，单位为毫米（m</w:t>
      </w:r>
      <w:r>
        <w:rPr>
          <w:rFonts w:ascii="方正仿宋_GBK"/>
          <w:sz w:val="32"/>
          <w:szCs w:val="32"/>
        </w:rPr>
        <w:t>m</w:t>
      </w:r>
      <w:r>
        <w:rPr>
          <w:rFonts w:hint="eastAsia" w:ascii="方正仿宋_GBK"/>
          <w:sz w:val="32"/>
          <w:szCs w:val="32"/>
        </w:rPr>
        <w:t>）；</w:t>
      </w:r>
    </w:p>
    <w:p>
      <w:pPr>
        <w:pStyle w:val="46"/>
        <w:ind w:left="632" w:leftChars="200" w:firstLine="948" w:firstLineChars="300"/>
        <w:jc w:val="both"/>
        <w:rPr>
          <w:rFonts w:ascii="方正仿宋_GBK"/>
          <w:sz w:val="32"/>
          <w:szCs w:val="32"/>
        </w:rPr>
      </w:pPr>
      <w:r>
        <w:rPr>
          <w:rFonts w:ascii="方正仿宋_GBK"/>
          <w:sz w:val="32"/>
          <w:szCs w:val="32"/>
        </w:rPr>
        <w:t>p</w:t>
      </w:r>
      <w:r>
        <w:rPr>
          <w:rFonts w:hint="eastAsia" w:ascii="方正仿宋_GBK"/>
          <w:sz w:val="32"/>
          <w:szCs w:val="32"/>
        </w:rPr>
        <w:t>——管段最大允许操作压力（M</w:t>
      </w:r>
      <w:r>
        <w:rPr>
          <w:rFonts w:ascii="方正仿宋_GBK"/>
          <w:sz w:val="32"/>
          <w:szCs w:val="32"/>
        </w:rPr>
        <w:t>AOP</w:t>
      </w:r>
      <w:r>
        <w:rPr>
          <w:rFonts w:hint="eastAsia" w:ascii="方正仿宋_GBK"/>
          <w:sz w:val="32"/>
          <w:szCs w:val="32"/>
        </w:rPr>
        <w:t>），单位为兆帕（M</w:t>
      </w:r>
      <w:r>
        <w:rPr>
          <w:rFonts w:ascii="方正仿宋_GBK"/>
          <w:sz w:val="32"/>
          <w:szCs w:val="32"/>
        </w:rPr>
        <w:t>Pa</w:t>
      </w:r>
      <w:r>
        <w:rPr>
          <w:rFonts w:hint="eastAsia" w:ascii="方正仿宋_GBK"/>
          <w:sz w:val="32"/>
          <w:szCs w:val="32"/>
        </w:rPr>
        <w:t>）。</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2</w:t>
      </w:r>
      <w:r>
        <w:rPr>
          <w:rFonts w:hint="eastAsia" w:ascii="方正仿宋_GBK"/>
          <w:sz w:val="32"/>
          <w:szCs w:val="32"/>
        </w:rPr>
        <w:t>）外环管线潜在影响半径计算</w:t>
      </w:r>
    </w:p>
    <w:p>
      <w:pPr>
        <w:pStyle w:val="46"/>
        <w:ind w:firstLine="632" w:firstLineChars="200"/>
        <w:jc w:val="both"/>
        <w:rPr>
          <w:rFonts w:ascii="方正仿宋_GBK"/>
          <w:sz w:val="32"/>
          <w:szCs w:val="32"/>
        </w:rPr>
      </w:pPr>
      <w:r>
        <w:rPr>
          <w:rFonts w:hint="eastAsia" w:ascii="方正仿宋_GBK"/>
          <w:sz w:val="32"/>
          <w:szCs w:val="32"/>
        </w:rPr>
        <w:t>外环燃气管线潜在影响半径r=0.099×711×4.5</w:t>
      </w:r>
      <w:r>
        <w:rPr>
          <w:rFonts w:hint="eastAsia" w:ascii="方正仿宋_GBK"/>
          <w:sz w:val="32"/>
          <w:szCs w:val="32"/>
          <w:vertAlign w:val="superscript"/>
        </w:rPr>
        <w:t>1/2</w:t>
      </w:r>
      <w:r>
        <w:rPr>
          <w:rFonts w:hint="eastAsia" w:ascii="方正仿宋_GBK"/>
          <w:sz w:val="32"/>
          <w:szCs w:val="32"/>
        </w:rPr>
        <w:t>=149.32m</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3</w:t>
      </w:r>
      <w:r>
        <w:rPr>
          <w:rFonts w:hint="eastAsia" w:ascii="方正仿宋_GBK"/>
          <w:sz w:val="32"/>
          <w:szCs w:val="32"/>
        </w:rPr>
        <w:t>）晏鱼线潜在影响半径计算</w:t>
      </w:r>
    </w:p>
    <w:p>
      <w:pPr>
        <w:pStyle w:val="46"/>
        <w:ind w:firstLine="632" w:firstLineChars="200"/>
        <w:jc w:val="both"/>
        <w:rPr>
          <w:rFonts w:ascii="方正仿宋_GBK"/>
          <w:sz w:val="32"/>
          <w:szCs w:val="32"/>
        </w:rPr>
      </w:pPr>
      <w:r>
        <w:rPr>
          <w:rFonts w:hint="eastAsia" w:ascii="方正仿宋_GBK"/>
          <w:sz w:val="32"/>
          <w:szCs w:val="32"/>
        </w:rPr>
        <w:t>晏鱼线潜在影响半径r=0.099×</w:t>
      </w:r>
      <w:r>
        <w:rPr>
          <w:rFonts w:ascii="方正仿宋_GBK"/>
          <w:sz w:val="32"/>
          <w:szCs w:val="32"/>
        </w:rPr>
        <w:t>508</w:t>
      </w:r>
      <w:r>
        <w:rPr>
          <w:rFonts w:hint="eastAsia" w:ascii="方正仿宋_GBK"/>
          <w:sz w:val="32"/>
          <w:szCs w:val="32"/>
        </w:rPr>
        <w:t>×4.</w:t>
      </w:r>
      <w:r>
        <w:rPr>
          <w:rFonts w:ascii="方正仿宋_GBK"/>
          <w:sz w:val="32"/>
          <w:szCs w:val="32"/>
        </w:rPr>
        <w:t>5</w:t>
      </w:r>
      <w:r>
        <w:rPr>
          <w:rFonts w:hint="eastAsia" w:ascii="方正仿宋_GBK"/>
          <w:sz w:val="32"/>
          <w:szCs w:val="32"/>
          <w:vertAlign w:val="superscript"/>
        </w:rPr>
        <w:t>1/2</w:t>
      </w:r>
      <w:r>
        <w:rPr>
          <w:rFonts w:hint="eastAsia" w:ascii="方正仿宋_GBK"/>
          <w:sz w:val="32"/>
          <w:szCs w:val="32"/>
        </w:rPr>
        <w:t>=10</w:t>
      </w:r>
      <w:r>
        <w:rPr>
          <w:rFonts w:ascii="方正仿宋_GBK"/>
          <w:sz w:val="32"/>
          <w:szCs w:val="32"/>
        </w:rPr>
        <w:t>6</w:t>
      </w:r>
      <w:r>
        <w:rPr>
          <w:rFonts w:hint="eastAsia" w:ascii="方正仿宋_GBK"/>
          <w:sz w:val="32"/>
          <w:szCs w:val="32"/>
        </w:rPr>
        <w:t>.</w:t>
      </w:r>
      <w:r>
        <w:rPr>
          <w:rFonts w:ascii="方正仿宋_GBK"/>
          <w:sz w:val="32"/>
          <w:szCs w:val="32"/>
        </w:rPr>
        <w:t>69</w:t>
      </w:r>
      <w:r>
        <w:rPr>
          <w:rFonts w:hint="eastAsia" w:ascii="方正仿宋_GBK"/>
          <w:sz w:val="32"/>
          <w:szCs w:val="32"/>
        </w:rPr>
        <w:t>m</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4</w:t>
      </w:r>
      <w:r>
        <w:rPr>
          <w:rFonts w:hint="eastAsia" w:ascii="方正仿宋_GBK"/>
          <w:sz w:val="32"/>
          <w:szCs w:val="32"/>
        </w:rPr>
        <w:t>）卧渝线C段潜在影响半径计算</w:t>
      </w:r>
    </w:p>
    <w:p>
      <w:pPr>
        <w:pStyle w:val="46"/>
        <w:ind w:firstLine="632" w:firstLineChars="200"/>
        <w:jc w:val="both"/>
        <w:rPr>
          <w:rFonts w:ascii="方正仿宋_GBK"/>
          <w:sz w:val="32"/>
          <w:szCs w:val="32"/>
        </w:rPr>
      </w:pPr>
      <w:r>
        <w:rPr>
          <w:rFonts w:hint="eastAsia" w:ascii="方正仿宋_GBK"/>
          <w:sz w:val="32"/>
          <w:szCs w:val="32"/>
        </w:rPr>
        <w:t>卧渝线C段潜在影响半径r=0.099×4</w:t>
      </w:r>
      <w:r>
        <w:rPr>
          <w:rFonts w:ascii="方正仿宋_GBK"/>
          <w:sz w:val="32"/>
          <w:szCs w:val="32"/>
        </w:rPr>
        <w:t>26</w:t>
      </w:r>
      <w:r>
        <w:rPr>
          <w:rFonts w:hint="eastAsia" w:ascii="方正仿宋_GBK"/>
          <w:sz w:val="32"/>
          <w:szCs w:val="32"/>
        </w:rPr>
        <w:t>×</w:t>
      </w:r>
      <w:r>
        <w:rPr>
          <w:rFonts w:ascii="方正仿宋_GBK"/>
          <w:sz w:val="32"/>
          <w:szCs w:val="32"/>
        </w:rPr>
        <w:t>2.5</w:t>
      </w:r>
      <w:r>
        <w:rPr>
          <w:rFonts w:hint="eastAsia" w:ascii="方正仿宋_GBK"/>
          <w:sz w:val="32"/>
          <w:szCs w:val="32"/>
          <w:vertAlign w:val="superscript"/>
        </w:rPr>
        <w:t>1/2</w:t>
      </w:r>
      <w:r>
        <w:rPr>
          <w:rFonts w:hint="eastAsia" w:ascii="方正仿宋_GBK"/>
          <w:sz w:val="32"/>
          <w:szCs w:val="32"/>
        </w:rPr>
        <w:t>=</w:t>
      </w:r>
      <w:r>
        <w:rPr>
          <w:rFonts w:ascii="方正仿宋_GBK"/>
          <w:sz w:val="32"/>
          <w:szCs w:val="32"/>
        </w:rPr>
        <w:t>66</w:t>
      </w:r>
      <w:r>
        <w:rPr>
          <w:rFonts w:hint="eastAsia" w:ascii="方正仿宋_GBK"/>
          <w:sz w:val="32"/>
          <w:szCs w:val="32"/>
        </w:rPr>
        <w:t>.</w:t>
      </w:r>
      <w:r>
        <w:rPr>
          <w:rFonts w:ascii="方正仿宋_GBK"/>
          <w:sz w:val="32"/>
          <w:szCs w:val="32"/>
        </w:rPr>
        <w:t>68</w:t>
      </w:r>
      <w:r>
        <w:rPr>
          <w:rFonts w:hint="eastAsia" w:ascii="方正仿宋_GBK"/>
          <w:sz w:val="32"/>
          <w:szCs w:val="32"/>
        </w:rPr>
        <w:t>m</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9" w:name="_Toc113279520"/>
      <w:r>
        <w:rPr>
          <w:rFonts w:ascii="方正楷体_GBK" w:hAnsi="方正楷体_GBK" w:eastAsia="方正楷体_GBK" w:cs="方正楷体_GBK"/>
          <w:b w:val="0"/>
          <w:bCs w:val="0"/>
        </w:rPr>
        <w:t>2</w:t>
      </w:r>
      <w:r>
        <w:rPr>
          <w:rFonts w:hint="eastAsia" w:ascii="方正楷体_GBK" w:hAnsi="方正楷体_GBK" w:eastAsia="方正楷体_GBK" w:cs="方正楷体_GBK"/>
          <w:b w:val="0"/>
          <w:bCs w:val="0"/>
        </w:rPr>
        <w:t>.</w:t>
      </w:r>
      <w:r>
        <w:rPr>
          <w:rFonts w:ascii="方正楷体_GBK" w:hAnsi="方正楷体_GBK" w:eastAsia="方正楷体_GBK" w:cs="方正楷体_GBK"/>
          <w:b w:val="0"/>
          <w:bCs w:val="0"/>
        </w:rPr>
        <w:t>3</w:t>
      </w:r>
      <w:r>
        <w:rPr>
          <w:rFonts w:hint="eastAsia" w:ascii="方正楷体_GBK" w:hAnsi="方正楷体_GBK" w:eastAsia="方正楷体_GBK" w:cs="方正楷体_GBK"/>
          <w:b w:val="0"/>
          <w:bCs w:val="0"/>
        </w:rPr>
        <w:t xml:space="preserve">  事故风险后果</w:t>
      </w:r>
      <w:bookmarkEnd w:id="9"/>
    </w:p>
    <w:p>
      <w:pPr>
        <w:pStyle w:val="46"/>
        <w:ind w:firstLine="632" w:firstLineChars="200"/>
        <w:jc w:val="both"/>
        <w:rPr>
          <w:rFonts w:ascii="方正仿宋_GBK"/>
          <w:sz w:val="32"/>
          <w:szCs w:val="32"/>
        </w:rPr>
      </w:pPr>
      <w:r>
        <w:rPr>
          <w:rFonts w:hint="eastAsia" w:ascii="方正仿宋_GBK"/>
          <w:sz w:val="32"/>
          <w:szCs w:val="32"/>
        </w:rPr>
        <w:t>根据区内各管道高后果区识别结果，石油天然气长输管道途径区域人口密集，重点场所多，如果发生泄漏、火灾、爆炸等事故，极容易造成人员伤亡、财产损失、环境事件和较大的社会影响。输油管线事故影响范围主要是管线周边附近区域，输气管线主要是管线两侧潜在影响半径范围内的有关单位和人员。</w:t>
      </w:r>
    </w:p>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表2.</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1</w:t>
      </w:r>
      <w:r>
        <w:rPr>
          <w:rFonts w:hint="eastAsia" w:ascii="方正黑体_GBK" w:hAnsi="Times New Roman" w:eastAsia="方正黑体_GBK" w:cs="Times New Roman"/>
          <w:bCs/>
          <w:kern w:val="44"/>
          <w:sz w:val="28"/>
          <w:szCs w:val="28"/>
          <w:lang w:val="zh-CN"/>
        </w:rPr>
        <w:t xml:space="preserve">  油气长输管道事故风险分析一览表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091"/>
        <w:gridCol w:w="881"/>
        <w:gridCol w:w="1019"/>
        <w:gridCol w:w="1247"/>
        <w:gridCol w:w="851"/>
        <w:gridCol w:w="1067"/>
        <w:gridCol w:w="1173"/>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562"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序号</w:t>
            </w:r>
          </w:p>
        </w:tc>
        <w:tc>
          <w:tcPr>
            <w:tcW w:w="1091"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管线名称</w:t>
            </w:r>
          </w:p>
        </w:tc>
        <w:tc>
          <w:tcPr>
            <w:tcW w:w="881"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危险源</w:t>
            </w:r>
          </w:p>
        </w:tc>
        <w:tc>
          <w:tcPr>
            <w:tcW w:w="1019"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可能事故类别</w:t>
            </w:r>
          </w:p>
        </w:tc>
        <w:tc>
          <w:tcPr>
            <w:tcW w:w="1247"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危险区域</w:t>
            </w:r>
          </w:p>
        </w:tc>
        <w:tc>
          <w:tcPr>
            <w:tcW w:w="851"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事故</w:t>
            </w:r>
          </w:p>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可能性</w:t>
            </w:r>
          </w:p>
        </w:tc>
        <w:tc>
          <w:tcPr>
            <w:tcW w:w="1067"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事故可能发生时间</w:t>
            </w:r>
          </w:p>
        </w:tc>
        <w:tc>
          <w:tcPr>
            <w:tcW w:w="1173"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事故严重程度</w:t>
            </w:r>
          </w:p>
        </w:tc>
        <w:tc>
          <w:tcPr>
            <w:tcW w:w="954"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潜在影响范围(半径)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109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航空煤油长输管道</w:t>
            </w:r>
          </w:p>
        </w:tc>
        <w:tc>
          <w:tcPr>
            <w:tcW w:w="88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航空</w:t>
            </w:r>
          </w:p>
          <w:p>
            <w:pPr>
              <w:adjustRightInd w:val="0"/>
              <w:snapToGrid w:val="0"/>
              <w:jc w:val="center"/>
              <w:rPr>
                <w:rFonts w:ascii="方正仿宋_GBK" w:hAnsi="宋体" w:cs="宋体"/>
                <w:sz w:val="21"/>
                <w:szCs w:val="21"/>
              </w:rPr>
            </w:pPr>
            <w:r>
              <w:rPr>
                <w:rFonts w:hint="eastAsia" w:ascii="方正仿宋_GBK" w:hAnsi="宋体" w:cs="宋体"/>
                <w:sz w:val="21"/>
                <w:szCs w:val="21"/>
              </w:rPr>
              <w:t>煤油</w:t>
            </w: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输油时</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一般事故</w:t>
            </w:r>
          </w:p>
        </w:tc>
        <w:tc>
          <w:tcPr>
            <w:tcW w:w="954"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泄漏区域周边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输油时</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较大事故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环境</w:t>
            </w:r>
          </w:p>
          <w:p>
            <w:pPr>
              <w:adjustRightInd w:val="0"/>
              <w:snapToGrid w:val="0"/>
              <w:jc w:val="center"/>
              <w:rPr>
                <w:rFonts w:ascii="方正仿宋_GBK" w:hAnsi="宋体" w:cs="宋体"/>
                <w:sz w:val="21"/>
                <w:szCs w:val="21"/>
              </w:rPr>
            </w:pPr>
            <w:r>
              <w:rPr>
                <w:rFonts w:hint="eastAsia" w:ascii="方正仿宋_GBK" w:hAnsi="宋体" w:cs="宋体"/>
                <w:sz w:val="21"/>
                <w:szCs w:val="21"/>
              </w:rPr>
              <w:t>污染</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输油时</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一般事故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109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重燃D711外环管线</w:t>
            </w:r>
          </w:p>
        </w:tc>
        <w:tc>
          <w:tcPr>
            <w:tcW w:w="88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净化</w:t>
            </w:r>
          </w:p>
          <w:p>
            <w:pPr>
              <w:adjustRightInd w:val="0"/>
              <w:snapToGrid w:val="0"/>
              <w:jc w:val="center"/>
              <w:rPr>
                <w:rFonts w:ascii="方正仿宋_GBK" w:hAnsi="宋体" w:cs="宋体"/>
                <w:sz w:val="21"/>
                <w:szCs w:val="21"/>
              </w:rPr>
            </w:pPr>
            <w:r>
              <w:rPr>
                <w:rFonts w:hint="eastAsia" w:ascii="方正仿宋_GBK" w:hAnsi="宋体" w:cs="宋体"/>
                <w:sz w:val="21"/>
                <w:szCs w:val="21"/>
              </w:rPr>
              <w:t>天然气</w:t>
            </w: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任何时间</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较大事故</w:t>
            </w:r>
          </w:p>
        </w:tc>
        <w:tc>
          <w:tcPr>
            <w:tcW w:w="954"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149.32m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任何时间</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较大事故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窒息</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抢修时</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一般事故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109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重燃D508晏鱼线</w:t>
            </w:r>
          </w:p>
        </w:tc>
        <w:tc>
          <w:tcPr>
            <w:tcW w:w="88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净化</w:t>
            </w:r>
          </w:p>
          <w:p>
            <w:pPr>
              <w:adjustRightInd w:val="0"/>
              <w:snapToGrid w:val="0"/>
              <w:jc w:val="center"/>
              <w:rPr>
                <w:rFonts w:ascii="方正仿宋_GBK" w:hAnsi="宋体" w:cs="宋体"/>
                <w:sz w:val="21"/>
                <w:szCs w:val="21"/>
              </w:rPr>
            </w:pPr>
            <w:r>
              <w:rPr>
                <w:rFonts w:hint="eastAsia" w:ascii="方正仿宋_GBK" w:hAnsi="宋体" w:cs="宋体"/>
                <w:sz w:val="21"/>
                <w:szCs w:val="21"/>
              </w:rPr>
              <w:t>天然气</w:t>
            </w: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任何时间</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较大事故</w:t>
            </w:r>
          </w:p>
        </w:tc>
        <w:tc>
          <w:tcPr>
            <w:tcW w:w="954"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106.69m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任何时间</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较大事故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窒息</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抢修时</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一般事故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w:t>
            </w:r>
          </w:p>
        </w:tc>
        <w:tc>
          <w:tcPr>
            <w:tcW w:w="109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重庆气矿D426卧渝线C段</w:t>
            </w:r>
          </w:p>
        </w:tc>
        <w:tc>
          <w:tcPr>
            <w:tcW w:w="88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净化</w:t>
            </w:r>
          </w:p>
          <w:p>
            <w:pPr>
              <w:adjustRightInd w:val="0"/>
              <w:snapToGrid w:val="0"/>
              <w:jc w:val="center"/>
              <w:rPr>
                <w:rFonts w:ascii="方正仿宋_GBK" w:hAnsi="宋体" w:cs="宋体"/>
                <w:sz w:val="21"/>
                <w:szCs w:val="21"/>
              </w:rPr>
            </w:pPr>
            <w:r>
              <w:rPr>
                <w:rFonts w:hint="eastAsia" w:ascii="方正仿宋_GBK" w:hAnsi="宋体" w:cs="宋体"/>
                <w:sz w:val="21"/>
                <w:szCs w:val="21"/>
              </w:rPr>
              <w:t>天然气</w:t>
            </w: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任何时间</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较大事故</w:t>
            </w:r>
          </w:p>
        </w:tc>
        <w:tc>
          <w:tcPr>
            <w:tcW w:w="954"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66.68m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任何时间</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较大事故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6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109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81"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1019"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窒息</w:t>
            </w:r>
          </w:p>
        </w:tc>
        <w:tc>
          <w:tcPr>
            <w:tcW w:w="124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85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低</w:t>
            </w:r>
          </w:p>
        </w:tc>
        <w:tc>
          <w:tcPr>
            <w:tcW w:w="106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抢修时</w:t>
            </w:r>
          </w:p>
        </w:tc>
        <w:tc>
          <w:tcPr>
            <w:tcW w:w="117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一般事故</w:t>
            </w:r>
          </w:p>
        </w:tc>
        <w:tc>
          <w:tcPr>
            <w:tcW w:w="954"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r>
    </w:tbl>
    <w:p>
      <w:pPr>
        <w:pStyle w:val="46"/>
        <w:ind w:firstLine="632" w:firstLineChars="200"/>
        <w:jc w:val="both"/>
        <w:rPr>
          <w:rFonts w:ascii="方正仿宋_GBK"/>
          <w:sz w:val="32"/>
          <w:szCs w:val="32"/>
        </w:rPr>
      </w:pPr>
    </w:p>
    <w:p>
      <w:pPr>
        <w:pStyle w:val="3"/>
        <w:pageBreakBefore/>
        <w:adjustRightInd w:val="0"/>
        <w:snapToGrid w:val="0"/>
        <w:spacing w:before="100" w:beforeAutospacing="1" w:after="100" w:afterAutospacing="1" w:line="240" w:lineRule="auto"/>
        <w:jc w:val="center"/>
        <w:rPr>
          <w:rFonts w:ascii="方正黑体_GBK" w:hAnsi="Times New Roman" w:eastAsia="方正黑体_GBK"/>
          <w:b w:val="0"/>
          <w:bCs/>
          <w:sz w:val="32"/>
          <w:szCs w:val="32"/>
        </w:rPr>
      </w:pPr>
      <w:bookmarkStart w:id="10" w:name="_Toc113279521"/>
      <w:r>
        <w:rPr>
          <w:rFonts w:ascii="方正黑体_GBK" w:hAnsi="Times New Roman" w:eastAsia="方正黑体_GBK"/>
          <w:b w:val="0"/>
          <w:bCs/>
          <w:sz w:val="32"/>
          <w:szCs w:val="32"/>
        </w:rPr>
        <w:t>3</w:t>
      </w:r>
      <w:r>
        <w:rPr>
          <w:rFonts w:hint="eastAsia" w:ascii="方正黑体_GBK" w:hAnsi="Times New Roman" w:eastAsia="方正黑体_GBK"/>
          <w:b w:val="0"/>
          <w:bCs/>
          <w:sz w:val="32"/>
          <w:szCs w:val="32"/>
        </w:rPr>
        <w:t xml:space="preserve">  事故风险评价</w:t>
      </w:r>
      <w:bookmarkEnd w:id="10"/>
    </w:p>
    <w:p>
      <w:pPr>
        <w:pStyle w:val="46"/>
        <w:ind w:firstLine="632" w:firstLineChars="200"/>
        <w:jc w:val="both"/>
        <w:rPr>
          <w:rFonts w:ascii="方正仿宋_GBK"/>
          <w:sz w:val="32"/>
          <w:szCs w:val="32"/>
        </w:rPr>
      </w:pPr>
      <w:r>
        <w:rPr>
          <w:rFonts w:hint="eastAsia" w:ascii="方正仿宋_GBK"/>
          <w:sz w:val="32"/>
          <w:szCs w:val="32"/>
        </w:rPr>
        <w:t>本报告采用作业条件危险性评价法、区域定量风险评价法来进行主要事故风险评估。</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1" w:name="_Toc113279522"/>
      <w:r>
        <w:rPr>
          <w:rFonts w:ascii="方正楷体_GBK" w:hAnsi="方正楷体_GBK" w:eastAsia="方正楷体_GBK" w:cs="方正楷体_GBK"/>
          <w:b w:val="0"/>
          <w:bCs w:val="0"/>
        </w:rPr>
        <w:t>3</w:t>
      </w:r>
      <w:r>
        <w:rPr>
          <w:rFonts w:hint="eastAsia" w:ascii="方正楷体_GBK" w:hAnsi="方正楷体_GBK" w:eastAsia="方正楷体_GBK" w:cs="方正楷体_GBK"/>
          <w:b w:val="0"/>
          <w:bCs w:val="0"/>
        </w:rPr>
        <w:t>.1  作业条件危险性评价法</w:t>
      </w:r>
      <w:bookmarkEnd w:id="11"/>
    </w:p>
    <w:p>
      <w:pPr>
        <w:keepNext/>
        <w:keepLines/>
        <w:ind w:firstLine="632" w:firstLineChars="200"/>
        <w:outlineLvl w:val="2"/>
        <w:rPr>
          <w:rFonts w:ascii="仿宋_GB2312" w:eastAsia="仿宋_GB2312"/>
          <w:b/>
          <w:bCs/>
        </w:rPr>
      </w:pPr>
      <w:r>
        <w:rPr>
          <w:rFonts w:ascii="仿宋_GB2312" w:eastAsia="仿宋_GB2312"/>
          <w:b/>
          <w:bCs/>
        </w:rPr>
        <w:t>3</w:t>
      </w:r>
      <w:r>
        <w:rPr>
          <w:rFonts w:hint="eastAsia" w:ascii="仿宋_GB2312" w:eastAsia="仿宋_GB2312"/>
          <w:b/>
          <w:bCs/>
        </w:rPr>
        <w:t>.1.1 评价方法简介</w:t>
      </w:r>
    </w:p>
    <w:p>
      <w:pPr>
        <w:pStyle w:val="46"/>
        <w:ind w:firstLine="632" w:firstLineChars="200"/>
        <w:jc w:val="both"/>
        <w:rPr>
          <w:rFonts w:ascii="方正仿宋_GBK"/>
          <w:sz w:val="32"/>
          <w:szCs w:val="32"/>
        </w:rPr>
      </w:pPr>
      <w:r>
        <w:rPr>
          <w:rFonts w:hint="eastAsia" w:ascii="方正仿宋_GBK"/>
          <w:sz w:val="32"/>
          <w:szCs w:val="32"/>
        </w:rPr>
        <w:t>作业条件危险性评价法（格雷厄姆—金尼法）是作业人员在具有潜在危险性环境中进行作业时的一种危险性半定量评价方法。它是由美国人格雷厄姆（K.J.Graham）和金尼（G.F.Kinney）提出的，他们认为影响作业条件危险性的因素是L（事故发生的可能性）、E（人员暴露于危险环境的频繁程度）和C（一旦发生事故可能造成的后果）。L、E、C的分值分别见表3.1-1、表3.1-2、表3.1-3。用这三个因素分值的乘积D=L×E×C来评价作业条件的危险性（见表3.1-4）。D值越大，作业条件的危险性越大。</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w:t>
      </w:r>
      <w:r>
        <w:rPr>
          <w:rFonts w:ascii="方正黑体_GBK" w:hAnsi="Times New Roman" w:eastAsia="方正黑体_GBK" w:cs="Times New Roman"/>
          <w:bCs/>
          <w:kern w:val="44"/>
          <w:sz w:val="28"/>
          <w:szCs w:val="28"/>
          <w:lang w:val="zh-CN"/>
        </w:rPr>
        <w:t>1</w:t>
      </w:r>
      <w:r>
        <w:rPr>
          <w:rFonts w:hint="eastAsia" w:ascii="方正黑体_GBK" w:hAnsi="Times New Roman" w:eastAsia="方正黑体_GBK" w:cs="Times New Roman"/>
          <w:bCs/>
          <w:kern w:val="44"/>
          <w:sz w:val="28"/>
          <w:szCs w:val="28"/>
          <w:lang w:val="zh-CN"/>
        </w:rPr>
        <w:t>-1  事故发生的可能性分值L</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106"/>
        <w:gridCol w:w="695"/>
        <w:gridCol w:w="1243"/>
        <w:gridCol w:w="1380"/>
        <w:gridCol w:w="1518"/>
        <w:gridCol w:w="692"/>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5"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分数值</w:t>
            </w:r>
          </w:p>
        </w:tc>
        <w:tc>
          <w:tcPr>
            <w:tcW w:w="110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10</w:t>
            </w:r>
          </w:p>
        </w:tc>
        <w:tc>
          <w:tcPr>
            <w:tcW w:w="695"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6</w:t>
            </w:r>
          </w:p>
        </w:tc>
        <w:tc>
          <w:tcPr>
            <w:tcW w:w="1243"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3</w:t>
            </w:r>
          </w:p>
        </w:tc>
        <w:tc>
          <w:tcPr>
            <w:tcW w:w="138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w:t>
            </w:r>
          </w:p>
        </w:tc>
        <w:tc>
          <w:tcPr>
            <w:tcW w:w="1518"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0.5</w:t>
            </w:r>
          </w:p>
        </w:tc>
        <w:tc>
          <w:tcPr>
            <w:tcW w:w="69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0.2</w:t>
            </w:r>
          </w:p>
        </w:tc>
        <w:tc>
          <w:tcPr>
            <w:tcW w:w="110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事故发生的可能性</w:t>
            </w:r>
          </w:p>
        </w:tc>
        <w:tc>
          <w:tcPr>
            <w:tcW w:w="110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完全会被预料到</w:t>
            </w:r>
          </w:p>
        </w:tc>
        <w:tc>
          <w:tcPr>
            <w:tcW w:w="69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相当可能</w:t>
            </w:r>
          </w:p>
        </w:tc>
        <w:tc>
          <w:tcPr>
            <w:tcW w:w="124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可能，但不经常</w:t>
            </w:r>
          </w:p>
        </w:tc>
        <w:tc>
          <w:tcPr>
            <w:tcW w:w="138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完全意外，很少可能</w:t>
            </w:r>
          </w:p>
        </w:tc>
        <w:tc>
          <w:tcPr>
            <w:tcW w:w="151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可以设想，很少可能</w:t>
            </w:r>
          </w:p>
        </w:tc>
        <w:tc>
          <w:tcPr>
            <w:tcW w:w="69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极不可能</w:t>
            </w:r>
          </w:p>
        </w:tc>
        <w:tc>
          <w:tcPr>
            <w:tcW w:w="110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实际上不可能</w:t>
            </w:r>
          </w:p>
        </w:tc>
      </w:tr>
    </w:tbl>
    <w:p>
      <w:pPr>
        <w:pStyle w:val="46"/>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w:t>
      </w:r>
      <w:r>
        <w:rPr>
          <w:rFonts w:ascii="方正黑体_GBK" w:hAnsi="Times New Roman" w:eastAsia="方正黑体_GBK" w:cs="Times New Roman"/>
          <w:bCs/>
          <w:kern w:val="44"/>
          <w:sz w:val="28"/>
          <w:szCs w:val="28"/>
          <w:lang w:val="zh-CN"/>
        </w:rPr>
        <w:t>1</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 xml:space="preserve">  暴露于危险环境的频繁程度分值E</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831"/>
        <w:gridCol w:w="1382"/>
        <w:gridCol w:w="1519"/>
        <w:gridCol w:w="1066"/>
        <w:gridCol w:w="1264"/>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分数值</w:t>
            </w:r>
          </w:p>
        </w:tc>
        <w:tc>
          <w:tcPr>
            <w:tcW w:w="8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10</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6</w:t>
            </w:r>
          </w:p>
        </w:tc>
        <w:tc>
          <w:tcPr>
            <w:tcW w:w="15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3</w:t>
            </w:r>
          </w:p>
        </w:tc>
        <w:tc>
          <w:tcPr>
            <w:tcW w:w="10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2</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暴露于危险环境的频繁程度</w:t>
            </w:r>
          </w:p>
        </w:tc>
        <w:tc>
          <w:tcPr>
            <w:tcW w:w="83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连续</w:t>
            </w:r>
          </w:p>
          <w:p>
            <w:pPr>
              <w:adjustRightInd w:val="0"/>
              <w:snapToGrid w:val="0"/>
              <w:jc w:val="center"/>
              <w:rPr>
                <w:rFonts w:ascii="方正仿宋_GBK" w:hAnsi="宋体" w:cs="宋体"/>
                <w:sz w:val="21"/>
                <w:szCs w:val="21"/>
              </w:rPr>
            </w:pPr>
            <w:r>
              <w:rPr>
                <w:rFonts w:hint="eastAsia" w:ascii="方正仿宋_GBK" w:hAnsi="宋体" w:cs="宋体"/>
                <w:sz w:val="21"/>
                <w:szCs w:val="21"/>
              </w:rPr>
              <w:t>暴露</w:t>
            </w:r>
          </w:p>
        </w:tc>
        <w:tc>
          <w:tcPr>
            <w:tcW w:w="13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每天工作时间内暴露</w:t>
            </w:r>
          </w:p>
        </w:tc>
        <w:tc>
          <w:tcPr>
            <w:tcW w:w="151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每周一次</w:t>
            </w:r>
          </w:p>
          <w:p>
            <w:pPr>
              <w:adjustRightInd w:val="0"/>
              <w:snapToGrid w:val="0"/>
              <w:jc w:val="center"/>
              <w:rPr>
                <w:rFonts w:ascii="方正仿宋_GBK" w:hAnsi="宋体" w:cs="宋体"/>
                <w:sz w:val="21"/>
                <w:szCs w:val="21"/>
              </w:rPr>
            </w:pPr>
            <w:r>
              <w:rPr>
                <w:rFonts w:hint="eastAsia" w:ascii="方正仿宋_GBK" w:hAnsi="宋体" w:cs="宋体"/>
                <w:sz w:val="21"/>
                <w:szCs w:val="21"/>
              </w:rPr>
              <w:t>或偶然暴露</w:t>
            </w:r>
          </w:p>
        </w:tc>
        <w:tc>
          <w:tcPr>
            <w:tcW w:w="106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每月</w:t>
            </w:r>
          </w:p>
          <w:p>
            <w:pPr>
              <w:adjustRightInd w:val="0"/>
              <w:snapToGrid w:val="0"/>
              <w:jc w:val="center"/>
              <w:rPr>
                <w:rFonts w:ascii="方正仿宋_GBK" w:hAnsi="宋体" w:cs="宋体"/>
                <w:sz w:val="21"/>
                <w:szCs w:val="21"/>
              </w:rPr>
            </w:pPr>
            <w:r>
              <w:rPr>
                <w:rFonts w:hint="eastAsia" w:ascii="方正仿宋_GBK" w:hAnsi="宋体" w:cs="宋体"/>
                <w:sz w:val="21"/>
                <w:szCs w:val="21"/>
              </w:rPr>
              <w:t>暴露一次</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每年</w:t>
            </w:r>
          </w:p>
          <w:p>
            <w:pPr>
              <w:adjustRightInd w:val="0"/>
              <w:snapToGrid w:val="0"/>
              <w:jc w:val="center"/>
              <w:rPr>
                <w:rFonts w:ascii="方正仿宋_GBK" w:hAnsi="宋体" w:cs="宋体"/>
                <w:sz w:val="21"/>
                <w:szCs w:val="21"/>
              </w:rPr>
            </w:pPr>
            <w:r>
              <w:rPr>
                <w:rFonts w:hint="eastAsia" w:ascii="方正仿宋_GBK" w:hAnsi="宋体" w:cs="宋体"/>
                <w:sz w:val="21"/>
                <w:szCs w:val="21"/>
              </w:rPr>
              <w:t>几次暴露</w:t>
            </w:r>
          </w:p>
        </w:tc>
        <w:tc>
          <w:tcPr>
            <w:tcW w:w="12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非常罕</w:t>
            </w:r>
          </w:p>
          <w:p>
            <w:pPr>
              <w:adjustRightInd w:val="0"/>
              <w:snapToGrid w:val="0"/>
              <w:jc w:val="center"/>
              <w:rPr>
                <w:rFonts w:ascii="方正仿宋_GBK" w:hAnsi="宋体" w:cs="宋体"/>
                <w:sz w:val="21"/>
                <w:szCs w:val="21"/>
              </w:rPr>
            </w:pPr>
            <w:r>
              <w:rPr>
                <w:rFonts w:hint="eastAsia" w:ascii="方正仿宋_GBK" w:hAnsi="宋体" w:cs="宋体"/>
                <w:sz w:val="21"/>
                <w:szCs w:val="21"/>
              </w:rPr>
              <w:t>见地暴露</w:t>
            </w:r>
          </w:p>
        </w:tc>
      </w:tr>
    </w:tbl>
    <w:p>
      <w:pPr>
        <w:pStyle w:val="46"/>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rPr>
      </w:pPr>
      <w:r>
        <w:rPr>
          <w:rFonts w:hint="eastAsia" w:ascii="方正黑体_GBK" w:hAnsi="Times New Roman" w:eastAsia="方正黑体_GBK" w:cs="Times New Roman"/>
          <w:bCs/>
          <w:kern w:val="44"/>
          <w:sz w:val="28"/>
          <w:szCs w:val="28"/>
          <w:lang w:val="zh-CN"/>
        </w:rPr>
        <w:t>表</w:t>
      </w:r>
      <w:r>
        <w:rPr>
          <w:rFonts w:hint="eastAsia" w:ascii="方正黑体_GBK" w:hAnsi="Times New Roman" w:eastAsia="方正黑体_GBK" w:cs="Times New Roman"/>
          <w:bCs/>
          <w:kern w:val="44"/>
          <w:sz w:val="28"/>
          <w:szCs w:val="28"/>
        </w:rPr>
        <w:t>3.</w:t>
      </w:r>
      <w:r>
        <w:rPr>
          <w:rFonts w:ascii="方正黑体_GBK" w:hAnsi="Times New Roman" w:eastAsia="方正黑体_GBK" w:cs="Times New Roman"/>
          <w:bCs/>
          <w:kern w:val="44"/>
          <w:sz w:val="28"/>
          <w:szCs w:val="28"/>
        </w:rPr>
        <w:t>1</w:t>
      </w:r>
      <w:r>
        <w:rPr>
          <w:rFonts w:hint="eastAsia" w:ascii="方正黑体_GBK" w:hAnsi="Times New Roman" w:eastAsia="方正黑体_GBK" w:cs="Times New Roman"/>
          <w:bCs/>
          <w:kern w:val="44"/>
          <w:sz w:val="28"/>
          <w:szCs w:val="28"/>
        </w:rPr>
        <w:t>-</w:t>
      </w:r>
      <w:r>
        <w:rPr>
          <w:rFonts w:ascii="方正黑体_GBK" w:hAnsi="Times New Roman" w:eastAsia="方正黑体_GBK" w:cs="Times New Roman"/>
          <w:bCs/>
          <w:kern w:val="44"/>
          <w:sz w:val="28"/>
          <w:szCs w:val="28"/>
        </w:rPr>
        <w:t>3</w:t>
      </w:r>
      <w:r>
        <w:rPr>
          <w:rFonts w:hint="eastAsia" w:ascii="方正黑体_GBK" w:hAnsi="Times New Roman" w:eastAsia="方正黑体_GBK" w:cs="Times New Roman"/>
          <w:bCs/>
          <w:kern w:val="44"/>
          <w:sz w:val="28"/>
          <w:szCs w:val="28"/>
        </w:rPr>
        <w:t xml:space="preserve">  </w:t>
      </w:r>
      <w:r>
        <w:rPr>
          <w:rFonts w:hint="eastAsia" w:ascii="方正黑体_GBK" w:hAnsi="Times New Roman" w:eastAsia="方正黑体_GBK" w:cs="Times New Roman"/>
          <w:bCs/>
          <w:kern w:val="44"/>
          <w:sz w:val="28"/>
          <w:szCs w:val="28"/>
          <w:lang w:val="zh-CN"/>
        </w:rPr>
        <w:t>事故造成的后果分值</w:t>
      </w:r>
      <w:r>
        <w:rPr>
          <w:rFonts w:hint="eastAsia" w:ascii="方正黑体_GBK" w:hAnsi="Times New Roman" w:eastAsia="方正黑体_GBK" w:cs="Times New Roman"/>
          <w:bCs/>
          <w:kern w:val="44"/>
          <w:sz w:val="28"/>
          <w:szCs w:val="28"/>
        </w:rPr>
        <w:t>C</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559"/>
        <w:gridCol w:w="1134"/>
        <w:gridCol w:w="1134"/>
        <w:gridCol w:w="1134"/>
        <w:gridCol w:w="992"/>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分数值</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100</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40</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15</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7</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3</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1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事故造成的后果</w:t>
            </w:r>
          </w:p>
        </w:tc>
        <w:tc>
          <w:tcPr>
            <w:tcW w:w="155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十人以上死亡</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数人死亡</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一人死亡</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严重伤残</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有伤残</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轻伤，需救护</w:t>
            </w:r>
          </w:p>
        </w:tc>
      </w:tr>
    </w:tbl>
    <w:p>
      <w:pPr>
        <w:pStyle w:val="46"/>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w:t>
      </w:r>
      <w:r>
        <w:rPr>
          <w:rFonts w:ascii="方正黑体_GBK" w:hAnsi="Times New Roman" w:eastAsia="方正黑体_GBK" w:cs="Times New Roman"/>
          <w:bCs/>
          <w:kern w:val="44"/>
          <w:sz w:val="28"/>
          <w:szCs w:val="28"/>
          <w:lang w:val="zh-CN"/>
        </w:rPr>
        <w:t>1</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 xml:space="preserve">  危险性等级划分标准</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564"/>
        <w:gridCol w:w="1474"/>
        <w:gridCol w:w="1474"/>
        <w:gridCol w:w="1474"/>
        <w:gridCol w:w="1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危险性分值D</w:t>
            </w:r>
          </w:p>
        </w:tc>
        <w:tc>
          <w:tcPr>
            <w:tcW w:w="15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≥320</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≥160～320</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≥70～160</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≥20～70</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危险程度</w:t>
            </w:r>
          </w:p>
        </w:tc>
        <w:tc>
          <w:tcPr>
            <w:tcW w:w="15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极度危险，不能继续作业</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高度危险，需要整改</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显著危险，需要整改</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比较危险，需要注意</w:t>
            </w:r>
          </w:p>
        </w:tc>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稍有危险，可以接受</w:t>
            </w:r>
          </w:p>
        </w:tc>
      </w:tr>
    </w:tbl>
    <w:p>
      <w:pPr>
        <w:pStyle w:val="46"/>
        <w:ind w:firstLine="632" w:firstLineChars="200"/>
        <w:jc w:val="both"/>
        <w:rPr>
          <w:rFonts w:ascii="方正仿宋_GBK"/>
          <w:sz w:val="32"/>
          <w:szCs w:val="32"/>
        </w:rPr>
      </w:pPr>
    </w:p>
    <w:p>
      <w:pPr>
        <w:pStyle w:val="46"/>
        <w:ind w:firstLine="632" w:firstLineChars="200"/>
        <w:rPr>
          <w:rFonts w:ascii="方正仿宋_GBK"/>
          <w:sz w:val="32"/>
          <w:szCs w:val="32"/>
        </w:rPr>
      </w:pPr>
      <w:r>
        <w:rPr>
          <w:rFonts w:hint="eastAsia" w:ascii="方正仿宋_GBK"/>
          <w:sz w:val="32"/>
          <w:szCs w:val="32"/>
        </w:rPr>
        <w:t>作业条件的危险性评价法以类比作业条件进行比较为基础，由熟悉类比作业条件的专家按规定标准给L、E、C分别打分，计算出危险性分值（D）来评价作业条件的危险性等级。</w:t>
      </w:r>
    </w:p>
    <w:p>
      <w:pPr>
        <w:keepNext/>
        <w:keepLines/>
        <w:ind w:firstLine="632" w:firstLineChars="200"/>
        <w:outlineLvl w:val="2"/>
        <w:rPr>
          <w:rFonts w:ascii="仿宋_GB2312" w:eastAsia="仿宋_GB2312"/>
          <w:b/>
          <w:bCs/>
        </w:rPr>
      </w:pPr>
      <w:r>
        <w:rPr>
          <w:rFonts w:hint="eastAsia" w:ascii="仿宋_GB2312" w:eastAsia="仿宋_GB2312"/>
          <w:b/>
          <w:bCs/>
        </w:rPr>
        <w:t>3.1.2 事故风险等级划定结果</w:t>
      </w:r>
    </w:p>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表3.1.5  作业条件危险性评价法评价情况</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775"/>
        <w:gridCol w:w="869"/>
        <w:gridCol w:w="831"/>
        <w:gridCol w:w="976"/>
        <w:gridCol w:w="1008"/>
        <w:gridCol w:w="957"/>
        <w:gridCol w:w="943"/>
        <w:gridCol w:w="943"/>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502"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序号</w:t>
            </w:r>
          </w:p>
        </w:tc>
        <w:tc>
          <w:tcPr>
            <w:tcW w:w="775"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管线名称</w:t>
            </w:r>
          </w:p>
        </w:tc>
        <w:tc>
          <w:tcPr>
            <w:tcW w:w="869"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危险源</w:t>
            </w:r>
          </w:p>
        </w:tc>
        <w:tc>
          <w:tcPr>
            <w:tcW w:w="831"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危险区域</w:t>
            </w:r>
          </w:p>
        </w:tc>
        <w:tc>
          <w:tcPr>
            <w:tcW w:w="976"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bCs/>
                <w:sz w:val="21"/>
                <w:szCs w:val="21"/>
              </w:rPr>
              <w:t>可能导致的事故类型</w:t>
            </w:r>
          </w:p>
        </w:tc>
        <w:tc>
          <w:tcPr>
            <w:tcW w:w="1008"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sz w:val="21"/>
                <w:szCs w:val="21"/>
              </w:rPr>
              <w:t>事故发生的可能性分值L</w:t>
            </w:r>
          </w:p>
        </w:tc>
        <w:tc>
          <w:tcPr>
            <w:tcW w:w="957"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sz w:val="21"/>
                <w:szCs w:val="21"/>
              </w:rPr>
              <w:t>暴露于危险环境的频繁程度分值E</w:t>
            </w:r>
          </w:p>
        </w:tc>
        <w:tc>
          <w:tcPr>
            <w:tcW w:w="943"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sz w:val="21"/>
                <w:szCs w:val="21"/>
              </w:rPr>
              <w:t>事故造成的后果分值C</w:t>
            </w:r>
          </w:p>
        </w:tc>
        <w:tc>
          <w:tcPr>
            <w:tcW w:w="943"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sz w:val="21"/>
                <w:szCs w:val="21"/>
              </w:rPr>
              <w:t>危险性分值D</w:t>
            </w:r>
          </w:p>
        </w:tc>
        <w:tc>
          <w:tcPr>
            <w:tcW w:w="1041" w:type="dxa"/>
            <w:tcBorders>
              <w:tl2br w:val="nil"/>
              <w:tr2bl w:val="nil"/>
            </w:tcBorders>
            <w:vAlign w:val="center"/>
          </w:tcPr>
          <w:p>
            <w:pPr>
              <w:adjustRightInd w:val="0"/>
              <w:snapToGrid w:val="0"/>
              <w:jc w:val="center"/>
              <w:rPr>
                <w:rFonts w:ascii="方正仿宋_GBK" w:hAnsi="宋体" w:cs="宋体"/>
                <w:b/>
                <w:bCs/>
                <w:sz w:val="21"/>
                <w:szCs w:val="21"/>
              </w:rPr>
            </w:pPr>
            <w:r>
              <w:rPr>
                <w:rFonts w:hint="eastAsia" w:ascii="方正仿宋_GBK" w:hAnsi="宋体" w:cs="宋体"/>
                <w:b/>
                <w:sz w:val="21"/>
                <w:szCs w:val="21"/>
              </w:rPr>
              <w:t>事故风险等级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775"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航空煤油长输管道</w:t>
            </w:r>
          </w:p>
        </w:tc>
        <w:tc>
          <w:tcPr>
            <w:tcW w:w="869"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航空</w:t>
            </w:r>
          </w:p>
          <w:p>
            <w:pPr>
              <w:adjustRightInd w:val="0"/>
              <w:snapToGrid w:val="0"/>
              <w:jc w:val="center"/>
              <w:rPr>
                <w:rFonts w:ascii="方正仿宋_GBK" w:hAnsi="宋体" w:cs="宋体"/>
                <w:sz w:val="21"/>
                <w:szCs w:val="21"/>
              </w:rPr>
            </w:pPr>
            <w:r>
              <w:rPr>
                <w:rFonts w:hint="eastAsia" w:ascii="方正仿宋_GBK" w:hAnsi="宋体" w:cs="宋体"/>
                <w:sz w:val="21"/>
                <w:szCs w:val="21"/>
              </w:rPr>
              <w:t>煤油</w:t>
            </w:r>
          </w:p>
        </w:tc>
        <w:tc>
          <w:tcPr>
            <w:tcW w:w="83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45</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比较危险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40</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120</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显著危险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环境</w:t>
            </w:r>
          </w:p>
          <w:p>
            <w:pPr>
              <w:adjustRightInd w:val="0"/>
              <w:snapToGrid w:val="0"/>
              <w:jc w:val="center"/>
              <w:rPr>
                <w:rFonts w:ascii="方正仿宋_GBK" w:hAnsi="宋体" w:cs="宋体"/>
                <w:sz w:val="21"/>
                <w:szCs w:val="21"/>
              </w:rPr>
            </w:pPr>
            <w:r>
              <w:rPr>
                <w:rFonts w:hint="eastAsia" w:ascii="方正仿宋_GBK" w:hAnsi="宋体" w:cs="宋体"/>
                <w:sz w:val="21"/>
                <w:szCs w:val="21"/>
              </w:rPr>
              <w:t>污染</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45</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比较危险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775"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重燃D711外环管线</w:t>
            </w:r>
          </w:p>
        </w:tc>
        <w:tc>
          <w:tcPr>
            <w:tcW w:w="869"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净化</w:t>
            </w:r>
          </w:p>
          <w:p>
            <w:pPr>
              <w:adjustRightInd w:val="0"/>
              <w:snapToGrid w:val="0"/>
              <w:jc w:val="center"/>
              <w:rPr>
                <w:rFonts w:ascii="方正仿宋_GBK" w:hAnsi="宋体" w:cs="宋体"/>
                <w:sz w:val="21"/>
                <w:szCs w:val="21"/>
              </w:rPr>
            </w:pPr>
            <w:r>
              <w:rPr>
                <w:rFonts w:hint="eastAsia" w:ascii="方正仿宋_GBK" w:hAnsi="宋体" w:cs="宋体"/>
                <w:sz w:val="21"/>
                <w:szCs w:val="21"/>
              </w:rPr>
              <w:t>天然气</w:t>
            </w:r>
          </w:p>
        </w:tc>
        <w:tc>
          <w:tcPr>
            <w:tcW w:w="83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45</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比较危险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40</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120</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显著危险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窒息</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0.2</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9</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775"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重燃D508晏鱼线</w:t>
            </w:r>
          </w:p>
        </w:tc>
        <w:tc>
          <w:tcPr>
            <w:tcW w:w="869"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净化</w:t>
            </w:r>
          </w:p>
          <w:p>
            <w:pPr>
              <w:adjustRightInd w:val="0"/>
              <w:snapToGrid w:val="0"/>
              <w:jc w:val="center"/>
              <w:rPr>
                <w:rFonts w:ascii="方正仿宋_GBK" w:hAnsi="宋体" w:cs="宋体"/>
                <w:sz w:val="21"/>
                <w:szCs w:val="21"/>
              </w:rPr>
            </w:pPr>
            <w:r>
              <w:rPr>
                <w:rFonts w:hint="eastAsia" w:ascii="方正仿宋_GBK" w:hAnsi="宋体" w:cs="宋体"/>
                <w:sz w:val="21"/>
                <w:szCs w:val="21"/>
              </w:rPr>
              <w:t>天然气</w:t>
            </w:r>
          </w:p>
        </w:tc>
        <w:tc>
          <w:tcPr>
            <w:tcW w:w="83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45</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比较危险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40</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120</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显著危险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窒息</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0.2</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9</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w:t>
            </w:r>
          </w:p>
        </w:tc>
        <w:tc>
          <w:tcPr>
            <w:tcW w:w="775"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重庆气矿D426卧渝线C</w:t>
            </w:r>
          </w:p>
        </w:tc>
        <w:tc>
          <w:tcPr>
            <w:tcW w:w="869"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净化</w:t>
            </w:r>
          </w:p>
          <w:p>
            <w:pPr>
              <w:adjustRightInd w:val="0"/>
              <w:snapToGrid w:val="0"/>
              <w:jc w:val="center"/>
              <w:rPr>
                <w:rFonts w:ascii="方正仿宋_GBK" w:hAnsi="宋体" w:cs="宋体"/>
                <w:sz w:val="21"/>
                <w:szCs w:val="21"/>
              </w:rPr>
            </w:pPr>
            <w:r>
              <w:rPr>
                <w:rFonts w:hint="eastAsia" w:ascii="方正仿宋_GBK" w:hAnsi="宋体" w:cs="宋体"/>
                <w:sz w:val="21"/>
                <w:szCs w:val="21"/>
              </w:rPr>
              <w:t>天然气</w:t>
            </w:r>
          </w:p>
        </w:tc>
        <w:tc>
          <w:tcPr>
            <w:tcW w:w="831" w:type="dxa"/>
            <w:vMerge w:val="restart"/>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管道/阀井</w:t>
            </w: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泄漏</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45</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比较危险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火灾、爆炸事故</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0.5</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40</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120</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显著危险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02" w:type="dxa"/>
            <w:vMerge w:val="continue"/>
            <w:tcBorders>
              <w:tl2br w:val="nil"/>
              <w:tr2bl w:val="nil"/>
            </w:tcBorders>
            <w:vAlign w:val="center"/>
          </w:tcPr>
          <w:p>
            <w:pPr>
              <w:tabs>
                <w:tab w:val="left" w:leader="middleDot" w:pos="7560"/>
              </w:tabs>
              <w:topLinePunct/>
              <w:adjustRightInd w:val="0"/>
              <w:snapToGrid w:val="0"/>
              <w:jc w:val="center"/>
              <w:rPr>
                <w:rFonts w:ascii="方正仿宋_GBK" w:hAnsi="宋体" w:cs="宋体"/>
                <w:sz w:val="21"/>
                <w:szCs w:val="21"/>
              </w:rPr>
            </w:pPr>
          </w:p>
        </w:tc>
        <w:tc>
          <w:tcPr>
            <w:tcW w:w="775"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69" w:type="dxa"/>
            <w:vMerge w:val="continue"/>
            <w:tcBorders>
              <w:tl2br w:val="nil"/>
              <w:tr2bl w:val="nil"/>
            </w:tcBorders>
            <w:vAlign w:val="center"/>
          </w:tcPr>
          <w:p>
            <w:pPr>
              <w:tabs>
                <w:tab w:val="left" w:leader="middleDot" w:pos="7560"/>
              </w:tabs>
              <w:topLinePunct/>
              <w:jc w:val="center"/>
              <w:rPr>
                <w:rFonts w:ascii="方正仿宋_GBK" w:hAnsi="宋体" w:cs="宋体"/>
                <w:sz w:val="21"/>
                <w:szCs w:val="21"/>
              </w:rPr>
            </w:pPr>
          </w:p>
        </w:tc>
        <w:tc>
          <w:tcPr>
            <w:tcW w:w="831" w:type="dxa"/>
            <w:vMerge w:val="continue"/>
            <w:tcBorders>
              <w:tl2br w:val="nil"/>
              <w:tr2bl w:val="nil"/>
            </w:tcBorders>
            <w:vAlign w:val="center"/>
          </w:tcPr>
          <w:p>
            <w:pPr>
              <w:adjustRightInd w:val="0"/>
              <w:snapToGrid w:val="0"/>
              <w:jc w:val="center"/>
              <w:rPr>
                <w:rFonts w:ascii="方正仿宋_GBK" w:hAnsi="宋体" w:cs="宋体"/>
                <w:sz w:val="21"/>
                <w:szCs w:val="21"/>
              </w:rPr>
            </w:pPr>
          </w:p>
        </w:tc>
        <w:tc>
          <w:tcPr>
            <w:tcW w:w="976"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窒息</w:t>
            </w:r>
          </w:p>
        </w:tc>
        <w:tc>
          <w:tcPr>
            <w:tcW w:w="1008"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0.2</w:t>
            </w:r>
          </w:p>
        </w:tc>
        <w:tc>
          <w:tcPr>
            <w:tcW w:w="957"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943"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9</w:t>
            </w:r>
          </w:p>
        </w:tc>
        <w:tc>
          <w:tcPr>
            <w:tcW w:w="1041" w:type="dxa"/>
            <w:tcBorders>
              <w:tl2br w:val="nil"/>
              <w:tr2bl w:val="nil"/>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稍有危险</w:t>
            </w:r>
          </w:p>
        </w:tc>
      </w:tr>
    </w:tbl>
    <w:p>
      <w:pPr>
        <w:pStyle w:val="46"/>
        <w:ind w:firstLine="632" w:firstLineChars="200"/>
        <w:jc w:val="both"/>
        <w:rPr>
          <w:rFonts w:ascii="方正仿宋_GBK"/>
          <w:sz w:val="32"/>
          <w:szCs w:val="32"/>
        </w:rPr>
      </w:pPr>
    </w:p>
    <w:p>
      <w:pPr>
        <w:pStyle w:val="46"/>
        <w:ind w:firstLine="632" w:firstLineChars="200"/>
        <w:rPr>
          <w:rFonts w:ascii="方正仿宋_GBK"/>
          <w:sz w:val="32"/>
          <w:szCs w:val="32"/>
        </w:rPr>
      </w:pPr>
      <w:r>
        <w:rPr>
          <w:rFonts w:hint="eastAsia" w:ascii="方正仿宋_GBK"/>
          <w:sz w:val="32"/>
          <w:szCs w:val="32"/>
        </w:rPr>
        <w:t>通过作业条件危险性评价表可知，石油天然气长输管道突发事件可能导致的事故类型主要为：泄漏、火灾、爆炸、窒息、环境污染等，其中火灾、爆炸事故的风险等级较高，为显著危险。</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2" w:name="_Toc113279523"/>
      <w:r>
        <w:rPr>
          <w:rFonts w:hint="eastAsia" w:ascii="方正楷体_GBK" w:hAnsi="方正楷体_GBK" w:eastAsia="方正楷体_GBK" w:cs="方正楷体_GBK"/>
          <w:b w:val="0"/>
          <w:bCs w:val="0"/>
        </w:rPr>
        <w:t xml:space="preserve">3.2 </w:t>
      </w:r>
      <w:r>
        <w:rPr>
          <w:rFonts w:ascii="方正楷体_GBK" w:hAnsi="方正楷体_GBK" w:eastAsia="方正楷体_GBK" w:cs="方正楷体_GBK"/>
          <w:b w:val="0"/>
          <w:bCs w:val="0"/>
        </w:rPr>
        <w:t xml:space="preserve"> 输油管线</w:t>
      </w:r>
      <w:r>
        <w:rPr>
          <w:rFonts w:hint="eastAsia" w:ascii="方正楷体_GBK" w:hAnsi="方正楷体_GBK" w:eastAsia="方正楷体_GBK" w:cs="方正楷体_GBK"/>
          <w:b w:val="0"/>
          <w:bCs w:val="0"/>
        </w:rPr>
        <w:t>定量风险评价</w:t>
      </w:r>
      <w:bookmarkEnd w:id="12"/>
    </w:p>
    <w:p>
      <w:pPr>
        <w:pStyle w:val="46"/>
        <w:ind w:firstLine="632" w:firstLineChars="200"/>
        <w:rPr>
          <w:rFonts w:ascii="方正仿宋_GBK"/>
          <w:sz w:val="32"/>
          <w:szCs w:val="32"/>
        </w:rPr>
      </w:pPr>
      <w:r>
        <w:rPr>
          <w:rFonts w:hint="eastAsia" w:ascii="方正仿宋_GBK"/>
          <w:sz w:val="32"/>
          <w:szCs w:val="32"/>
        </w:rPr>
        <w:t>采用中国安全生产科学研究院“CASSTQRA区域定量风险评价与管理”软件，选取中国航油重庆分公司油库库外和机坪围界外沿线输油管道工程高后果区个人风险和社会风险值分析。</w:t>
      </w:r>
    </w:p>
    <w:p>
      <w:pPr>
        <w:keepNext/>
        <w:keepLines/>
        <w:ind w:firstLine="632" w:firstLineChars="200"/>
        <w:outlineLvl w:val="2"/>
        <w:rPr>
          <w:rFonts w:ascii="仿宋_GB2312" w:eastAsia="仿宋_GB2312"/>
          <w:b/>
          <w:bCs/>
        </w:rPr>
      </w:pPr>
      <w:r>
        <w:rPr>
          <w:rFonts w:hint="eastAsia" w:ascii="仿宋_GB2312" w:eastAsia="仿宋_GB2312"/>
          <w:b/>
          <w:bCs/>
        </w:rPr>
        <w:t>3.2.1</w:t>
      </w:r>
      <w:r>
        <w:rPr>
          <w:rFonts w:ascii="仿宋_GB2312" w:eastAsia="仿宋_GB2312"/>
          <w:b/>
          <w:bCs/>
        </w:rPr>
        <w:t xml:space="preserve"> </w:t>
      </w:r>
      <w:r>
        <w:rPr>
          <w:rFonts w:hint="eastAsia" w:ascii="仿宋_GB2312" w:eastAsia="仿宋_GB2312"/>
          <w:b/>
          <w:bCs/>
        </w:rPr>
        <w:t>风险评价与管理相关理论和方法</w:t>
      </w:r>
    </w:p>
    <w:p>
      <w:pPr>
        <w:pStyle w:val="46"/>
        <w:ind w:firstLine="632" w:firstLineChars="200"/>
        <w:rPr>
          <w:rFonts w:ascii="方正仿宋_GBK"/>
          <w:sz w:val="32"/>
          <w:szCs w:val="32"/>
        </w:rPr>
      </w:pPr>
      <w:r>
        <w:rPr>
          <w:rFonts w:hint="eastAsia" w:ascii="方正仿宋_GBK"/>
          <w:sz w:val="32"/>
          <w:szCs w:val="32"/>
        </w:rPr>
        <w:t>（1）个人风险</w:t>
      </w:r>
    </w:p>
    <w:p>
      <w:pPr>
        <w:pStyle w:val="46"/>
        <w:ind w:firstLine="632" w:firstLineChars="200"/>
        <w:rPr>
          <w:rFonts w:ascii="方正仿宋_GBK"/>
          <w:sz w:val="32"/>
          <w:szCs w:val="32"/>
        </w:rPr>
      </w:pPr>
      <w:r>
        <w:rPr>
          <w:rFonts w:hint="eastAsia" w:ascii="方正仿宋_GBK"/>
          <w:sz w:val="32"/>
          <w:szCs w:val="32"/>
        </w:rPr>
        <w:t>假设人员长期处于某一场所且无保护，由于发生危险化学品事故而导致的死亡频率，单位为次/年。</w:t>
      </w:r>
    </w:p>
    <w:p>
      <w:pPr>
        <w:pStyle w:val="46"/>
        <w:ind w:firstLine="632" w:firstLineChars="200"/>
        <w:jc w:val="both"/>
        <w:rPr>
          <w:rFonts w:ascii="方正仿宋_GBK"/>
          <w:sz w:val="32"/>
          <w:szCs w:val="32"/>
        </w:rPr>
      </w:pPr>
      <w:r>
        <w:rPr>
          <w:rFonts w:hint="eastAsia" w:ascii="方正仿宋_GBK"/>
          <w:sz w:val="32"/>
          <w:szCs w:val="32"/>
        </w:rPr>
        <w:t>危险化学品生产装置和储存设施周边防护目标所承受的个人风险应不超过下表中个人风险基准的要求。</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1</w:t>
      </w:r>
      <w:r>
        <w:rPr>
          <w:rFonts w:hint="eastAsia" w:ascii="方正黑体_GBK" w:hAnsi="Times New Roman" w:eastAsia="方正黑体_GBK" w:cs="Times New Roman"/>
          <w:bCs/>
          <w:kern w:val="44"/>
          <w:sz w:val="28"/>
          <w:szCs w:val="28"/>
          <w:lang w:val="zh-CN"/>
        </w:rPr>
        <w:t xml:space="preserve">  个人风险基准</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2835"/>
        <w:gridCol w:w="2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3261"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防护目标</w:t>
            </w:r>
          </w:p>
        </w:tc>
        <w:tc>
          <w:tcPr>
            <w:tcW w:w="5584" w:type="dxa"/>
            <w:gridSpan w:val="2"/>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个人风险基准/（次/年）≤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3261" w:type="dxa"/>
            <w:vMerge w:val="continue"/>
            <w:vAlign w:val="center"/>
          </w:tcPr>
          <w:p>
            <w:pPr>
              <w:adjustRightInd w:val="0"/>
              <w:snapToGrid w:val="0"/>
              <w:jc w:val="center"/>
              <w:rPr>
                <w:rFonts w:ascii="方正仿宋_GBK" w:hAnsi="宋体" w:cs="宋体"/>
                <w:b/>
                <w:snapToGrid w:val="0"/>
                <w:kern w:val="0"/>
                <w:sz w:val="21"/>
                <w:szCs w:val="21"/>
              </w:rPr>
            </w:pPr>
          </w:p>
        </w:tc>
        <w:tc>
          <w:tcPr>
            <w:tcW w:w="2835"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危险化学品新建、改建、扩建生产装置和储存设施</w:t>
            </w:r>
          </w:p>
        </w:tc>
        <w:tc>
          <w:tcPr>
            <w:tcW w:w="274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危险化学品在役生产装置和储存设施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6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高敏感防护目标</w:t>
            </w:r>
          </w:p>
          <w:p>
            <w:pPr>
              <w:adjustRightInd w:val="0"/>
              <w:snapToGrid w:val="0"/>
              <w:jc w:val="center"/>
              <w:rPr>
                <w:rFonts w:ascii="方正仿宋_GBK" w:hAnsi="宋体" w:cs="宋体"/>
                <w:sz w:val="21"/>
                <w:szCs w:val="21"/>
              </w:rPr>
            </w:pPr>
            <w:r>
              <w:rPr>
                <w:rFonts w:hint="eastAsia" w:ascii="方正仿宋_GBK" w:hAnsi="宋体" w:cs="宋体"/>
                <w:sz w:val="21"/>
                <w:szCs w:val="21"/>
              </w:rPr>
              <w:t>重要防护目标</w:t>
            </w:r>
          </w:p>
          <w:p>
            <w:pPr>
              <w:adjustRightInd w:val="0"/>
              <w:snapToGrid w:val="0"/>
              <w:jc w:val="center"/>
              <w:rPr>
                <w:rFonts w:ascii="方正仿宋_GBK" w:hAnsi="宋体" w:cs="宋体"/>
                <w:sz w:val="21"/>
                <w:szCs w:val="21"/>
              </w:rPr>
            </w:pPr>
            <w:r>
              <w:rPr>
                <w:rFonts w:hint="eastAsia" w:ascii="方正仿宋_GBK" w:hAnsi="宋体" w:cs="宋体"/>
                <w:sz w:val="21"/>
                <w:szCs w:val="21"/>
              </w:rPr>
              <w:t>一般防护目标中的一类防护目标</w:t>
            </w:r>
          </w:p>
        </w:tc>
        <w:tc>
          <w:tcPr>
            <w:tcW w:w="283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3×10</w:t>
            </w:r>
            <w:r>
              <w:rPr>
                <w:rFonts w:hint="eastAsia" w:ascii="方正仿宋_GBK" w:hAnsi="宋体" w:cs="宋体"/>
                <w:sz w:val="21"/>
                <w:szCs w:val="21"/>
                <w:vertAlign w:val="superscript"/>
              </w:rPr>
              <w:t>-7</w:t>
            </w:r>
          </w:p>
        </w:tc>
        <w:tc>
          <w:tcPr>
            <w:tcW w:w="274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3×10</w:t>
            </w:r>
            <w:r>
              <w:rPr>
                <w:rFonts w:hint="eastAsia" w:ascii="方正仿宋_GBK" w:hAnsi="宋体" w:cs="宋体"/>
                <w:sz w:val="21"/>
                <w:szCs w:val="21"/>
                <w:vertAlign w:val="superscript"/>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6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一般防护目标中的二类防护目标</w:t>
            </w:r>
          </w:p>
        </w:tc>
        <w:tc>
          <w:tcPr>
            <w:tcW w:w="283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3×10</w:t>
            </w:r>
            <w:r>
              <w:rPr>
                <w:rFonts w:hint="eastAsia" w:ascii="方正仿宋_GBK" w:hAnsi="宋体" w:cs="宋体"/>
                <w:sz w:val="21"/>
                <w:szCs w:val="21"/>
                <w:vertAlign w:val="superscript"/>
              </w:rPr>
              <w:t>-6</w:t>
            </w:r>
          </w:p>
        </w:tc>
        <w:tc>
          <w:tcPr>
            <w:tcW w:w="274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1×10</w:t>
            </w:r>
            <w:r>
              <w:rPr>
                <w:rFonts w:hint="eastAsia" w:ascii="方正仿宋_GBK" w:hAnsi="宋体" w:cs="宋体"/>
                <w:sz w:val="21"/>
                <w:szCs w:val="21"/>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26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一般防护目标中的三类防护目标</w:t>
            </w:r>
          </w:p>
        </w:tc>
        <w:tc>
          <w:tcPr>
            <w:tcW w:w="283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1×10</w:t>
            </w:r>
            <w:r>
              <w:rPr>
                <w:rFonts w:hint="eastAsia" w:ascii="方正仿宋_GBK" w:hAnsi="宋体" w:cs="宋体"/>
                <w:sz w:val="21"/>
                <w:szCs w:val="21"/>
                <w:vertAlign w:val="superscript"/>
              </w:rPr>
              <w:t>-5</w:t>
            </w:r>
          </w:p>
        </w:tc>
        <w:tc>
          <w:tcPr>
            <w:tcW w:w="274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3×10</w:t>
            </w:r>
            <w:r>
              <w:rPr>
                <w:rFonts w:hint="eastAsia" w:ascii="方正仿宋_GBK" w:hAnsi="宋体" w:cs="宋体"/>
                <w:sz w:val="21"/>
                <w:szCs w:val="21"/>
                <w:vertAlign w:val="superscript"/>
              </w:rPr>
              <w:t>-5</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（2）社会风险</w:t>
      </w:r>
    </w:p>
    <w:p>
      <w:pPr>
        <w:pStyle w:val="46"/>
        <w:ind w:firstLine="632" w:firstLineChars="200"/>
        <w:jc w:val="both"/>
        <w:rPr>
          <w:rFonts w:ascii="方正仿宋_GBK"/>
          <w:sz w:val="32"/>
          <w:szCs w:val="32"/>
        </w:rPr>
      </w:pPr>
      <w:r>
        <w:rPr>
          <w:rFonts w:hint="eastAsia" w:ascii="方正仿宋_GBK"/>
          <w:sz w:val="32"/>
          <w:szCs w:val="32"/>
        </w:rPr>
        <w:t>群体（包括周边企业员工和公众）在危险区域承受某种程度伤害的频发程度，通常表示为大于或等于N人死亡的事故累计频率（F），以累计频率和死亡人数之间关系的曲线图（F-N曲线）来表示。</w:t>
      </w:r>
    </w:p>
    <w:p>
      <w:pPr>
        <w:pStyle w:val="46"/>
        <w:ind w:firstLine="632" w:firstLineChars="200"/>
        <w:jc w:val="both"/>
        <w:rPr>
          <w:rFonts w:ascii="方正仿宋_GBK"/>
          <w:sz w:val="32"/>
          <w:szCs w:val="32"/>
        </w:rPr>
      </w:pPr>
      <w:r>
        <w:rPr>
          <w:rFonts w:hint="eastAsia" w:ascii="方正仿宋_GBK"/>
          <w:sz w:val="32"/>
          <w:szCs w:val="32"/>
        </w:rPr>
        <w:t>社会风险基准，通过两条风险分界线将社会风险划分为3个区域，即不可接受区、尽可能降低区和可接受区。具体分界线位置如下图3.2-1所示。</w:t>
      </w:r>
    </w:p>
    <w:p>
      <w:pPr>
        <w:pStyle w:val="46"/>
        <w:ind w:firstLine="632" w:firstLineChars="200"/>
        <w:jc w:val="both"/>
        <w:rPr>
          <w:rFonts w:ascii="方正仿宋_GBK"/>
          <w:sz w:val="32"/>
          <w:szCs w:val="32"/>
        </w:rPr>
      </w:pPr>
      <w:r>
        <w:rPr>
          <w:rFonts w:hint="eastAsia" w:ascii="方正仿宋_GBK"/>
          <w:sz w:val="32"/>
          <w:szCs w:val="32"/>
        </w:rPr>
        <w:t>1）若社会风险曲线进入不可接受区，则应立即采取安全改进措施降低社会风险。</w:t>
      </w:r>
    </w:p>
    <w:p>
      <w:pPr>
        <w:pStyle w:val="46"/>
        <w:ind w:firstLine="632" w:firstLineChars="200"/>
        <w:jc w:val="both"/>
        <w:rPr>
          <w:rFonts w:ascii="方正仿宋_GBK"/>
          <w:sz w:val="32"/>
          <w:szCs w:val="32"/>
        </w:rPr>
      </w:pPr>
      <w:r>
        <w:rPr>
          <w:rFonts w:hint="eastAsia" w:ascii="方正仿宋_GBK"/>
          <w:sz w:val="32"/>
          <w:szCs w:val="32"/>
        </w:rPr>
        <w:t>2）若社会风险曲线进入尽可能降低区，应在可实现的范围内，尽可能采取安全改进措施降低社会风险。</w:t>
      </w:r>
    </w:p>
    <w:p>
      <w:pPr>
        <w:pStyle w:val="46"/>
        <w:ind w:firstLine="632" w:firstLineChars="200"/>
        <w:jc w:val="both"/>
        <w:rPr>
          <w:rFonts w:ascii="方正仿宋_GBK"/>
          <w:sz w:val="32"/>
          <w:szCs w:val="32"/>
        </w:rPr>
      </w:pPr>
      <w:r>
        <w:rPr>
          <w:rFonts w:hint="eastAsia" w:ascii="方正仿宋_GBK"/>
          <w:sz w:val="32"/>
          <w:szCs w:val="32"/>
        </w:rPr>
        <w:t>3）若社会风险曲线全部落在可接受区，则该风险可接受。</w:t>
      </w:r>
    </w:p>
    <w:p>
      <w:pPr>
        <w:keepNext/>
        <w:adjustRightInd w:val="0"/>
        <w:snapToGrid w:val="0"/>
        <w:jc w:val="center"/>
        <w:rPr>
          <w:rFonts w:hAnsi="宋体"/>
          <w:snapToGrid w:val="0"/>
          <w:kern w:val="0"/>
          <w:sz w:val="28"/>
          <w:szCs w:val="28"/>
        </w:rPr>
      </w:pPr>
      <w:r>
        <w:rPr>
          <w:rFonts w:hint="eastAsia" w:ascii="宋体" w:hAnsi="宋体" w:eastAsia="宋体" w:cs="宋体"/>
          <w:sz w:val="28"/>
          <w:szCs w:val="28"/>
        </w:rPr>
        <w:drawing>
          <wp:inline distT="0" distB="0" distL="0" distR="0">
            <wp:extent cx="4800600" cy="28003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
                      <a:extLst>
                        <a:ext uri="{28A0092B-C50C-407E-A947-70E740481C1C}">
                          <a14:useLocalDpi xmlns:a14="http://schemas.microsoft.com/office/drawing/2010/main" val="0"/>
                        </a:ext>
                      </a:extLst>
                    </a:blip>
                    <a:srcRect l="4398" t="2576" r="8171" b="4219"/>
                    <a:stretch>
                      <a:fillRect/>
                    </a:stretch>
                  </pic:blipFill>
                  <pic:spPr>
                    <a:xfrm>
                      <a:off x="0" y="0"/>
                      <a:ext cx="4800600" cy="280035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-1  社会风险基准</w:t>
      </w:r>
    </w:p>
    <w:p>
      <w:pPr>
        <w:keepNext/>
        <w:keepLines/>
        <w:ind w:firstLine="632" w:firstLineChars="200"/>
        <w:outlineLvl w:val="2"/>
        <w:rPr>
          <w:rFonts w:ascii="仿宋_GB2312" w:eastAsia="仿宋_GB2312"/>
          <w:b/>
          <w:bCs/>
        </w:rPr>
      </w:pPr>
      <w:r>
        <w:rPr>
          <w:rFonts w:hint="eastAsia" w:ascii="仿宋_GB2312" w:eastAsia="仿宋_GB2312"/>
          <w:b/>
          <w:bCs/>
        </w:rPr>
        <w:t>3.2.2 定量风险评价计算参数</w:t>
      </w:r>
    </w:p>
    <w:p>
      <w:pPr>
        <w:pStyle w:val="46"/>
        <w:ind w:firstLine="632" w:firstLineChars="200"/>
        <w:jc w:val="both"/>
        <w:rPr>
          <w:rFonts w:ascii="方正仿宋_GBK"/>
          <w:sz w:val="32"/>
          <w:szCs w:val="32"/>
        </w:rPr>
      </w:pPr>
      <w:r>
        <w:rPr>
          <w:rFonts w:hint="eastAsia" w:ascii="方正仿宋_GBK"/>
          <w:sz w:val="32"/>
          <w:szCs w:val="32"/>
        </w:rPr>
        <w:t>（1）企业和危险源参数</w:t>
      </w:r>
    </w:p>
    <w:p>
      <w:pPr>
        <w:pStyle w:val="46"/>
        <w:ind w:firstLine="632" w:firstLineChars="200"/>
        <w:jc w:val="both"/>
        <w:rPr>
          <w:rFonts w:ascii="方正仿宋_GBK"/>
          <w:sz w:val="32"/>
          <w:szCs w:val="32"/>
        </w:rPr>
      </w:pPr>
      <w:r>
        <w:rPr>
          <w:rFonts w:hint="eastAsia" w:ascii="方正仿宋_GBK"/>
          <w:sz w:val="32"/>
          <w:szCs w:val="32"/>
        </w:rPr>
        <w:t>危险源描述情况参照《中国航油重庆分公司油库库外和机坪围界外沿线输油管道工程高后果区识别报告》所述。</w:t>
      </w:r>
    </w:p>
    <w:p>
      <w:pPr>
        <w:pStyle w:val="46"/>
        <w:ind w:firstLine="632" w:firstLineChars="200"/>
        <w:jc w:val="both"/>
        <w:rPr>
          <w:rFonts w:ascii="方正仿宋_GBK"/>
          <w:sz w:val="32"/>
          <w:szCs w:val="32"/>
        </w:rPr>
      </w:pPr>
      <w:r>
        <w:rPr>
          <w:rFonts w:hint="eastAsia" w:ascii="方正仿宋_GBK"/>
          <w:sz w:val="32"/>
          <w:szCs w:val="32"/>
        </w:rPr>
        <w:t>（2）区域人口分布参数</w:t>
      </w:r>
    </w:p>
    <w:p>
      <w:pPr>
        <w:pStyle w:val="46"/>
        <w:ind w:firstLine="632" w:firstLineChars="200"/>
        <w:jc w:val="both"/>
        <w:rPr>
          <w:rFonts w:ascii="方正仿宋_GBK"/>
          <w:sz w:val="32"/>
          <w:szCs w:val="32"/>
        </w:rPr>
      </w:pPr>
      <w:r>
        <w:rPr>
          <w:rFonts w:hint="eastAsia" w:ascii="方正仿宋_GBK"/>
          <w:sz w:val="32"/>
          <w:szCs w:val="32"/>
        </w:rPr>
        <w:t>现场调研后确定。</w:t>
      </w:r>
    </w:p>
    <w:p>
      <w:pPr>
        <w:pStyle w:val="46"/>
        <w:ind w:firstLine="632" w:firstLineChars="200"/>
        <w:jc w:val="both"/>
        <w:rPr>
          <w:rFonts w:ascii="方正仿宋_GBK"/>
          <w:sz w:val="32"/>
          <w:szCs w:val="32"/>
        </w:rPr>
      </w:pPr>
      <w:r>
        <w:rPr>
          <w:rFonts w:hint="eastAsia" w:ascii="方正仿宋_GBK"/>
          <w:sz w:val="32"/>
          <w:szCs w:val="32"/>
        </w:rPr>
        <w:t>（3）事故情景描述</w:t>
      </w:r>
    </w:p>
    <w:p>
      <w:pPr>
        <w:pStyle w:val="46"/>
        <w:ind w:firstLine="632" w:firstLineChars="200"/>
        <w:jc w:val="both"/>
        <w:rPr>
          <w:rFonts w:ascii="方正仿宋_GBK"/>
          <w:sz w:val="32"/>
          <w:szCs w:val="32"/>
        </w:rPr>
      </w:pPr>
      <w:r>
        <w:rPr>
          <w:rFonts w:hint="eastAsia" w:ascii="方正仿宋_GBK"/>
          <w:sz w:val="32"/>
          <w:szCs w:val="32"/>
        </w:rPr>
        <w:t>事故情景考虑了油气长输管道泄漏、管道完全破裂的扩散后发生蒸气云爆炸和闪火。</w:t>
      </w:r>
    </w:p>
    <w:p>
      <w:pPr>
        <w:keepNext/>
        <w:keepLines/>
        <w:ind w:firstLine="632" w:firstLineChars="200"/>
        <w:outlineLvl w:val="2"/>
        <w:rPr>
          <w:rFonts w:ascii="仿宋_GB2312" w:eastAsia="仿宋_GB2312"/>
          <w:b/>
          <w:bCs/>
        </w:rPr>
      </w:pPr>
      <w:r>
        <w:rPr>
          <w:rFonts w:hint="eastAsia" w:ascii="仿宋_GB2312" w:eastAsia="仿宋_GB2312"/>
          <w:b/>
          <w:bCs/>
        </w:rPr>
        <w:t>3.2.3 管道泄漏事故后果</w:t>
      </w:r>
    </w:p>
    <w:p>
      <w:pPr>
        <w:pStyle w:val="46"/>
        <w:ind w:firstLine="632" w:firstLineChars="200"/>
        <w:rPr>
          <w:rFonts w:ascii="方正仿宋_GBK"/>
          <w:sz w:val="32"/>
          <w:szCs w:val="32"/>
        </w:rPr>
      </w:pPr>
      <w:r>
        <w:rPr>
          <w:rFonts w:hint="eastAsia" w:ascii="方正仿宋_GBK"/>
          <w:sz w:val="32"/>
          <w:szCs w:val="32"/>
        </w:rPr>
        <w:t>管道发生泄漏、池火灾的事故情景时，管道泄漏事故后果死亡半径46m，重伤半径52m，轻伤半径67m。可以看出：发生泄漏事故时，事故后果与管道泄漏量的大小、事故灾害类别以及大气稳定度等因素有关。可见，管段附近发生泄漏池火灾事故，其事故后果是非常严重的。由于唐家沱油库至港城园C区高后果区（以下简称“中航油HCA1”）、海尔路至沪渝高速高后果区（以下简称“中航油HCA2”）的风险等级相对较高（Ⅲ级高后果区），故选取上述两个高后果区进行管道泄漏事故后果模拟和定量风险分析。中航油HCA1、HCA2高后果区段管道泄漏事故后果如下图所示。</w:t>
      </w:r>
    </w:p>
    <w:p>
      <w:pPr>
        <w:keepNext/>
        <w:adjustRightInd w:val="0"/>
        <w:snapToGrid w:val="0"/>
        <w:spacing w:line="360" w:lineRule="auto"/>
        <w:jc w:val="center"/>
        <w:rPr>
          <w:rFonts w:ascii="宋体" w:hAnsi="宋体" w:eastAsia="宋体" w:cs="宋体"/>
          <w:snapToGrid w:val="0"/>
          <w:kern w:val="0"/>
          <w:sz w:val="28"/>
          <w:szCs w:val="28"/>
        </w:rPr>
      </w:pPr>
      <w:r>
        <w:rPr>
          <w:rFonts w:hint="eastAsia" w:ascii="宋体" w:hAnsi="宋体" w:eastAsia="宋体" w:cs="宋体"/>
          <w:snapToGrid w:val="0"/>
          <w:kern w:val="0"/>
          <w:sz w:val="28"/>
          <w:szCs w:val="28"/>
        </w:rPr>
        <w:drawing>
          <wp:inline distT="0" distB="0" distL="0" distR="0">
            <wp:extent cx="5616575" cy="2339340"/>
            <wp:effectExtent l="0" t="0" r="3175" b="381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16575" cy="233934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图3.2-2  中航油HCA1、HCA2高后果区事故后果图</w:t>
      </w:r>
    </w:p>
    <w:p>
      <w:pPr>
        <w:keepNext/>
        <w:keepLines/>
        <w:ind w:firstLine="632" w:firstLineChars="200"/>
        <w:outlineLvl w:val="2"/>
        <w:rPr>
          <w:rFonts w:ascii="仿宋_GB2312" w:eastAsia="仿宋_GB2312"/>
          <w:b/>
          <w:bCs/>
        </w:rPr>
      </w:pPr>
      <w:bookmarkStart w:id="13" w:name="_Toc514962900"/>
      <w:r>
        <w:rPr>
          <w:rFonts w:hint="eastAsia" w:ascii="仿宋_GB2312" w:eastAsia="仿宋_GB2312"/>
          <w:b/>
          <w:bCs/>
        </w:rPr>
        <w:t>3.2.4 个人风险分析</w:t>
      </w:r>
      <w:bookmarkEnd w:id="13"/>
    </w:p>
    <w:p>
      <w:pPr>
        <w:pStyle w:val="46"/>
        <w:ind w:firstLine="632" w:firstLineChars="200"/>
        <w:jc w:val="both"/>
        <w:rPr>
          <w:rFonts w:ascii="方正仿宋_GBK"/>
          <w:sz w:val="32"/>
          <w:szCs w:val="32"/>
        </w:rPr>
      </w:pPr>
      <w:r>
        <w:rPr>
          <w:rFonts w:hint="eastAsia" w:ascii="方正仿宋_GBK"/>
          <w:sz w:val="32"/>
          <w:szCs w:val="32"/>
        </w:rPr>
        <w:t>中航油HCA1、HCA2高后果区的个人风险中不存在大于等于</w:t>
      </w:r>
      <w:bookmarkStart w:id="14" w:name="_Hlk86158017"/>
      <w:r>
        <w:rPr>
          <w:rFonts w:hint="eastAsia" w:ascii="方正仿宋_GBK"/>
          <w:sz w:val="32"/>
          <w:szCs w:val="32"/>
        </w:rPr>
        <w:t>3×10</w:t>
      </w:r>
      <w:r>
        <w:rPr>
          <w:rFonts w:hint="eastAsia" w:ascii="方正仿宋_GBK"/>
          <w:sz w:val="32"/>
          <w:szCs w:val="32"/>
          <w:vertAlign w:val="superscript"/>
        </w:rPr>
        <w:t>-6</w:t>
      </w:r>
      <w:r>
        <w:rPr>
          <w:rFonts w:hint="eastAsia" w:ascii="方正仿宋_GBK"/>
          <w:sz w:val="32"/>
          <w:szCs w:val="32"/>
        </w:rPr>
        <w:t>次</w:t>
      </w:r>
      <w:bookmarkEnd w:id="14"/>
      <w:r>
        <w:rPr>
          <w:rFonts w:hint="eastAsia" w:ascii="方正仿宋_GBK"/>
          <w:sz w:val="32"/>
          <w:szCs w:val="32"/>
        </w:rPr>
        <w:t>/年的个人风险，符合《危险化学品生产装置和储存设施风险基准》（GB 36894-2018）的规定。</w:t>
      </w:r>
    </w:p>
    <w:p>
      <w:pPr>
        <w:keepNext/>
        <w:adjustRightInd w:val="0"/>
        <w:snapToGrid w:val="0"/>
        <w:spacing w:line="360" w:lineRule="auto"/>
        <w:jc w:val="center"/>
        <w:rPr>
          <w:rFonts w:ascii="宋体" w:hAnsi="宋体" w:eastAsia="宋体" w:cs="宋体"/>
          <w:snapToGrid w:val="0"/>
          <w:kern w:val="0"/>
          <w:sz w:val="28"/>
          <w:szCs w:val="28"/>
        </w:rPr>
      </w:pPr>
      <w:r>
        <w:rPr>
          <w:rFonts w:hint="eastAsia" w:ascii="宋体" w:hAnsi="宋体" w:eastAsia="宋体" w:cs="宋体"/>
          <w:snapToGrid w:val="0"/>
          <w:kern w:val="0"/>
          <w:sz w:val="28"/>
          <w:szCs w:val="28"/>
        </w:rPr>
        <w:drawing>
          <wp:inline distT="0" distB="0" distL="0" distR="0">
            <wp:extent cx="5616575" cy="2339340"/>
            <wp:effectExtent l="0" t="0" r="3175" b="3810"/>
            <wp:docPr id="32" name="图片 32"/>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rrowheads="1"/>
                    </pic:cNvPicPr>
                  </pic:nvPicPr>
                  <pic:blipFill>
                    <a:blip r:embed="rId11" cstate="print">
                      <a:extLst>
                        <a:ext uri="{28A0092B-C50C-407E-A947-70E740481C1C}">
                          <a14:useLocalDpi xmlns:a14="http://schemas.microsoft.com/office/drawing/2010/main" val="0"/>
                        </a:ext>
                      </a:extLst>
                    </a:blip>
                    <a:srcRect l="10117" r="4138"/>
                    <a:stretch>
                      <a:fillRect/>
                    </a:stretch>
                  </pic:blipFill>
                  <pic:spPr>
                    <a:xfrm>
                      <a:off x="0" y="0"/>
                      <a:ext cx="5616575" cy="233934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图3.2-3  中航油HCA1、HCA2高后果区管道个人风险等值线图</w:t>
      </w:r>
    </w:p>
    <w:p>
      <w:pPr>
        <w:keepNext/>
        <w:keepLines/>
        <w:ind w:firstLine="632" w:firstLineChars="200"/>
        <w:outlineLvl w:val="2"/>
        <w:rPr>
          <w:rFonts w:ascii="仿宋_GB2312" w:eastAsia="仿宋_GB2312"/>
          <w:b/>
          <w:bCs/>
        </w:rPr>
      </w:pPr>
      <w:bookmarkStart w:id="15" w:name="_Toc514962901"/>
      <w:r>
        <w:rPr>
          <w:rFonts w:hint="eastAsia" w:ascii="仿宋_GB2312" w:eastAsia="仿宋_GB2312"/>
          <w:b/>
          <w:bCs/>
        </w:rPr>
        <w:t>3.2.5 社会风险分析</w:t>
      </w:r>
      <w:bookmarkEnd w:id="15"/>
    </w:p>
    <w:p>
      <w:pPr>
        <w:pStyle w:val="46"/>
        <w:ind w:firstLine="632" w:firstLineChars="200"/>
        <w:jc w:val="both"/>
        <w:rPr>
          <w:rFonts w:ascii="方正仿宋_GBK"/>
          <w:sz w:val="32"/>
          <w:szCs w:val="32"/>
        </w:rPr>
      </w:pPr>
      <w:r>
        <w:rPr>
          <w:rFonts w:hint="eastAsia" w:ascii="方正仿宋_GBK"/>
          <w:sz w:val="32"/>
          <w:szCs w:val="32"/>
        </w:rPr>
        <w:t>中航油HCA1、HCA2高后果区的社会风险分析如下图所示。</w:t>
      </w:r>
    </w:p>
    <w:p>
      <w:pPr>
        <w:keepNext/>
        <w:adjustRightInd w:val="0"/>
        <w:snapToGrid w:val="0"/>
        <w:spacing w:line="360" w:lineRule="auto"/>
        <w:jc w:val="center"/>
        <w:rPr>
          <w:rFonts w:ascii="宋体" w:hAnsi="宋体" w:eastAsia="宋体" w:cs="宋体"/>
          <w:snapToGrid w:val="0"/>
          <w:kern w:val="0"/>
          <w:sz w:val="28"/>
          <w:szCs w:val="28"/>
        </w:rPr>
      </w:pPr>
      <w:r>
        <w:rPr>
          <w:rFonts w:hint="eastAsia" w:ascii="宋体" w:hAnsi="宋体" w:eastAsia="宋体" w:cs="宋体"/>
          <w:snapToGrid w:val="0"/>
          <w:kern w:val="0"/>
          <w:sz w:val="28"/>
          <w:szCs w:val="28"/>
        </w:rPr>
        <w:drawing>
          <wp:inline distT="0" distB="0" distL="0" distR="0">
            <wp:extent cx="5257800" cy="29908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57800" cy="299085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图3.2-4  中航油HCA1、HCA2高后果区管道社会风险等值线图</w:t>
      </w:r>
    </w:p>
    <w:p>
      <w:pPr>
        <w:pStyle w:val="46"/>
        <w:ind w:firstLine="632" w:firstLineChars="200"/>
        <w:jc w:val="both"/>
        <w:rPr>
          <w:rFonts w:ascii="方正仿宋_GBK"/>
          <w:sz w:val="32"/>
          <w:szCs w:val="32"/>
        </w:rPr>
      </w:pPr>
      <w:r>
        <w:rPr>
          <w:rFonts w:hint="eastAsia" w:ascii="方正仿宋_GBK"/>
          <w:sz w:val="32"/>
          <w:szCs w:val="32"/>
        </w:rPr>
        <w:t>由图3.2-4可以看到，中航油HCA1、HCA2高后果区管道厂外的社会风险位于容许区，也就是说，在现状情况下，唐家沱油库至港城园C区高后果区、海尔路至沪渝高速高后果区管道的厂外社会风险是能够接受的，但总体水平较高。</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6" w:name="_Toc113279524"/>
      <w:r>
        <w:rPr>
          <w:rFonts w:hint="eastAsia" w:ascii="方正楷体_GBK" w:hAnsi="方正楷体_GBK" w:eastAsia="方正楷体_GBK" w:cs="方正楷体_GBK"/>
          <w:b w:val="0"/>
          <w:bCs w:val="0"/>
        </w:rPr>
        <w:t xml:space="preserve">3.3 </w:t>
      </w:r>
      <w:r>
        <w:rPr>
          <w:rFonts w:ascii="方正楷体_GBK" w:hAnsi="方正楷体_GBK" w:eastAsia="方正楷体_GBK" w:cs="方正楷体_GBK"/>
          <w:b w:val="0"/>
          <w:bCs w:val="0"/>
        </w:rPr>
        <w:t xml:space="preserve"> 输气管线</w:t>
      </w:r>
      <w:r>
        <w:rPr>
          <w:rFonts w:hint="eastAsia" w:ascii="方正楷体_GBK" w:hAnsi="方正楷体_GBK" w:eastAsia="方正楷体_GBK" w:cs="方正楷体_GBK"/>
          <w:b w:val="0"/>
          <w:bCs w:val="0"/>
        </w:rPr>
        <w:t>事故后果定量分析</w:t>
      </w:r>
      <w:bookmarkEnd w:id="16"/>
    </w:p>
    <w:p>
      <w:pPr>
        <w:pStyle w:val="46"/>
        <w:ind w:firstLine="632" w:firstLineChars="200"/>
        <w:jc w:val="both"/>
        <w:rPr>
          <w:rFonts w:ascii="方正仿宋_GBK"/>
          <w:sz w:val="32"/>
          <w:szCs w:val="32"/>
        </w:rPr>
      </w:pPr>
      <w:r>
        <w:rPr>
          <w:rFonts w:hint="eastAsia" w:ascii="方正仿宋_GBK"/>
          <w:sz w:val="32"/>
          <w:szCs w:val="32"/>
        </w:rPr>
        <w:t>本报告采用挪威船级社（DNV）开发的PHAST8.2软件进行事故后果定量分析模拟，以江北区境内输气管道（外环管线、晏鱼线输气管道）目前生产运行实际情况，模拟计算管道发生泄漏后产生喷射火、云团爆炸事故的影响范围。</w:t>
      </w:r>
    </w:p>
    <w:p>
      <w:pPr>
        <w:keepNext/>
        <w:keepLines/>
        <w:ind w:firstLine="632" w:firstLineChars="200"/>
        <w:outlineLvl w:val="2"/>
        <w:rPr>
          <w:rFonts w:ascii="仿宋_GB2312" w:eastAsia="仿宋_GB2312"/>
          <w:b/>
          <w:bCs/>
        </w:rPr>
      </w:pPr>
      <w:r>
        <w:rPr>
          <w:rFonts w:hint="eastAsia" w:ascii="仿宋_GB2312" w:eastAsia="仿宋_GB2312"/>
          <w:b/>
          <w:bCs/>
        </w:rPr>
        <w:t>3.3.1</w:t>
      </w:r>
      <w:r>
        <w:rPr>
          <w:rFonts w:ascii="仿宋_GB2312" w:eastAsia="仿宋_GB2312"/>
          <w:b/>
          <w:bCs/>
        </w:rPr>
        <w:t xml:space="preserve"> </w:t>
      </w:r>
      <w:r>
        <w:rPr>
          <w:rFonts w:hint="eastAsia" w:ascii="仿宋_GB2312" w:eastAsia="仿宋_GB2312"/>
          <w:b/>
          <w:bCs/>
        </w:rPr>
        <w:t>事故影响范围模拟计算与分析</w:t>
      </w:r>
    </w:p>
    <w:p>
      <w:pPr>
        <w:pStyle w:val="46"/>
        <w:keepNext/>
        <w:widowControl/>
        <w:ind w:firstLine="632" w:firstLineChars="200"/>
        <w:jc w:val="both"/>
        <w:outlineLvl w:val="3"/>
        <w:rPr>
          <w:rFonts w:ascii="方正仿宋_GBK"/>
          <w:sz w:val="32"/>
          <w:szCs w:val="32"/>
        </w:rPr>
      </w:pPr>
      <w:r>
        <w:rPr>
          <w:rFonts w:hint="eastAsia" w:ascii="方正仿宋_GBK"/>
          <w:sz w:val="32"/>
          <w:szCs w:val="32"/>
        </w:rPr>
        <w:t>3.3.1.1 模拟条件</w:t>
      </w:r>
    </w:p>
    <w:p>
      <w:pPr>
        <w:pStyle w:val="46"/>
        <w:ind w:firstLine="632" w:firstLineChars="200"/>
        <w:jc w:val="both"/>
        <w:rPr>
          <w:rFonts w:ascii="方正仿宋_GBK"/>
          <w:sz w:val="32"/>
          <w:szCs w:val="32"/>
        </w:rPr>
      </w:pPr>
      <w:r>
        <w:rPr>
          <w:rFonts w:hint="eastAsia" w:ascii="方正仿宋_GBK"/>
          <w:sz w:val="32"/>
          <w:szCs w:val="32"/>
        </w:rPr>
        <w:t>（1）管道运行参数</w:t>
      </w:r>
    </w:p>
    <w:p>
      <w:pPr>
        <w:pStyle w:val="46"/>
        <w:ind w:firstLine="632" w:firstLineChars="200"/>
        <w:jc w:val="both"/>
        <w:rPr>
          <w:rFonts w:ascii="方正仿宋_GBK"/>
          <w:sz w:val="32"/>
          <w:szCs w:val="32"/>
        </w:rPr>
      </w:pPr>
      <w:r>
        <w:rPr>
          <w:rFonts w:hint="eastAsia" w:ascii="方正仿宋_GBK"/>
          <w:sz w:val="32"/>
          <w:szCs w:val="32"/>
        </w:rPr>
        <w:t>依据现场勘查收集资料及风险辨识，本报告PHAST软件模拟参数根据目前外环管线、晏鱼线输气管道实际运行参数取值，见下表。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表3.3-1  模拟参数及取值表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2071"/>
        <w:gridCol w:w="1189"/>
        <w:gridCol w:w="1418"/>
        <w:gridCol w:w="1276"/>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管道</w:t>
            </w:r>
          </w:p>
        </w:tc>
        <w:tc>
          <w:tcPr>
            <w:tcW w:w="2071"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管径(mm)</w:t>
            </w:r>
          </w:p>
        </w:tc>
        <w:tc>
          <w:tcPr>
            <w:tcW w:w="118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长度(km)</w:t>
            </w:r>
          </w:p>
        </w:tc>
        <w:tc>
          <w:tcPr>
            <w:tcW w:w="1418"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运行压力(MPa)</w:t>
            </w:r>
          </w:p>
        </w:tc>
        <w:tc>
          <w:tcPr>
            <w:tcW w:w="127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温度(℃)</w:t>
            </w:r>
          </w:p>
        </w:tc>
        <w:tc>
          <w:tcPr>
            <w:tcW w:w="1615"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实际输气量(10</w:t>
            </w:r>
            <w:r>
              <w:rPr>
                <w:rFonts w:hint="eastAsia" w:ascii="方正仿宋_GBK" w:hAnsi="宋体" w:cs="宋体"/>
                <w:b/>
                <w:sz w:val="21"/>
                <w:szCs w:val="21"/>
                <w:vertAlign w:val="superscript"/>
              </w:rPr>
              <w:t>4</w:t>
            </w:r>
            <w:r>
              <w:rPr>
                <w:rFonts w:hint="eastAsia" w:ascii="方正仿宋_GBK" w:hAnsi="宋体" w:cs="宋体"/>
                <w:b/>
                <w:sz w:val="21"/>
                <w:szCs w:val="21"/>
              </w:rPr>
              <w:t>m</w:t>
            </w:r>
            <w:r>
              <w:rPr>
                <w:rFonts w:hint="eastAsia" w:ascii="方正仿宋_GBK" w:hAnsi="宋体" w:cs="宋体"/>
                <w:b/>
                <w:sz w:val="21"/>
                <w:szCs w:val="21"/>
                <w:vertAlign w:val="superscript"/>
              </w:rPr>
              <w:t>3</w:t>
            </w:r>
            <w:r>
              <w:rPr>
                <w:rFonts w:hint="eastAsia" w:ascii="方正仿宋_GBK" w:hAnsi="宋体" w:cs="宋体"/>
                <w:b/>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外环管线</w:t>
            </w:r>
          </w:p>
        </w:tc>
        <w:tc>
          <w:tcPr>
            <w:tcW w:w="20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Φ711×11</w:t>
            </w:r>
          </w:p>
        </w:tc>
        <w:tc>
          <w:tcPr>
            <w:tcW w:w="118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217</w:t>
            </w:r>
          </w:p>
        </w:tc>
        <w:tc>
          <w:tcPr>
            <w:tcW w:w="141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1.3</w:t>
            </w: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w:t>
            </w:r>
          </w:p>
        </w:tc>
        <w:tc>
          <w:tcPr>
            <w:tcW w:w="161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晏鱼线</w:t>
            </w:r>
          </w:p>
        </w:tc>
        <w:tc>
          <w:tcPr>
            <w:tcW w:w="207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Φ508×8.8（7.1）</w:t>
            </w:r>
          </w:p>
        </w:tc>
        <w:tc>
          <w:tcPr>
            <w:tcW w:w="118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39</w:t>
            </w:r>
          </w:p>
        </w:tc>
        <w:tc>
          <w:tcPr>
            <w:tcW w:w="141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1.8～3.2</w:t>
            </w: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w:t>
            </w:r>
          </w:p>
        </w:tc>
        <w:tc>
          <w:tcPr>
            <w:tcW w:w="1615"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50～60</w:t>
            </w:r>
          </w:p>
        </w:tc>
      </w:tr>
    </w:tbl>
    <w:p>
      <w:pPr>
        <w:pStyle w:val="46"/>
        <w:ind w:firstLine="632" w:firstLineChars="200"/>
        <w:jc w:val="both"/>
        <w:rPr>
          <w:rFonts w:ascii="方正仿宋_GBK"/>
          <w:sz w:val="32"/>
          <w:szCs w:val="32"/>
        </w:rPr>
      </w:pPr>
    </w:p>
    <w:p>
      <w:pPr>
        <w:pStyle w:val="46"/>
        <w:ind w:firstLine="632" w:firstLineChars="200"/>
        <w:rPr>
          <w:rFonts w:ascii="方正仿宋_GBK"/>
          <w:sz w:val="32"/>
          <w:szCs w:val="32"/>
        </w:rPr>
      </w:pPr>
      <w:r>
        <w:rPr>
          <w:rFonts w:hint="eastAsia" w:ascii="方正仿宋_GBK"/>
          <w:sz w:val="32"/>
          <w:szCs w:val="32"/>
        </w:rPr>
        <w:t>（2）计算模式及事故场景</w:t>
      </w:r>
    </w:p>
    <w:p>
      <w:pPr>
        <w:pStyle w:val="46"/>
        <w:ind w:firstLine="632" w:firstLineChars="200"/>
        <w:rPr>
          <w:rFonts w:ascii="方正仿宋_GBK"/>
          <w:sz w:val="32"/>
          <w:szCs w:val="32"/>
        </w:rPr>
      </w:pPr>
      <w:r>
        <w:rPr>
          <w:rFonts w:hint="eastAsia" w:ascii="方正仿宋_GBK"/>
          <w:sz w:val="32"/>
          <w:szCs w:val="32"/>
        </w:rPr>
        <w:t>本报告中模拟管道天然气发生泄漏时，使用了事故后果软件中Long pipeline释放模块，模型考虑了温度、压力、气质参数、气象条件及泄漏管道的破裂程度对气体释放的影响，并考虑了截断阀门对泄漏速率和泄漏量的影响。事故模拟的气象环境参数如下表。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表3.3-2  气象与环境参数见表</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0"/>
        <w:gridCol w:w="1776"/>
        <w:gridCol w:w="1726"/>
        <w:gridCol w:w="1517"/>
        <w:gridCol w:w="2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风速（m/s）</w:t>
            </w:r>
          </w:p>
        </w:tc>
        <w:tc>
          <w:tcPr>
            <w:tcW w:w="17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大气稳定度</w:t>
            </w:r>
          </w:p>
        </w:tc>
        <w:tc>
          <w:tcPr>
            <w:tcW w:w="172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环境温度(K))</w:t>
            </w:r>
          </w:p>
        </w:tc>
        <w:tc>
          <w:tcPr>
            <w:tcW w:w="1517"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介质温度</w:t>
            </w:r>
          </w:p>
        </w:tc>
        <w:tc>
          <w:tcPr>
            <w:tcW w:w="204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泄漏源高度（m）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8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1.5</w:t>
            </w:r>
          </w:p>
        </w:tc>
        <w:tc>
          <w:tcPr>
            <w:tcW w:w="17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D</w:t>
            </w:r>
          </w:p>
        </w:tc>
        <w:tc>
          <w:tcPr>
            <w:tcW w:w="172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w:t>
            </w:r>
          </w:p>
        </w:tc>
        <w:tc>
          <w:tcPr>
            <w:tcW w:w="1517"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293</w:t>
            </w:r>
          </w:p>
        </w:tc>
        <w:tc>
          <w:tcPr>
            <w:tcW w:w="204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0</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根据当地地形条件，模拟开阔地形环境下，并考虑管道土壤覆盖情况，管壁粗糙度取0.045。</w:t>
      </w:r>
    </w:p>
    <w:p>
      <w:pPr>
        <w:pStyle w:val="46"/>
        <w:ind w:firstLine="632" w:firstLineChars="200"/>
        <w:jc w:val="both"/>
        <w:rPr>
          <w:rFonts w:ascii="方正仿宋_GBK"/>
          <w:sz w:val="32"/>
          <w:szCs w:val="32"/>
        </w:rPr>
      </w:pPr>
      <w:r>
        <w:rPr>
          <w:rFonts w:hint="eastAsia" w:ascii="方正仿宋_GBK"/>
          <w:sz w:val="32"/>
          <w:szCs w:val="32"/>
        </w:rPr>
        <w:t>模拟各管道在第三方破坏、腐蚀穿孔开裂或自然灾害等因素下，管道发生破裂泄漏事故时，本节模拟埋地管道破裂以20％、100%管截面积（A），在垂直方向泄漏或释放天然气，埋地管道弹坑裂缝长度取1m,并假设泄漏点周围无其他任何障碍物的情况。管道泄漏主要发生在管道处，其泄漏典型特征及损坏尺寸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 xml:space="preserve">表3.3-3 </w:t>
      </w:r>
      <w:r>
        <w:rPr>
          <w:rFonts w:ascii="方正黑体_GBK" w:hAnsi="Times New Roman" w:eastAsia="方正黑体_GBK" w:cs="Times New Roman"/>
          <w:bCs/>
          <w:kern w:val="44"/>
          <w:sz w:val="28"/>
          <w:szCs w:val="28"/>
          <w:lang w:val="zh-CN"/>
        </w:rPr>
        <w:t xml:space="preserve"> </w:t>
      </w:r>
      <w:r>
        <w:rPr>
          <w:rFonts w:hint="eastAsia" w:ascii="方正黑体_GBK" w:hAnsi="Times New Roman" w:eastAsia="方正黑体_GBK" w:cs="Times New Roman"/>
          <w:bCs/>
          <w:kern w:val="44"/>
          <w:sz w:val="28"/>
          <w:szCs w:val="28"/>
          <w:lang w:val="zh-CN"/>
        </w:rPr>
        <w:t>管道泄漏典型泄漏与损坏尺寸</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44"/>
        <w:gridCol w:w="530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3544"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典型特征</w:t>
            </w:r>
          </w:p>
        </w:tc>
        <w:tc>
          <w:tcPr>
            <w:tcW w:w="5301"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损坏尺寸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354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管道泄漏</w:t>
            </w:r>
          </w:p>
        </w:tc>
        <w:tc>
          <w:tcPr>
            <w:tcW w:w="530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100％或20％A（管道横截面面积）</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管道发生天然气泄漏时，管道两端段截断阀30分钟内将切断气源，以控制事故的扩大。</w:t>
      </w:r>
    </w:p>
    <w:p>
      <w:pPr>
        <w:pStyle w:val="46"/>
        <w:keepNext/>
        <w:widowControl/>
        <w:ind w:firstLine="632" w:firstLineChars="200"/>
        <w:jc w:val="both"/>
        <w:outlineLvl w:val="3"/>
        <w:rPr>
          <w:rFonts w:ascii="方正仿宋_GBK"/>
          <w:sz w:val="32"/>
          <w:szCs w:val="32"/>
        </w:rPr>
      </w:pPr>
      <w:r>
        <w:rPr>
          <w:rFonts w:hint="eastAsia" w:ascii="方正仿宋_GBK"/>
          <w:sz w:val="32"/>
          <w:szCs w:val="32"/>
        </w:rPr>
        <w:t>3.3.1.2 事故影响模拟计算</w:t>
      </w:r>
    </w:p>
    <w:p>
      <w:pPr>
        <w:pStyle w:val="46"/>
        <w:ind w:firstLine="632" w:firstLineChars="200"/>
        <w:jc w:val="both"/>
        <w:rPr>
          <w:rFonts w:ascii="方正仿宋_GBK"/>
          <w:sz w:val="32"/>
          <w:szCs w:val="32"/>
        </w:rPr>
      </w:pPr>
      <w:r>
        <w:rPr>
          <w:rFonts w:hint="eastAsia" w:ascii="方正仿宋_GBK"/>
          <w:sz w:val="32"/>
          <w:szCs w:val="32"/>
        </w:rPr>
        <w:t>（1）喷射火事故</w:t>
      </w:r>
    </w:p>
    <w:p>
      <w:pPr>
        <w:pStyle w:val="46"/>
        <w:ind w:firstLine="632" w:firstLineChars="200"/>
        <w:jc w:val="both"/>
        <w:rPr>
          <w:rFonts w:ascii="方正仿宋_GBK"/>
          <w:sz w:val="32"/>
          <w:szCs w:val="32"/>
        </w:rPr>
      </w:pPr>
      <w:r>
        <w:rPr>
          <w:rFonts w:hint="eastAsia" w:ascii="方正仿宋_GBK"/>
          <w:sz w:val="32"/>
          <w:szCs w:val="32"/>
        </w:rPr>
        <w:t>管线失效后若以初始泄漏率泄漏，并在泄漏过程中遇火源，将形成垂直向上的喷射火焰，泄漏速率随着时间的变化持续下降。结合热辐射的伤害和破坏作用关系见表3.3-4，即可求得喷射火产生的热辐射的伤害和破坏作用。热辐射最大影响距离以目标接受到的热辐射强度4.0</w:t>
      </w:r>
      <w:r>
        <w:rPr>
          <w:rFonts w:ascii="方正仿宋_GBK"/>
          <w:sz w:val="32"/>
          <w:szCs w:val="32"/>
        </w:rPr>
        <w:t>kW</w:t>
      </w:r>
      <w:r>
        <w:rPr>
          <w:rFonts w:hint="eastAsia" w:ascii="方正仿宋_GBK"/>
          <w:sz w:val="32"/>
          <w:szCs w:val="32"/>
        </w:rPr>
        <w:t>/m</w:t>
      </w:r>
      <w:r>
        <w:rPr>
          <w:rFonts w:hint="eastAsia" w:ascii="方正仿宋_GBK"/>
          <w:sz w:val="32"/>
          <w:szCs w:val="32"/>
          <w:vertAlign w:val="superscript"/>
        </w:rPr>
        <w:t>2</w:t>
      </w:r>
      <w:r>
        <w:rPr>
          <w:rFonts w:hint="eastAsia" w:ascii="方正仿宋_GBK"/>
          <w:sz w:val="32"/>
          <w:szCs w:val="32"/>
        </w:rPr>
        <w:t>为标准计算。计算结果见表3.3</w:t>
      </w:r>
      <w:r>
        <w:rPr>
          <w:rFonts w:ascii="方正仿宋_GBK"/>
          <w:sz w:val="32"/>
          <w:szCs w:val="32"/>
        </w:rPr>
        <w:t>-</w:t>
      </w:r>
      <w:r>
        <w:rPr>
          <w:rFonts w:hint="eastAsia" w:ascii="方正仿宋_GBK"/>
          <w:sz w:val="32"/>
          <w:szCs w:val="32"/>
        </w:rPr>
        <w:t>5，外环管线计算模拟图见图3.3-1～图3.3-4；晏鱼线计算模拟图见图3.3-5～图3.3-8。</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表3.3-4热辐射伤害与破坏作用关系</w:t>
      </w:r>
    </w:p>
    <w:tbl>
      <w:tblPr>
        <w:tblStyle w:val="55"/>
        <w:tblW w:w="8845" w:type="dxa"/>
        <w:jc w:val="center"/>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1083"/>
        <w:gridCol w:w="3566"/>
        <w:gridCol w:w="4196"/>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083"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辐射强度</w:t>
            </w:r>
          </w:p>
          <w:p>
            <w:pPr>
              <w:adjustRightInd w:val="0"/>
              <w:snapToGrid w:val="0"/>
              <w:jc w:val="center"/>
              <w:rPr>
                <w:rFonts w:ascii="方正仿宋_GBK" w:hAnsi="宋体" w:cs="宋体"/>
                <w:b/>
                <w:sz w:val="21"/>
                <w:szCs w:val="21"/>
              </w:rPr>
            </w:pPr>
            <w:r>
              <w:rPr>
                <w:rFonts w:hint="eastAsia" w:ascii="方正仿宋_GBK" w:hAnsi="宋体" w:cs="宋体"/>
                <w:b/>
                <w:sz w:val="21"/>
                <w:szCs w:val="21"/>
              </w:rPr>
              <w:t>（kW/m</w:t>
            </w:r>
            <w:r>
              <w:rPr>
                <w:rFonts w:hint="eastAsia" w:ascii="方正仿宋_GBK" w:hAnsi="宋体" w:cs="宋体"/>
                <w:b/>
                <w:sz w:val="21"/>
                <w:szCs w:val="21"/>
                <w:vertAlign w:val="superscript"/>
              </w:rPr>
              <w:t>2</w:t>
            </w:r>
            <w:r>
              <w:rPr>
                <w:rFonts w:hint="eastAsia" w:ascii="方正仿宋_GBK" w:hAnsi="宋体" w:cs="宋体"/>
                <w:b/>
                <w:sz w:val="21"/>
                <w:szCs w:val="21"/>
              </w:rPr>
              <w:t>）</w:t>
            </w:r>
          </w:p>
        </w:tc>
        <w:tc>
          <w:tcPr>
            <w:tcW w:w="7762" w:type="dxa"/>
            <w:gridSpan w:val="2"/>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危害性</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083" w:type="dxa"/>
            <w:vMerge w:val="continue"/>
            <w:vAlign w:val="center"/>
          </w:tcPr>
          <w:p>
            <w:pPr>
              <w:pStyle w:val="252"/>
              <w:rPr>
                <w:rFonts w:ascii="方正仿宋_GBK" w:hAnsi="宋体" w:eastAsia="方正仿宋_GBK" w:cs="宋体"/>
                <w:b/>
                <w:bCs/>
              </w:rPr>
            </w:pPr>
          </w:p>
        </w:tc>
        <w:tc>
          <w:tcPr>
            <w:tcW w:w="356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对设备或建筑物的影响</w:t>
            </w:r>
          </w:p>
        </w:tc>
        <w:tc>
          <w:tcPr>
            <w:tcW w:w="419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对人的影响</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08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37.5</w:t>
            </w:r>
          </w:p>
        </w:tc>
        <w:tc>
          <w:tcPr>
            <w:tcW w:w="3566"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破坏加工设备</w:t>
            </w:r>
          </w:p>
        </w:tc>
        <w:tc>
          <w:tcPr>
            <w:tcW w:w="4196"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1分钟内100%的人死亡，10秒钟内1%的人死亡</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08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25.0</w:t>
            </w:r>
          </w:p>
        </w:tc>
        <w:tc>
          <w:tcPr>
            <w:tcW w:w="3566"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木头在无明火下长时间（时间不定）暴露引起着火所需的最少能量</w:t>
            </w:r>
          </w:p>
        </w:tc>
        <w:tc>
          <w:tcPr>
            <w:tcW w:w="4196"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1分钟内100%的人死亡，10秒钟内严重烧伤</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08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12.5</w:t>
            </w:r>
          </w:p>
        </w:tc>
        <w:tc>
          <w:tcPr>
            <w:tcW w:w="3566"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木头在有明火下燃烧所需的最少能量，塑料管熔化</w:t>
            </w:r>
          </w:p>
        </w:tc>
        <w:tc>
          <w:tcPr>
            <w:tcW w:w="4196"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1分钟内1%的死亡，10秒钟内1度烧伤</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083"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4.0</w:t>
            </w:r>
          </w:p>
        </w:tc>
        <w:tc>
          <w:tcPr>
            <w:tcW w:w="3566" w:type="dxa"/>
            <w:vAlign w:val="center"/>
          </w:tcPr>
          <w:p>
            <w:pPr>
              <w:adjustRightInd w:val="0"/>
              <w:snapToGrid w:val="0"/>
              <w:ind w:firstLine="206" w:firstLineChars="100"/>
              <w:rPr>
                <w:rFonts w:ascii="方正仿宋_GBK" w:hAnsi="宋体" w:cs="宋体"/>
                <w:sz w:val="21"/>
                <w:szCs w:val="21"/>
              </w:rPr>
            </w:pPr>
          </w:p>
        </w:tc>
        <w:tc>
          <w:tcPr>
            <w:tcW w:w="4196"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超过20秒引起疼痛，但不会起水泡</w:t>
            </w:r>
          </w:p>
        </w:tc>
      </w:tr>
    </w:tbl>
    <w:p>
      <w:pPr>
        <w:pStyle w:val="46"/>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表3.3-5热辐射强度影响距离</w:t>
      </w:r>
    </w:p>
    <w:tbl>
      <w:tblPr>
        <w:tblStyle w:val="55"/>
        <w:tblW w:w="8845" w:type="dxa"/>
        <w:jc w:val="center"/>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559"/>
        <w:gridCol w:w="1648"/>
        <w:gridCol w:w="1544"/>
        <w:gridCol w:w="1542"/>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7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管道名称</w:t>
            </w:r>
          </w:p>
        </w:tc>
        <w:tc>
          <w:tcPr>
            <w:tcW w:w="127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破裂程度</w:t>
            </w:r>
          </w:p>
        </w:tc>
        <w:tc>
          <w:tcPr>
            <w:tcW w:w="155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喷射火长度</w:t>
            </w:r>
          </w:p>
          <w:p>
            <w:pPr>
              <w:adjustRightInd w:val="0"/>
              <w:snapToGrid w:val="0"/>
              <w:jc w:val="center"/>
              <w:rPr>
                <w:rFonts w:ascii="方正仿宋_GBK" w:hAnsi="宋体" w:cs="宋体"/>
                <w:b/>
                <w:sz w:val="21"/>
                <w:szCs w:val="21"/>
              </w:rPr>
            </w:pPr>
            <w:r>
              <w:rPr>
                <w:rFonts w:hint="eastAsia" w:ascii="方正仿宋_GBK" w:hAnsi="宋体" w:cs="宋体"/>
                <w:b/>
                <w:sz w:val="21"/>
                <w:szCs w:val="21"/>
              </w:rPr>
              <w:t>（m）</w:t>
            </w:r>
          </w:p>
        </w:tc>
        <w:tc>
          <w:tcPr>
            <w:tcW w:w="1648"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37.5kW/m</w:t>
            </w:r>
            <w:r>
              <w:rPr>
                <w:rFonts w:hint="eastAsia" w:ascii="方正仿宋_GBK" w:hAnsi="宋体" w:cs="宋体"/>
                <w:b/>
                <w:sz w:val="21"/>
                <w:szCs w:val="21"/>
                <w:vertAlign w:val="superscript"/>
              </w:rPr>
              <w:t>2</w:t>
            </w:r>
            <w:r>
              <w:rPr>
                <w:rFonts w:hint="eastAsia" w:ascii="方正仿宋_GBK" w:hAnsi="宋体" w:cs="宋体"/>
                <w:b/>
                <w:sz w:val="21"/>
                <w:szCs w:val="21"/>
              </w:rPr>
              <w:t>影响距离（m）</w:t>
            </w:r>
          </w:p>
        </w:tc>
        <w:tc>
          <w:tcPr>
            <w:tcW w:w="1544"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12.5kW/m</w:t>
            </w:r>
            <w:r>
              <w:rPr>
                <w:rFonts w:hint="eastAsia" w:ascii="方正仿宋_GBK" w:hAnsi="宋体" w:cs="宋体"/>
                <w:b/>
                <w:sz w:val="21"/>
                <w:szCs w:val="21"/>
                <w:vertAlign w:val="superscript"/>
              </w:rPr>
              <w:t>2</w:t>
            </w:r>
            <w:r>
              <w:rPr>
                <w:rFonts w:hint="eastAsia" w:ascii="方正仿宋_GBK" w:hAnsi="宋体" w:cs="宋体"/>
                <w:b/>
                <w:sz w:val="21"/>
                <w:szCs w:val="21"/>
              </w:rPr>
              <w:t>影响距离（m）</w:t>
            </w:r>
          </w:p>
        </w:tc>
        <w:tc>
          <w:tcPr>
            <w:tcW w:w="154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4.0kW/m</w:t>
            </w:r>
            <w:r>
              <w:rPr>
                <w:rFonts w:hint="eastAsia" w:ascii="方正仿宋_GBK" w:hAnsi="宋体" w:cs="宋体"/>
                <w:b/>
                <w:sz w:val="21"/>
                <w:szCs w:val="21"/>
                <w:vertAlign w:val="superscript"/>
              </w:rPr>
              <w:t>2</w:t>
            </w:r>
            <w:r>
              <w:rPr>
                <w:rFonts w:hint="eastAsia" w:ascii="方正仿宋_GBK" w:hAnsi="宋体" w:cs="宋体"/>
                <w:b/>
                <w:sz w:val="21"/>
                <w:szCs w:val="21"/>
              </w:rPr>
              <w:t>影响距离（m）</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76" w:type="dxa"/>
            <w:vMerge w:val="restart"/>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外环管线</w:t>
            </w: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20%A</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195.8</w:t>
            </w:r>
          </w:p>
        </w:tc>
        <w:tc>
          <w:tcPr>
            <w:tcW w:w="164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8.6</w:t>
            </w:r>
          </w:p>
        </w:tc>
        <w:tc>
          <w:tcPr>
            <w:tcW w:w="154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103.3</w:t>
            </w:r>
          </w:p>
        </w:tc>
        <w:tc>
          <w:tcPr>
            <w:tcW w:w="154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270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76" w:type="dxa"/>
            <w:vMerge w:val="continue"/>
            <w:vAlign w:val="center"/>
          </w:tcPr>
          <w:p>
            <w:pPr>
              <w:pStyle w:val="252"/>
              <w:rPr>
                <w:rFonts w:ascii="方正仿宋_GBK" w:hAnsi="宋体" w:eastAsia="方正仿宋_GBK" w:cs="宋体"/>
              </w:rPr>
            </w:pP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100%A</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243.9</w:t>
            </w:r>
          </w:p>
        </w:tc>
        <w:tc>
          <w:tcPr>
            <w:tcW w:w="164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14.5</w:t>
            </w:r>
          </w:p>
        </w:tc>
        <w:tc>
          <w:tcPr>
            <w:tcW w:w="154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137.9</w:t>
            </w:r>
          </w:p>
        </w:tc>
        <w:tc>
          <w:tcPr>
            <w:tcW w:w="154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346.4</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76" w:type="dxa"/>
            <w:vMerge w:val="restart"/>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晏鱼线</w:t>
            </w: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20%A</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111.8</w:t>
            </w:r>
          </w:p>
        </w:tc>
        <w:tc>
          <w:tcPr>
            <w:tcW w:w="164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w:t>
            </w:r>
          </w:p>
        </w:tc>
        <w:tc>
          <w:tcPr>
            <w:tcW w:w="154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36.3</w:t>
            </w:r>
          </w:p>
        </w:tc>
        <w:tc>
          <w:tcPr>
            <w:tcW w:w="154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132</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76" w:type="dxa"/>
            <w:vMerge w:val="continue"/>
            <w:vAlign w:val="center"/>
          </w:tcPr>
          <w:p>
            <w:pPr>
              <w:pStyle w:val="252"/>
              <w:rPr>
                <w:rFonts w:ascii="方正仿宋_GBK" w:hAnsi="宋体" w:eastAsia="方正仿宋_GBK" w:cs="宋体"/>
              </w:rPr>
            </w:pP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100%A</w:t>
            </w:r>
          </w:p>
        </w:tc>
        <w:tc>
          <w:tcPr>
            <w:tcW w:w="155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120.8</w:t>
            </w:r>
          </w:p>
        </w:tc>
        <w:tc>
          <w:tcPr>
            <w:tcW w:w="1648"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w:t>
            </w:r>
          </w:p>
        </w:tc>
        <w:tc>
          <w:tcPr>
            <w:tcW w:w="154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45</w:t>
            </w:r>
          </w:p>
        </w:tc>
        <w:tc>
          <w:tcPr>
            <w:tcW w:w="154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148</w:t>
            </w:r>
          </w:p>
        </w:tc>
      </w:tr>
    </w:tbl>
    <w:p>
      <w:pPr>
        <w:pStyle w:val="46"/>
        <w:ind w:firstLine="632" w:firstLineChars="200"/>
        <w:jc w:val="both"/>
        <w:rPr>
          <w:rFonts w:ascii="方正仿宋_GBK"/>
          <w:sz w:val="32"/>
          <w:szCs w:val="32"/>
        </w:rPr>
      </w:pPr>
    </w:p>
    <w:p>
      <w:pPr>
        <w:keepNext/>
        <w:adjustRightInd w:val="0"/>
        <w:snapToGrid w:val="0"/>
        <w:spacing w:line="360" w:lineRule="auto"/>
        <w:jc w:val="center"/>
        <w:rPr>
          <w:rFonts w:ascii="宋体" w:hAnsi="宋体" w:eastAsia="宋体" w:cs="宋体"/>
          <w:snapToGrid w:val="0"/>
          <w:kern w:val="0"/>
          <w:sz w:val="28"/>
          <w:szCs w:val="28"/>
        </w:rPr>
      </w:pPr>
      <w:r>
        <w:rPr>
          <w:rFonts w:ascii="Times New Roman" w:hAnsi="Times New Roman" w:eastAsia="宋体" w:cs="Times New Roman"/>
          <w:kern w:val="0"/>
          <w:sz w:val="24"/>
          <w:szCs w:val="20"/>
        </w:rPr>
        <w:drawing>
          <wp:inline distT="0" distB="0" distL="0" distR="0">
            <wp:extent cx="5615940" cy="345567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16000" cy="345600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1</w:t>
      </w:r>
      <w:r>
        <w:rPr>
          <w:rFonts w:hint="eastAsia" w:ascii="方正黑体_GBK" w:hAnsi="Times New Roman" w:eastAsia="方正黑体_GBK" w:cs="Times New Roman"/>
          <w:bCs/>
          <w:kern w:val="44"/>
          <w:sz w:val="28"/>
          <w:szCs w:val="28"/>
          <w:lang w:val="zh-CN"/>
        </w:rPr>
        <w:t xml:space="preserve">  外环线（发生20%A管道泄漏）扩散示意图</w:t>
      </w:r>
    </w:p>
    <w:p>
      <w:pPr>
        <w:pStyle w:val="46"/>
        <w:ind w:firstLine="632" w:firstLineChars="200"/>
        <w:jc w:val="both"/>
        <w:rPr>
          <w:rFonts w:ascii="方正仿宋_GBK"/>
          <w:sz w:val="32"/>
          <w:szCs w:val="32"/>
          <w:lang w:val="zh-CN"/>
        </w:rPr>
      </w:pPr>
    </w:p>
    <w:p>
      <w:pPr>
        <w:keepNext/>
        <w:adjustRightInd w:val="0"/>
        <w:snapToGrid w:val="0"/>
        <w:spacing w:line="360" w:lineRule="auto"/>
        <w:jc w:val="center"/>
        <w:rPr>
          <w:rFonts w:ascii="宋体" w:hAnsi="宋体" w:eastAsia="宋体" w:cs="宋体"/>
          <w:snapToGrid w:val="0"/>
          <w:kern w:val="0"/>
          <w:sz w:val="28"/>
          <w:szCs w:val="28"/>
        </w:rPr>
      </w:pPr>
      <w:r>
        <w:rPr>
          <w:rFonts w:ascii="Times New Roman" w:hAnsi="Times New Roman" w:eastAsia="宋体" w:cs="Times New Roman"/>
        </w:rPr>
        <w:drawing>
          <wp:inline distT="0" distB="0" distL="0" distR="0">
            <wp:extent cx="5615940" cy="3311525"/>
            <wp:effectExtent l="0" t="0" r="381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616000" cy="331200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2</w:t>
      </w:r>
      <w:r>
        <w:rPr>
          <w:rFonts w:hint="eastAsia" w:ascii="方正黑体_GBK" w:hAnsi="Times New Roman" w:eastAsia="方正黑体_GBK" w:cs="Times New Roman"/>
          <w:bCs/>
          <w:kern w:val="44"/>
          <w:sz w:val="28"/>
          <w:szCs w:val="28"/>
          <w:lang w:val="zh-CN"/>
        </w:rPr>
        <w:t xml:space="preserve">  外环线（发生20%A管道泄漏）喷射火热辐射强度分布图</w:t>
      </w:r>
    </w:p>
    <w:p>
      <w:pPr>
        <w:keepNext/>
        <w:adjustRightInd w:val="0"/>
        <w:snapToGrid w:val="0"/>
        <w:spacing w:line="360" w:lineRule="auto"/>
        <w:jc w:val="center"/>
        <w:rPr>
          <w:rFonts w:ascii="宋体" w:hAnsi="宋体" w:eastAsia="宋体" w:cs="宋体"/>
          <w:snapToGrid w:val="0"/>
          <w:kern w:val="0"/>
          <w:sz w:val="28"/>
          <w:szCs w:val="28"/>
        </w:rPr>
      </w:pPr>
      <w:r>
        <w:rPr>
          <w:rFonts w:ascii="Arial" w:hAnsi="宋体" w:eastAsia="黑体" w:cs="Times New Roman"/>
          <w:kern w:val="0"/>
          <w:sz w:val="24"/>
          <w:szCs w:val="21"/>
        </w:rPr>
        <w:drawing>
          <wp:inline distT="0" distB="0" distL="0" distR="0">
            <wp:extent cx="5615940" cy="345567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16000" cy="345600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 xml:space="preserve">  外环线（发生</w:t>
      </w:r>
      <w:r>
        <w:rPr>
          <w:rFonts w:ascii="方正黑体_GBK" w:hAnsi="Times New Roman" w:eastAsia="方正黑体_GBK" w:cs="Times New Roman"/>
          <w:bCs/>
          <w:kern w:val="44"/>
          <w:sz w:val="28"/>
          <w:szCs w:val="28"/>
          <w:lang w:val="zh-CN"/>
        </w:rPr>
        <w:t>10</w:t>
      </w:r>
      <w:r>
        <w:rPr>
          <w:rFonts w:hint="eastAsia" w:ascii="方正黑体_GBK" w:hAnsi="Times New Roman" w:eastAsia="方正黑体_GBK" w:cs="Times New Roman"/>
          <w:bCs/>
          <w:kern w:val="44"/>
          <w:sz w:val="28"/>
          <w:szCs w:val="28"/>
          <w:lang w:val="zh-CN"/>
        </w:rPr>
        <w:t>0%A管道泄漏）扩散示意图</w:t>
      </w:r>
    </w:p>
    <w:p>
      <w:pPr>
        <w:pStyle w:val="46"/>
        <w:ind w:firstLine="632" w:firstLineChars="200"/>
        <w:jc w:val="both"/>
        <w:rPr>
          <w:rFonts w:ascii="方正仿宋_GBK"/>
          <w:sz w:val="32"/>
          <w:szCs w:val="32"/>
          <w:lang w:val="zh-CN"/>
        </w:rPr>
      </w:pPr>
    </w:p>
    <w:p>
      <w:pPr>
        <w:keepNext/>
        <w:adjustRightInd w:val="0"/>
        <w:snapToGrid w:val="0"/>
        <w:spacing w:line="360" w:lineRule="auto"/>
        <w:jc w:val="center"/>
        <w:rPr>
          <w:rFonts w:ascii="宋体" w:hAnsi="宋体" w:eastAsia="宋体" w:cs="宋体"/>
          <w:snapToGrid w:val="0"/>
          <w:kern w:val="0"/>
          <w:sz w:val="28"/>
          <w:szCs w:val="28"/>
        </w:rPr>
      </w:pPr>
      <w:r>
        <w:rPr>
          <w:rFonts w:ascii="Arial" w:hAnsi="宋体" w:eastAsia="黑体" w:cs="Times New Roman"/>
          <w:kern w:val="0"/>
          <w:sz w:val="24"/>
          <w:szCs w:val="21"/>
        </w:rPr>
        <w:drawing>
          <wp:inline distT="0" distB="0" distL="0" distR="0">
            <wp:extent cx="5615940" cy="331152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16000" cy="3312000"/>
                    </a:xfrm>
                    <a:prstGeom prst="rect">
                      <a:avLst/>
                    </a:prstGeom>
                    <a:noFill/>
                    <a:ln>
                      <a:noFill/>
                    </a:ln>
                  </pic:spPr>
                </pic:pic>
              </a:graphicData>
            </a:graphic>
          </wp:inline>
        </w:drawing>
      </w:r>
    </w:p>
    <w:p>
      <w:pPr>
        <w:widowControl/>
        <w:adjustRightInd w:val="0"/>
        <w:snapToGrid w:val="0"/>
        <w:spacing w:line="360" w:lineRule="auto"/>
        <w:jc w:val="center"/>
        <w:rPr>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w:t>
      </w:r>
      <w:r>
        <w:rPr>
          <w:rFonts w:ascii="方正黑体_GBK" w:hAnsi="Times New Roman" w:eastAsia="方正黑体_GBK" w:cs="Times New Roman"/>
          <w:bCs/>
          <w:kern w:val="44"/>
          <w:sz w:val="28"/>
          <w:szCs w:val="28"/>
          <w:lang w:val="zh-CN"/>
        </w:rPr>
        <w:t>4</w:t>
      </w:r>
      <w:r>
        <w:rPr>
          <w:rFonts w:hint="eastAsia" w:ascii="方正黑体_GBK" w:hAnsi="Times New Roman" w:eastAsia="方正黑体_GBK" w:cs="Times New Roman"/>
          <w:bCs/>
          <w:kern w:val="44"/>
          <w:sz w:val="28"/>
          <w:szCs w:val="28"/>
          <w:lang w:val="zh-CN"/>
        </w:rPr>
        <w:t xml:space="preserve">  外环线（发生</w:t>
      </w:r>
      <w:r>
        <w:rPr>
          <w:rFonts w:ascii="方正黑体_GBK" w:hAnsi="Times New Roman" w:eastAsia="方正黑体_GBK" w:cs="Times New Roman"/>
          <w:bCs/>
          <w:kern w:val="44"/>
          <w:sz w:val="28"/>
          <w:szCs w:val="28"/>
          <w:lang w:val="zh-CN"/>
        </w:rPr>
        <w:t>10</w:t>
      </w:r>
      <w:r>
        <w:rPr>
          <w:rFonts w:hint="eastAsia" w:ascii="方正黑体_GBK" w:hAnsi="Times New Roman" w:eastAsia="方正黑体_GBK" w:cs="Times New Roman"/>
          <w:bCs/>
          <w:kern w:val="44"/>
          <w:sz w:val="28"/>
          <w:szCs w:val="28"/>
          <w:lang w:val="zh-CN"/>
        </w:rPr>
        <w:t>0%A管道泄漏）喷射火热辐射强度分布图</w:t>
      </w:r>
    </w:p>
    <w:p>
      <w:pPr>
        <w:keepNext/>
        <w:adjustRightInd w:val="0"/>
        <w:snapToGrid w:val="0"/>
        <w:spacing w:line="360" w:lineRule="auto"/>
        <w:jc w:val="center"/>
        <w:rPr>
          <w:rFonts w:ascii="宋体" w:hAnsi="宋体" w:eastAsia="宋体" w:cs="宋体"/>
          <w:snapToGrid w:val="0"/>
          <w:kern w:val="0"/>
          <w:sz w:val="28"/>
          <w:szCs w:val="28"/>
        </w:rPr>
      </w:pPr>
      <w:r>
        <w:drawing>
          <wp:inline distT="0" distB="0" distL="0" distR="0">
            <wp:extent cx="5616575" cy="3462655"/>
            <wp:effectExtent l="0" t="0" r="31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16575" cy="3462655"/>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-5  晏鱼线（发生20%A管道泄漏）云团扩散示意图</w:t>
      </w:r>
    </w:p>
    <w:p>
      <w:pPr>
        <w:pStyle w:val="46"/>
        <w:ind w:firstLine="632" w:firstLineChars="200"/>
        <w:jc w:val="both"/>
        <w:rPr>
          <w:rFonts w:ascii="方正仿宋_GBK"/>
          <w:sz w:val="32"/>
          <w:szCs w:val="32"/>
          <w:lang w:val="zh-CN"/>
        </w:rPr>
      </w:pPr>
    </w:p>
    <w:p>
      <w:pPr>
        <w:keepNext/>
        <w:adjustRightInd w:val="0"/>
        <w:snapToGrid w:val="0"/>
        <w:spacing w:line="360" w:lineRule="auto"/>
        <w:jc w:val="center"/>
        <w:rPr>
          <w:rFonts w:ascii="宋体" w:hAnsi="宋体" w:eastAsia="宋体" w:cs="宋体"/>
          <w:snapToGrid w:val="0"/>
          <w:kern w:val="0"/>
          <w:sz w:val="28"/>
          <w:szCs w:val="28"/>
        </w:rPr>
      </w:pPr>
      <w:r>
        <w:drawing>
          <wp:inline distT="0" distB="0" distL="0" distR="0">
            <wp:extent cx="5616575" cy="330390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16575" cy="3303905"/>
                    </a:xfrm>
                    <a:prstGeom prst="rect">
                      <a:avLst/>
                    </a:prstGeom>
                    <a:noFill/>
                    <a:ln>
                      <a:noFill/>
                    </a:ln>
                    <a:effectLst/>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-6  晏鱼线（发生20%A管道泄漏）喷射火模拟图</w:t>
      </w:r>
    </w:p>
    <w:p>
      <w:pPr>
        <w:keepNext/>
        <w:adjustRightInd w:val="0"/>
        <w:snapToGrid w:val="0"/>
        <w:spacing w:line="360" w:lineRule="auto"/>
        <w:jc w:val="center"/>
        <w:rPr>
          <w:rFonts w:ascii="宋体" w:hAnsi="宋体" w:eastAsia="宋体" w:cs="宋体"/>
          <w:snapToGrid w:val="0"/>
          <w:kern w:val="0"/>
          <w:sz w:val="28"/>
          <w:szCs w:val="28"/>
        </w:rPr>
      </w:pPr>
      <w:r>
        <w:drawing>
          <wp:inline distT="0" distB="0" distL="0" distR="0">
            <wp:extent cx="5615940" cy="345567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16000" cy="3456000"/>
                    </a:xfrm>
                    <a:prstGeom prst="rect">
                      <a:avLst/>
                    </a:prstGeom>
                    <a:noFill/>
                    <a:ln>
                      <a:noFill/>
                    </a:ln>
                    <a:effectLst/>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-7  晏鱼线（发生</w:t>
      </w:r>
      <w:r>
        <w:rPr>
          <w:rFonts w:ascii="方正黑体_GBK" w:hAnsi="Times New Roman" w:eastAsia="方正黑体_GBK" w:cs="Times New Roman"/>
          <w:bCs/>
          <w:kern w:val="44"/>
          <w:sz w:val="28"/>
          <w:szCs w:val="28"/>
          <w:lang w:val="zh-CN"/>
        </w:rPr>
        <w:t>10</w:t>
      </w:r>
      <w:r>
        <w:rPr>
          <w:rFonts w:hint="eastAsia" w:ascii="方正黑体_GBK" w:hAnsi="Times New Roman" w:eastAsia="方正黑体_GBK" w:cs="Times New Roman"/>
          <w:bCs/>
          <w:kern w:val="44"/>
          <w:sz w:val="28"/>
          <w:szCs w:val="28"/>
          <w:lang w:val="zh-CN"/>
        </w:rPr>
        <w:t>0%A管道泄漏）云团扩散示意图</w:t>
      </w:r>
    </w:p>
    <w:p>
      <w:pPr>
        <w:pStyle w:val="46"/>
        <w:ind w:firstLine="632" w:firstLineChars="200"/>
        <w:jc w:val="both"/>
        <w:rPr>
          <w:rFonts w:ascii="方正仿宋_GBK"/>
          <w:sz w:val="32"/>
          <w:szCs w:val="32"/>
          <w:lang w:val="zh-CN"/>
        </w:rPr>
      </w:pPr>
    </w:p>
    <w:p>
      <w:pPr>
        <w:keepNext/>
        <w:adjustRightInd w:val="0"/>
        <w:snapToGrid w:val="0"/>
        <w:spacing w:line="360" w:lineRule="auto"/>
        <w:jc w:val="center"/>
        <w:rPr>
          <w:rFonts w:ascii="宋体" w:hAnsi="宋体" w:eastAsia="宋体" w:cs="宋体"/>
          <w:snapToGrid w:val="0"/>
          <w:kern w:val="0"/>
          <w:sz w:val="28"/>
          <w:szCs w:val="28"/>
        </w:rPr>
      </w:pPr>
      <w:r>
        <w:drawing>
          <wp:inline distT="0" distB="0" distL="0" distR="0">
            <wp:extent cx="5616575" cy="3027680"/>
            <wp:effectExtent l="0" t="0" r="317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616575" cy="302768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-8  晏鱼线（发生</w:t>
      </w:r>
      <w:r>
        <w:rPr>
          <w:rFonts w:ascii="方正黑体_GBK" w:hAnsi="Times New Roman" w:eastAsia="方正黑体_GBK" w:cs="Times New Roman"/>
          <w:bCs/>
          <w:kern w:val="44"/>
          <w:sz w:val="28"/>
          <w:szCs w:val="28"/>
          <w:lang w:val="zh-CN"/>
        </w:rPr>
        <w:t>10</w:t>
      </w:r>
      <w:r>
        <w:rPr>
          <w:rFonts w:hint="eastAsia" w:ascii="方正黑体_GBK" w:hAnsi="Times New Roman" w:eastAsia="方正黑体_GBK" w:cs="Times New Roman"/>
          <w:bCs/>
          <w:kern w:val="44"/>
          <w:sz w:val="28"/>
          <w:szCs w:val="28"/>
          <w:lang w:val="zh-CN"/>
        </w:rPr>
        <w:t>0%A管道泄漏）喷射火模拟图</w:t>
      </w:r>
    </w:p>
    <w:p>
      <w:pPr>
        <w:pStyle w:val="46"/>
        <w:ind w:firstLine="632" w:firstLineChars="200"/>
        <w:jc w:val="both"/>
        <w:rPr>
          <w:rFonts w:ascii="方正仿宋_GBK"/>
          <w:sz w:val="32"/>
          <w:szCs w:val="32"/>
        </w:rPr>
      </w:pPr>
      <w:r>
        <w:rPr>
          <w:rFonts w:hint="eastAsia" w:ascii="方正仿宋_GBK"/>
          <w:sz w:val="32"/>
          <w:szCs w:val="32"/>
        </w:rPr>
        <w:t>（2）蒸气云爆炸</w:t>
      </w:r>
    </w:p>
    <w:p>
      <w:pPr>
        <w:pStyle w:val="46"/>
        <w:ind w:firstLine="632" w:firstLineChars="200"/>
        <w:jc w:val="both"/>
        <w:rPr>
          <w:rFonts w:ascii="方正仿宋_GBK"/>
          <w:sz w:val="32"/>
          <w:szCs w:val="32"/>
        </w:rPr>
      </w:pPr>
      <w:r>
        <w:rPr>
          <w:rFonts w:hint="eastAsia" w:ascii="方正仿宋_GBK"/>
          <w:sz w:val="32"/>
          <w:szCs w:val="32"/>
        </w:rPr>
        <w:t>泄漏出的天然气，若在泄漏口未遇火源，将在其自身动量和气象条件下，与空气混合、扩散形成可爆云团（假定云团在空旷的地形环境下稀释和扩散）。若发生可爆云团爆炸，其扩散结果及爆炸对应的影响半径见表3.3-</w:t>
      </w:r>
      <w:r>
        <w:rPr>
          <w:rFonts w:ascii="方正仿宋_GBK"/>
          <w:sz w:val="32"/>
          <w:szCs w:val="32"/>
        </w:rPr>
        <w:t>6</w:t>
      </w:r>
      <w:r>
        <w:rPr>
          <w:rFonts w:hint="eastAsia" w:ascii="方正仿宋_GBK"/>
          <w:sz w:val="32"/>
          <w:szCs w:val="32"/>
        </w:rPr>
        <w:t>。云爆模拟见图3.3-9～12。</w:t>
      </w:r>
    </w:p>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w:t>
      </w:r>
      <w:r>
        <w:rPr>
          <w:rFonts w:ascii="方正黑体_GBK" w:hAnsi="Times New Roman" w:eastAsia="方正黑体_GBK" w:cs="Times New Roman"/>
          <w:bCs/>
          <w:kern w:val="44"/>
          <w:sz w:val="28"/>
          <w:szCs w:val="28"/>
          <w:lang w:val="zh-CN"/>
        </w:rPr>
        <w:t xml:space="preserve">6  </w:t>
      </w:r>
      <w:r>
        <w:rPr>
          <w:rFonts w:hint="eastAsia" w:ascii="方正黑体_GBK" w:hAnsi="Times New Roman" w:eastAsia="方正黑体_GBK" w:cs="Times New Roman"/>
          <w:bCs/>
          <w:kern w:val="44"/>
          <w:sz w:val="28"/>
          <w:szCs w:val="28"/>
          <w:lang w:val="zh-CN"/>
        </w:rPr>
        <w:t>云团爆炸冲击波影响半径</w:t>
      </w:r>
    </w:p>
    <w:tbl>
      <w:tblPr>
        <w:tblStyle w:val="55"/>
        <w:tblW w:w="8845" w:type="dxa"/>
        <w:jc w:val="center"/>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
      <w:tblGrid>
        <w:gridCol w:w="851"/>
        <w:gridCol w:w="1276"/>
        <w:gridCol w:w="2269"/>
        <w:gridCol w:w="1520"/>
        <w:gridCol w:w="1520"/>
        <w:gridCol w:w="1409"/>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51"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管道</w:t>
            </w:r>
          </w:p>
        </w:tc>
        <w:tc>
          <w:tcPr>
            <w:tcW w:w="1276"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破裂程度</w:t>
            </w:r>
          </w:p>
        </w:tc>
        <w:tc>
          <w:tcPr>
            <w:tcW w:w="6718" w:type="dxa"/>
            <w:gridSpan w:val="4"/>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爆炸冲击波影响</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51" w:type="dxa"/>
            <w:vMerge w:val="continue"/>
            <w:vAlign w:val="center"/>
          </w:tcPr>
          <w:p>
            <w:pPr>
              <w:adjustRightInd w:val="0"/>
              <w:snapToGrid w:val="0"/>
              <w:jc w:val="center"/>
              <w:rPr>
                <w:rFonts w:ascii="方正仿宋_GBK" w:hAnsi="宋体" w:cs="宋体"/>
                <w:b/>
                <w:sz w:val="21"/>
                <w:szCs w:val="21"/>
              </w:rPr>
            </w:pPr>
          </w:p>
        </w:tc>
        <w:tc>
          <w:tcPr>
            <w:tcW w:w="1276" w:type="dxa"/>
            <w:vMerge w:val="continue"/>
            <w:vAlign w:val="center"/>
          </w:tcPr>
          <w:p>
            <w:pPr>
              <w:adjustRightInd w:val="0"/>
              <w:snapToGrid w:val="0"/>
              <w:jc w:val="center"/>
              <w:rPr>
                <w:rFonts w:ascii="方正仿宋_GBK" w:hAnsi="宋体" w:cs="宋体"/>
                <w:b/>
                <w:sz w:val="21"/>
                <w:szCs w:val="21"/>
              </w:rPr>
            </w:pPr>
          </w:p>
        </w:tc>
        <w:tc>
          <w:tcPr>
            <w:tcW w:w="226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爆炸点距漏点距离（m）</w:t>
            </w:r>
          </w:p>
        </w:tc>
        <w:tc>
          <w:tcPr>
            <w:tcW w:w="152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死亡半径（m）</w:t>
            </w:r>
          </w:p>
        </w:tc>
        <w:tc>
          <w:tcPr>
            <w:tcW w:w="152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重伤半径（m）</w:t>
            </w:r>
          </w:p>
        </w:tc>
        <w:tc>
          <w:tcPr>
            <w:tcW w:w="140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轻伤半径（m）</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51" w:type="dxa"/>
            <w:vMerge w:val="restart"/>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外环管线</w:t>
            </w: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20%A</w:t>
            </w:r>
          </w:p>
        </w:tc>
        <w:tc>
          <w:tcPr>
            <w:tcW w:w="226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62</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82.2</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92.6</w:t>
            </w:r>
          </w:p>
        </w:tc>
        <w:tc>
          <w:tcPr>
            <w:tcW w:w="14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117.6</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51" w:type="dxa"/>
            <w:vMerge w:val="continue"/>
            <w:vAlign w:val="center"/>
          </w:tcPr>
          <w:p>
            <w:pPr>
              <w:pStyle w:val="252"/>
              <w:jc w:val="center"/>
              <w:rPr>
                <w:rFonts w:ascii="方正仿宋_GBK" w:hAnsi="宋体" w:eastAsia="方正仿宋_GBK" w:cs="宋体"/>
              </w:rPr>
            </w:pP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100%A</w:t>
            </w:r>
          </w:p>
        </w:tc>
        <w:tc>
          <w:tcPr>
            <w:tcW w:w="226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72</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96.8</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109.5</w:t>
            </w:r>
          </w:p>
        </w:tc>
        <w:tc>
          <w:tcPr>
            <w:tcW w:w="14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140.0</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51" w:type="dxa"/>
            <w:vMerge w:val="restart"/>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晏鱼线</w:t>
            </w: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20%A</w:t>
            </w:r>
          </w:p>
        </w:tc>
        <w:tc>
          <w:tcPr>
            <w:tcW w:w="226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38.4</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44.5</w:t>
            </w:r>
          </w:p>
        </w:tc>
        <w:tc>
          <w:tcPr>
            <w:tcW w:w="14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146.2</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851" w:type="dxa"/>
            <w:vMerge w:val="continue"/>
            <w:vAlign w:val="center"/>
          </w:tcPr>
          <w:p>
            <w:pPr>
              <w:pStyle w:val="252"/>
              <w:jc w:val="center"/>
              <w:rPr>
                <w:rFonts w:ascii="方正仿宋_GBK" w:hAnsi="宋体" w:eastAsia="方正仿宋_GBK" w:cs="宋体"/>
              </w:rPr>
            </w:pPr>
          </w:p>
        </w:tc>
        <w:tc>
          <w:tcPr>
            <w:tcW w:w="127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100%A</w:t>
            </w:r>
          </w:p>
        </w:tc>
        <w:tc>
          <w:tcPr>
            <w:tcW w:w="226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41.3</w:t>
            </w:r>
          </w:p>
        </w:tc>
        <w:tc>
          <w:tcPr>
            <w:tcW w:w="15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48.4</w:t>
            </w:r>
          </w:p>
        </w:tc>
        <w:tc>
          <w:tcPr>
            <w:tcW w:w="140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166.2</w:t>
            </w:r>
          </w:p>
        </w:tc>
      </w:tr>
    </w:tbl>
    <w:p>
      <w:pPr>
        <w:pStyle w:val="46"/>
        <w:ind w:firstLine="632" w:firstLineChars="200"/>
        <w:jc w:val="both"/>
        <w:rPr>
          <w:rFonts w:ascii="方正仿宋_GBK"/>
          <w:sz w:val="32"/>
          <w:szCs w:val="32"/>
        </w:rPr>
      </w:pPr>
    </w:p>
    <w:p>
      <w:pPr>
        <w:keepNext/>
        <w:adjustRightInd w:val="0"/>
        <w:snapToGrid w:val="0"/>
        <w:spacing w:line="360" w:lineRule="auto"/>
        <w:jc w:val="center"/>
        <w:rPr>
          <w:rFonts w:ascii="宋体" w:hAnsi="宋体" w:eastAsia="宋体" w:cs="宋体"/>
          <w:snapToGrid w:val="0"/>
          <w:kern w:val="0"/>
          <w:sz w:val="28"/>
          <w:szCs w:val="28"/>
        </w:rPr>
      </w:pPr>
      <w:r>
        <w:rPr>
          <w:rFonts w:ascii="Times New Roman" w:hAnsi="Times New Roman" w:eastAsia="宋体" w:cs="Times New Roman"/>
          <w:kern w:val="0"/>
          <w:sz w:val="28"/>
          <w:szCs w:val="20"/>
        </w:rPr>
        <w:drawing>
          <wp:inline distT="0" distB="0" distL="0" distR="0">
            <wp:extent cx="5615940" cy="2508885"/>
            <wp:effectExtent l="0" t="0" r="381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16000" cy="250920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-9  外环线（发生20%A管道泄漏）云爆事故模拟图</w:t>
      </w:r>
    </w:p>
    <w:p>
      <w:pPr>
        <w:pStyle w:val="46"/>
        <w:ind w:firstLine="632" w:firstLineChars="200"/>
        <w:jc w:val="both"/>
        <w:rPr>
          <w:rFonts w:ascii="方正仿宋_GBK"/>
          <w:sz w:val="32"/>
          <w:szCs w:val="32"/>
          <w:lang w:val="zh-CN"/>
        </w:rPr>
      </w:pPr>
    </w:p>
    <w:p>
      <w:pPr>
        <w:keepNext/>
        <w:adjustRightInd w:val="0"/>
        <w:snapToGrid w:val="0"/>
        <w:spacing w:line="360" w:lineRule="auto"/>
        <w:jc w:val="center"/>
        <w:rPr>
          <w:rFonts w:ascii="宋体" w:hAnsi="宋体" w:eastAsia="宋体" w:cs="宋体"/>
          <w:snapToGrid w:val="0"/>
          <w:kern w:val="0"/>
          <w:sz w:val="28"/>
          <w:szCs w:val="28"/>
        </w:rPr>
      </w:pPr>
      <w:r>
        <w:rPr>
          <w:rFonts w:ascii="Times New Roman" w:hAnsi="Times New Roman" w:eastAsia="宋体" w:cs="Times New Roman"/>
          <w:kern w:val="0"/>
          <w:sz w:val="28"/>
          <w:szCs w:val="20"/>
        </w:rPr>
        <w:drawing>
          <wp:inline distT="0" distB="0" distL="0" distR="0">
            <wp:extent cx="5615940" cy="2519680"/>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616000" cy="2520000"/>
                    </a:xfrm>
                    <a:prstGeom prst="rect">
                      <a:avLst/>
                    </a:prstGeom>
                    <a:noFill/>
                    <a:ln>
                      <a:noFill/>
                    </a:ln>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-10  外环线（发生</w:t>
      </w:r>
      <w:r>
        <w:rPr>
          <w:rFonts w:ascii="方正黑体_GBK" w:hAnsi="Times New Roman" w:eastAsia="方正黑体_GBK" w:cs="Times New Roman"/>
          <w:bCs/>
          <w:kern w:val="44"/>
          <w:sz w:val="28"/>
          <w:szCs w:val="28"/>
          <w:lang w:val="zh-CN"/>
        </w:rPr>
        <w:t>10</w:t>
      </w:r>
      <w:r>
        <w:rPr>
          <w:rFonts w:hint="eastAsia" w:ascii="方正黑体_GBK" w:hAnsi="Times New Roman" w:eastAsia="方正黑体_GBK" w:cs="Times New Roman"/>
          <w:bCs/>
          <w:kern w:val="44"/>
          <w:sz w:val="28"/>
          <w:szCs w:val="28"/>
          <w:lang w:val="zh-CN"/>
        </w:rPr>
        <w:t>0%A管道泄漏）云爆事故模拟图</w:t>
      </w:r>
    </w:p>
    <w:p>
      <w:pPr>
        <w:pStyle w:val="46"/>
        <w:ind w:firstLine="632" w:firstLineChars="200"/>
        <w:jc w:val="both"/>
        <w:rPr>
          <w:rFonts w:ascii="方正仿宋_GBK"/>
          <w:sz w:val="32"/>
          <w:szCs w:val="32"/>
          <w:lang w:val="zh-CN"/>
        </w:rPr>
      </w:pPr>
    </w:p>
    <w:p>
      <w:pPr>
        <w:keepNext/>
        <w:adjustRightInd w:val="0"/>
        <w:snapToGrid w:val="0"/>
        <w:spacing w:line="360" w:lineRule="auto"/>
        <w:jc w:val="center"/>
        <w:rPr>
          <w:rFonts w:ascii="宋体" w:hAnsi="宋体" w:eastAsia="宋体" w:cs="宋体"/>
          <w:snapToGrid w:val="0"/>
          <w:kern w:val="0"/>
          <w:sz w:val="28"/>
          <w:szCs w:val="28"/>
        </w:rPr>
      </w:pPr>
      <w:r>
        <w:drawing>
          <wp:inline distT="0" distB="0" distL="0" distR="0">
            <wp:extent cx="5616575" cy="3307715"/>
            <wp:effectExtent l="0" t="0" r="317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616575" cy="3307715"/>
                    </a:xfrm>
                    <a:prstGeom prst="rect">
                      <a:avLst/>
                    </a:prstGeom>
                    <a:noFill/>
                    <a:ln>
                      <a:noFill/>
                    </a:ln>
                    <a:effectLst/>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-11  晏鱼线（发生20%A管道泄漏）云爆事故模拟图</w:t>
      </w:r>
    </w:p>
    <w:p>
      <w:pPr>
        <w:pStyle w:val="46"/>
        <w:ind w:firstLine="632" w:firstLineChars="200"/>
        <w:jc w:val="both"/>
        <w:rPr>
          <w:rFonts w:ascii="方正仿宋_GBK"/>
          <w:sz w:val="32"/>
          <w:szCs w:val="32"/>
          <w:lang w:val="zh-CN"/>
        </w:rPr>
      </w:pPr>
    </w:p>
    <w:p>
      <w:pPr>
        <w:keepNext/>
        <w:adjustRightInd w:val="0"/>
        <w:snapToGrid w:val="0"/>
        <w:spacing w:line="360" w:lineRule="auto"/>
        <w:jc w:val="center"/>
        <w:rPr>
          <w:rFonts w:ascii="宋体" w:hAnsi="宋体" w:eastAsia="宋体" w:cs="宋体"/>
          <w:snapToGrid w:val="0"/>
          <w:kern w:val="0"/>
          <w:sz w:val="28"/>
          <w:szCs w:val="28"/>
        </w:rPr>
      </w:pPr>
      <w:r>
        <w:drawing>
          <wp:inline distT="0" distB="0" distL="0" distR="0">
            <wp:extent cx="5616575" cy="305498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16575" cy="3054985"/>
                    </a:xfrm>
                    <a:prstGeom prst="rect">
                      <a:avLst/>
                    </a:prstGeom>
                    <a:noFill/>
                    <a:ln>
                      <a:noFill/>
                    </a:ln>
                    <a:effectLst/>
                  </pic:spPr>
                </pic:pic>
              </a:graphicData>
            </a:graphic>
          </wp:inline>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图3.</w:t>
      </w:r>
      <w:r>
        <w:rPr>
          <w:rFonts w:ascii="方正黑体_GBK" w:hAnsi="Times New Roman" w:eastAsia="方正黑体_GBK" w:cs="Times New Roman"/>
          <w:bCs/>
          <w:kern w:val="44"/>
          <w:sz w:val="28"/>
          <w:szCs w:val="28"/>
          <w:lang w:val="zh-CN"/>
        </w:rPr>
        <w:t>3</w:t>
      </w:r>
      <w:r>
        <w:rPr>
          <w:rFonts w:hint="eastAsia" w:ascii="方正黑体_GBK" w:hAnsi="Times New Roman" w:eastAsia="方正黑体_GBK" w:cs="Times New Roman"/>
          <w:bCs/>
          <w:kern w:val="44"/>
          <w:sz w:val="28"/>
          <w:szCs w:val="28"/>
          <w:lang w:val="zh-CN"/>
        </w:rPr>
        <w:t>-12  晏鱼线（发生</w:t>
      </w:r>
      <w:r>
        <w:rPr>
          <w:rFonts w:ascii="方正黑体_GBK" w:hAnsi="Times New Roman" w:eastAsia="方正黑体_GBK" w:cs="Times New Roman"/>
          <w:bCs/>
          <w:kern w:val="44"/>
          <w:sz w:val="28"/>
          <w:szCs w:val="28"/>
          <w:lang w:val="zh-CN"/>
        </w:rPr>
        <w:t>10</w:t>
      </w:r>
      <w:r>
        <w:rPr>
          <w:rFonts w:hint="eastAsia" w:ascii="方正黑体_GBK" w:hAnsi="Times New Roman" w:eastAsia="方正黑体_GBK" w:cs="Times New Roman"/>
          <w:bCs/>
          <w:kern w:val="44"/>
          <w:sz w:val="28"/>
          <w:szCs w:val="28"/>
          <w:lang w:val="zh-CN"/>
        </w:rPr>
        <w:t>0%A管道泄漏）云爆事故模拟图</w:t>
      </w:r>
    </w:p>
    <w:p>
      <w:pPr>
        <w:pStyle w:val="46"/>
        <w:ind w:firstLine="632" w:firstLineChars="200"/>
        <w:jc w:val="both"/>
        <w:rPr>
          <w:rFonts w:ascii="方正仿宋_GBK"/>
          <w:sz w:val="32"/>
          <w:szCs w:val="32"/>
        </w:rPr>
      </w:pPr>
      <w:r>
        <w:rPr>
          <w:rFonts w:hint="eastAsia" w:ascii="方正仿宋_GBK"/>
          <w:sz w:val="32"/>
          <w:szCs w:val="32"/>
        </w:rPr>
        <w:t>（3）事故影响范围分析</w:t>
      </w:r>
    </w:p>
    <w:p>
      <w:pPr>
        <w:pStyle w:val="46"/>
        <w:ind w:firstLine="632" w:firstLineChars="200"/>
        <w:jc w:val="both"/>
        <w:rPr>
          <w:rFonts w:ascii="方正仿宋_GBK"/>
          <w:sz w:val="32"/>
          <w:szCs w:val="32"/>
        </w:rPr>
      </w:pPr>
      <w:r>
        <w:rPr>
          <w:rFonts w:hint="eastAsia" w:ascii="方正仿宋_GBK"/>
          <w:sz w:val="32"/>
          <w:szCs w:val="32"/>
        </w:rPr>
        <w:t>外环管线江北区段管道如泄漏孔径为20%A，垂直方向泄漏时，若发生喷射火，距泄漏点8.6m处热辐射强度为37.5kW/m</w:t>
      </w:r>
      <w:r>
        <w:rPr>
          <w:rFonts w:hint="eastAsia" w:ascii="方正仿宋_GBK"/>
          <w:sz w:val="32"/>
          <w:szCs w:val="32"/>
          <w:vertAlign w:val="superscript"/>
        </w:rPr>
        <w:t>2</w:t>
      </w:r>
      <w:r>
        <w:rPr>
          <w:rFonts w:hint="eastAsia" w:ascii="方正仿宋_GBK"/>
          <w:sz w:val="32"/>
          <w:szCs w:val="32"/>
        </w:rPr>
        <w:t>（死亡区），距泄漏点103.3m处热辐射强度为12.5kW/m</w:t>
      </w:r>
      <w:r>
        <w:rPr>
          <w:rFonts w:hint="eastAsia" w:ascii="方正仿宋_GBK"/>
          <w:sz w:val="32"/>
          <w:szCs w:val="32"/>
          <w:vertAlign w:val="superscript"/>
        </w:rPr>
        <w:t>2</w:t>
      </w:r>
      <w:r>
        <w:rPr>
          <w:rFonts w:hint="eastAsia" w:ascii="方正仿宋_GBK"/>
          <w:sz w:val="32"/>
          <w:szCs w:val="32"/>
        </w:rPr>
        <w:t>（重伤区），距泄漏点270m处热辐射强度为4kW/m</w:t>
      </w:r>
      <w:r>
        <w:rPr>
          <w:rFonts w:hint="eastAsia" w:ascii="方正仿宋_GBK"/>
          <w:sz w:val="32"/>
          <w:szCs w:val="32"/>
          <w:vertAlign w:val="superscript"/>
        </w:rPr>
        <w:t>2</w:t>
      </w:r>
      <w:r>
        <w:rPr>
          <w:rFonts w:hint="eastAsia" w:ascii="方正仿宋_GBK"/>
          <w:sz w:val="32"/>
          <w:szCs w:val="32"/>
        </w:rPr>
        <w:t>（轻伤区）。若发生云团爆炸，云团中心至泄漏点62m，该云团爆炸死亡影响范围为72.2m，重伤影响范围为92.7m，轻伤影响范围为117.6m。</w:t>
      </w:r>
    </w:p>
    <w:p>
      <w:pPr>
        <w:pStyle w:val="46"/>
        <w:ind w:firstLine="632" w:firstLineChars="200"/>
        <w:jc w:val="both"/>
        <w:rPr>
          <w:rFonts w:ascii="方正仿宋_GBK"/>
          <w:sz w:val="32"/>
          <w:szCs w:val="32"/>
        </w:rPr>
      </w:pPr>
      <w:r>
        <w:rPr>
          <w:rFonts w:hint="eastAsia" w:ascii="方正仿宋_GBK"/>
          <w:sz w:val="32"/>
          <w:szCs w:val="32"/>
        </w:rPr>
        <w:t>外环管线江北区段管道泄漏孔径为100%A，水平方向泄漏时，若发生喷射火，距泄漏点14.5m处热辐射强度为37.5kW/m</w:t>
      </w:r>
      <w:r>
        <w:rPr>
          <w:rFonts w:hint="eastAsia" w:ascii="方正仿宋_GBK"/>
          <w:sz w:val="32"/>
          <w:szCs w:val="32"/>
          <w:vertAlign w:val="superscript"/>
        </w:rPr>
        <w:t>2</w:t>
      </w:r>
      <w:r>
        <w:rPr>
          <w:rFonts w:hint="eastAsia" w:ascii="方正仿宋_GBK"/>
          <w:sz w:val="32"/>
          <w:szCs w:val="32"/>
        </w:rPr>
        <w:t>（死亡区），距泄漏点137.9m处热辐射强度为12.5kW/m</w:t>
      </w:r>
      <w:r>
        <w:rPr>
          <w:rFonts w:hint="eastAsia" w:ascii="方正仿宋_GBK"/>
          <w:sz w:val="32"/>
          <w:szCs w:val="32"/>
          <w:vertAlign w:val="superscript"/>
        </w:rPr>
        <w:t>2</w:t>
      </w:r>
      <w:r>
        <w:rPr>
          <w:rFonts w:hint="eastAsia" w:ascii="方正仿宋_GBK"/>
          <w:sz w:val="32"/>
          <w:szCs w:val="32"/>
        </w:rPr>
        <w:t>（重伤区），距泄漏点346.4m处热辐射强度为4kW/m</w:t>
      </w:r>
      <w:r>
        <w:rPr>
          <w:rFonts w:hint="eastAsia" w:ascii="方正仿宋_GBK"/>
          <w:sz w:val="32"/>
          <w:szCs w:val="32"/>
          <w:vertAlign w:val="superscript"/>
        </w:rPr>
        <w:t>2</w:t>
      </w:r>
      <w:r>
        <w:rPr>
          <w:rFonts w:hint="eastAsia" w:ascii="方正仿宋_GBK"/>
          <w:sz w:val="32"/>
          <w:szCs w:val="32"/>
        </w:rPr>
        <w:t>（轻伤区）。若发生云团爆炸，云团中心至泄漏点72m，该云团爆炸事故死亡影响范围为96.8m，重伤影响范围为109.5m，轻伤影响范围为140m。</w:t>
      </w:r>
    </w:p>
    <w:p>
      <w:pPr>
        <w:pStyle w:val="46"/>
        <w:ind w:firstLine="632" w:firstLineChars="200"/>
        <w:jc w:val="both"/>
        <w:rPr>
          <w:rFonts w:ascii="方正仿宋_GBK"/>
          <w:sz w:val="32"/>
          <w:szCs w:val="32"/>
        </w:rPr>
      </w:pPr>
      <w:r>
        <w:rPr>
          <w:rFonts w:hint="eastAsia" w:ascii="方正仿宋_GBK"/>
          <w:sz w:val="32"/>
          <w:szCs w:val="32"/>
        </w:rPr>
        <w:t>晏鱼线（果园港段）当泄漏孔径为20%A，垂直方向泄漏时，发生喷射火，距泄漏点36.3m处热辐射强度为12.5kW/m</w:t>
      </w:r>
      <w:r>
        <w:rPr>
          <w:rFonts w:hint="eastAsia" w:ascii="方正仿宋_GBK"/>
          <w:sz w:val="32"/>
          <w:szCs w:val="32"/>
          <w:vertAlign w:val="superscript"/>
        </w:rPr>
        <w:t>2</w:t>
      </w:r>
      <w:r>
        <w:rPr>
          <w:rFonts w:hint="eastAsia" w:ascii="方正仿宋_GBK"/>
          <w:sz w:val="32"/>
          <w:szCs w:val="32"/>
        </w:rPr>
        <w:t>（重伤区），距泄漏点132m处热辐射强度为4kW/m</w:t>
      </w:r>
      <w:r>
        <w:rPr>
          <w:rFonts w:hint="eastAsia" w:ascii="方正仿宋_GBK"/>
          <w:sz w:val="32"/>
          <w:szCs w:val="32"/>
          <w:vertAlign w:val="superscript"/>
        </w:rPr>
        <w:t>2</w:t>
      </w:r>
      <w:r>
        <w:rPr>
          <w:rFonts w:hint="eastAsia" w:ascii="方正仿宋_GBK"/>
          <w:sz w:val="32"/>
          <w:szCs w:val="32"/>
        </w:rPr>
        <w:t>（轻伤区）。若发生云团爆炸，死亡半径为38.4m，重伤半径为44.5m，轻伤半径为146.2m。</w:t>
      </w:r>
    </w:p>
    <w:p>
      <w:pPr>
        <w:pStyle w:val="46"/>
        <w:ind w:firstLine="632" w:firstLineChars="200"/>
        <w:jc w:val="both"/>
        <w:rPr>
          <w:rFonts w:ascii="方正仿宋_GBK"/>
          <w:sz w:val="32"/>
          <w:szCs w:val="32"/>
        </w:rPr>
      </w:pPr>
      <w:r>
        <w:rPr>
          <w:rFonts w:hint="eastAsia" w:ascii="方正仿宋_GBK"/>
          <w:sz w:val="32"/>
          <w:szCs w:val="32"/>
        </w:rPr>
        <w:t>晏鱼线（果园港段）当泄漏孔径为100%A，发生喷射火，距泄漏点45m处热辐射强度为12.5kW/m</w:t>
      </w:r>
      <w:r>
        <w:rPr>
          <w:rFonts w:hint="eastAsia" w:ascii="方正仿宋_GBK"/>
          <w:sz w:val="32"/>
          <w:szCs w:val="32"/>
          <w:vertAlign w:val="superscript"/>
        </w:rPr>
        <w:t>2</w:t>
      </w:r>
      <w:r>
        <w:rPr>
          <w:rFonts w:hint="eastAsia" w:ascii="方正仿宋_GBK"/>
          <w:sz w:val="32"/>
          <w:szCs w:val="32"/>
        </w:rPr>
        <w:t>（重伤区），距泄漏点148m处热辐射强度为4kW/m</w:t>
      </w:r>
      <w:r>
        <w:rPr>
          <w:rFonts w:hint="eastAsia" w:ascii="方正仿宋_GBK"/>
          <w:sz w:val="32"/>
          <w:szCs w:val="32"/>
          <w:vertAlign w:val="superscript"/>
        </w:rPr>
        <w:t>2</w:t>
      </w:r>
      <w:r>
        <w:rPr>
          <w:rFonts w:hint="eastAsia" w:ascii="方正仿宋_GBK"/>
          <w:sz w:val="32"/>
          <w:szCs w:val="32"/>
        </w:rPr>
        <w:t>（轻伤区）。若发生云团爆炸，死亡半径为41.3m，重伤半径为48.4m，轻伤半径为166.2m。</w:t>
      </w:r>
    </w:p>
    <w:p>
      <w:pPr>
        <w:pStyle w:val="46"/>
        <w:ind w:firstLine="632" w:firstLineChars="200"/>
        <w:jc w:val="both"/>
        <w:rPr>
          <w:rFonts w:ascii="方正仿宋_GBK"/>
          <w:sz w:val="32"/>
          <w:szCs w:val="32"/>
        </w:rPr>
      </w:pPr>
      <w:r>
        <w:rPr>
          <w:rFonts w:hint="eastAsia" w:ascii="方正仿宋_GBK"/>
          <w:sz w:val="32"/>
          <w:szCs w:val="32"/>
        </w:rPr>
        <w:t>依据《重点监管的危险化学品名录》（2013年完整版）天然气的安全措施和事故应急处置原则（表1.2-3）“天然气泄漏隔离距离至少为100m。如果为大量泄漏，下风向的初始疏散距离应至少为800m。”，结合本报告对外环管线、晏鱼线（江北区共3处高后果区）泄漏事故后果模拟计算结果，并为了现场处置的简单，易操作性。结合管道目前运行情况，</w:t>
      </w:r>
      <w:r>
        <w:rPr>
          <w:rFonts w:hint="eastAsia" w:ascii="方正仿宋_GBK"/>
          <w:b/>
          <w:sz w:val="32"/>
          <w:szCs w:val="32"/>
        </w:rPr>
        <w:t>建议高后果区的紧急预防及疏散隔离范围（距离泄漏点）原则：高后果区段管道一旦发生泄漏后，首先距离泄漏点100m范围进行人员疏散，再根据现场检测天然气浓度（达到天然气爆炸下限的20%）影响范围进行疏散警戒。</w:t>
      </w:r>
    </w:p>
    <w:p>
      <w:pPr>
        <w:keepNext/>
        <w:keepLines/>
        <w:ind w:firstLine="632" w:firstLineChars="200"/>
        <w:outlineLvl w:val="2"/>
        <w:rPr>
          <w:rFonts w:ascii="仿宋_GB2312" w:eastAsia="仿宋_GB2312"/>
          <w:b/>
          <w:bCs/>
        </w:rPr>
      </w:pPr>
      <w:r>
        <w:rPr>
          <w:rFonts w:hint="eastAsia" w:ascii="仿宋_GB2312" w:eastAsia="仿宋_GB2312"/>
          <w:b/>
          <w:bCs/>
        </w:rPr>
        <w:t>3.3.2</w:t>
      </w:r>
      <w:r>
        <w:rPr>
          <w:rFonts w:ascii="仿宋_GB2312" w:eastAsia="仿宋_GB2312"/>
          <w:b/>
          <w:bCs/>
        </w:rPr>
        <w:t xml:space="preserve"> 管道风险等级判断</w:t>
      </w:r>
    </w:p>
    <w:p>
      <w:pPr>
        <w:pStyle w:val="46"/>
        <w:ind w:firstLine="632" w:firstLineChars="200"/>
        <w:jc w:val="both"/>
        <w:rPr>
          <w:rFonts w:ascii="方正仿宋_GBK"/>
          <w:sz w:val="32"/>
          <w:szCs w:val="32"/>
        </w:rPr>
      </w:pPr>
      <w:r>
        <w:rPr>
          <w:rFonts w:hint="eastAsia" w:ascii="方正仿宋_GBK"/>
          <w:sz w:val="32"/>
          <w:szCs w:val="32"/>
        </w:rPr>
        <w:t>依据《油气输送管道完整性管理规范》（GB 32167-2015）第7.2.1条推荐方法，通过管道风险矩阵法，从管道失效可能性、生效后果等级判断高后果区事故风险等级。</w:t>
      </w:r>
    </w:p>
    <w:p>
      <w:pPr>
        <w:pStyle w:val="46"/>
        <w:ind w:firstLine="632" w:firstLineChars="200"/>
        <w:jc w:val="both"/>
        <w:rPr>
          <w:rFonts w:ascii="方正仿宋_GBK"/>
          <w:sz w:val="32"/>
          <w:szCs w:val="32"/>
        </w:rPr>
      </w:pPr>
      <w:r>
        <w:rPr>
          <w:rFonts w:hint="eastAsia" w:ascii="方正仿宋_GBK"/>
          <w:sz w:val="32"/>
          <w:szCs w:val="32"/>
        </w:rPr>
        <w:t>管道风险矩阵法包括管道失效可能性、失效后果和风险的分级标准。失效可能性分级由表3.3-7确定。失效后果由表3.3-8确定，分析过程中分别考虑人员安全、财产损失、环境污染和停输影响等；风险分级见表3.3-9；各风险等级的涵义见表3.3-10。</w:t>
      </w:r>
    </w:p>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表3.3-7  失效可能性等级</w:t>
      </w:r>
    </w:p>
    <w:tbl>
      <w:tblPr>
        <w:tblStyle w:val="55"/>
        <w:tblW w:w="8845" w:type="dxa"/>
        <w:jc w:val="center"/>
        <w:tblInd w:w="0" w:type="dxa"/>
        <w:tblLayout w:type="fixed"/>
        <w:tblCellMar>
          <w:top w:w="0" w:type="dxa"/>
          <w:left w:w="108" w:type="dxa"/>
          <w:bottom w:w="0" w:type="dxa"/>
          <w:right w:w="108" w:type="dxa"/>
        </w:tblCellMar>
      </w:tblPr>
      <w:tblGrid>
        <w:gridCol w:w="1985"/>
        <w:gridCol w:w="5812"/>
        <w:gridCol w:w="1048"/>
      </w:tblGrid>
      <w:tr>
        <w:tblPrEx>
          <w:tblLayout w:type="fixed"/>
          <w:tblCellMar>
            <w:top w:w="0" w:type="dxa"/>
            <w:left w:w="108" w:type="dxa"/>
            <w:bottom w:w="0" w:type="dxa"/>
            <w:right w:w="108" w:type="dxa"/>
          </w:tblCellMar>
        </w:tblPrEx>
        <w:trPr>
          <w:trHeight w:val="454"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失效可能性分级</w:t>
            </w:r>
          </w:p>
        </w:tc>
        <w:tc>
          <w:tcPr>
            <w:tcW w:w="5812"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描述</w:t>
            </w:r>
          </w:p>
        </w:tc>
        <w:tc>
          <w:tcPr>
            <w:tcW w:w="1048"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等级</w:t>
            </w:r>
          </w:p>
        </w:tc>
      </w:tr>
      <w:tr>
        <w:tblPrEx>
          <w:tblLayout w:type="fixed"/>
          <w:tblCellMar>
            <w:top w:w="0" w:type="dxa"/>
            <w:left w:w="108" w:type="dxa"/>
            <w:bottom w:w="0" w:type="dxa"/>
            <w:right w:w="108" w:type="dxa"/>
          </w:tblCellMar>
        </w:tblPrEx>
        <w:trPr>
          <w:trHeight w:val="454"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高</w:t>
            </w:r>
          </w:p>
        </w:tc>
        <w:tc>
          <w:tcPr>
            <w:tcW w:w="5812"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企业内曾每年发生多次类似失效，或预计1年内发生失效</w:t>
            </w:r>
          </w:p>
        </w:tc>
        <w:tc>
          <w:tcPr>
            <w:tcW w:w="1048"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5</w:t>
            </w:r>
          </w:p>
        </w:tc>
      </w:tr>
      <w:tr>
        <w:tblPrEx>
          <w:tblLayout w:type="fixed"/>
          <w:tblCellMar>
            <w:top w:w="0" w:type="dxa"/>
            <w:left w:w="108" w:type="dxa"/>
            <w:bottom w:w="0" w:type="dxa"/>
            <w:right w:w="108" w:type="dxa"/>
          </w:tblCellMar>
        </w:tblPrEx>
        <w:trPr>
          <w:trHeight w:val="454"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较高</w:t>
            </w:r>
          </w:p>
        </w:tc>
        <w:tc>
          <w:tcPr>
            <w:tcW w:w="5812"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企业内曾每年发生类似失效，或预计1-3年内发生失效</w:t>
            </w:r>
          </w:p>
        </w:tc>
        <w:tc>
          <w:tcPr>
            <w:tcW w:w="1048"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4</w:t>
            </w:r>
          </w:p>
        </w:tc>
      </w:tr>
      <w:tr>
        <w:tblPrEx>
          <w:tblLayout w:type="fixed"/>
          <w:tblCellMar>
            <w:top w:w="0" w:type="dxa"/>
            <w:left w:w="108" w:type="dxa"/>
            <w:bottom w:w="0" w:type="dxa"/>
            <w:right w:w="108" w:type="dxa"/>
          </w:tblCellMar>
        </w:tblPrEx>
        <w:trPr>
          <w:trHeight w:val="454"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中</w:t>
            </w:r>
          </w:p>
        </w:tc>
        <w:tc>
          <w:tcPr>
            <w:tcW w:w="5812"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企业内曾发生过类似失效，或预计3-5年内发生失效</w:t>
            </w:r>
          </w:p>
        </w:tc>
        <w:tc>
          <w:tcPr>
            <w:tcW w:w="1048"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3</w:t>
            </w:r>
          </w:p>
        </w:tc>
      </w:tr>
      <w:tr>
        <w:tblPrEx>
          <w:tblLayout w:type="fixed"/>
          <w:tblCellMar>
            <w:top w:w="0" w:type="dxa"/>
            <w:left w:w="108" w:type="dxa"/>
            <w:bottom w:w="0" w:type="dxa"/>
            <w:right w:w="108" w:type="dxa"/>
          </w:tblCellMar>
        </w:tblPrEx>
        <w:trPr>
          <w:trHeight w:val="454"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较低</w:t>
            </w:r>
          </w:p>
        </w:tc>
        <w:tc>
          <w:tcPr>
            <w:tcW w:w="5812"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行业中发生过类似失效，或预计5-10年内发生失效</w:t>
            </w:r>
          </w:p>
        </w:tc>
        <w:tc>
          <w:tcPr>
            <w:tcW w:w="1048"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2</w:t>
            </w:r>
          </w:p>
        </w:tc>
      </w:tr>
      <w:tr>
        <w:tblPrEx>
          <w:tblLayout w:type="fixed"/>
          <w:tblCellMar>
            <w:top w:w="0" w:type="dxa"/>
            <w:left w:w="108" w:type="dxa"/>
            <w:bottom w:w="0" w:type="dxa"/>
            <w:right w:w="108" w:type="dxa"/>
          </w:tblCellMar>
        </w:tblPrEx>
        <w:trPr>
          <w:trHeight w:val="454"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低</w:t>
            </w:r>
          </w:p>
        </w:tc>
        <w:tc>
          <w:tcPr>
            <w:tcW w:w="5812"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行业中没有发生类似失效，或预计超过10年后发生失效</w:t>
            </w:r>
          </w:p>
        </w:tc>
        <w:tc>
          <w:tcPr>
            <w:tcW w:w="1048"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lang w:bidi="ar"/>
              </w:rPr>
              <w:t>1</w:t>
            </w:r>
          </w:p>
        </w:tc>
      </w:tr>
    </w:tbl>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表3.3-8  失效后果等级</w:t>
      </w:r>
    </w:p>
    <w:tbl>
      <w:tblPr>
        <w:tblStyle w:val="55"/>
        <w:tblW w:w="8845" w:type="dxa"/>
        <w:jc w:val="center"/>
        <w:tblInd w:w="0" w:type="dxa"/>
        <w:tblLayout w:type="fixed"/>
        <w:tblCellMar>
          <w:top w:w="0" w:type="dxa"/>
          <w:left w:w="108" w:type="dxa"/>
          <w:bottom w:w="0" w:type="dxa"/>
          <w:right w:w="108" w:type="dxa"/>
        </w:tblCellMar>
      </w:tblPr>
      <w:tblGrid>
        <w:gridCol w:w="1276"/>
        <w:gridCol w:w="1276"/>
        <w:gridCol w:w="1559"/>
        <w:gridCol w:w="1701"/>
        <w:gridCol w:w="1559"/>
        <w:gridCol w:w="1474"/>
      </w:tblGrid>
      <w:tr>
        <w:tblPrEx>
          <w:tblLayout w:type="fixed"/>
          <w:tblCellMar>
            <w:top w:w="0" w:type="dxa"/>
            <w:left w:w="108" w:type="dxa"/>
            <w:bottom w:w="0" w:type="dxa"/>
            <w:right w:w="108" w:type="dxa"/>
          </w:tblCellMar>
        </w:tblPrEx>
        <w:trPr>
          <w:trHeight w:val="454" w:hRule="atLeast"/>
          <w:jc w:val="center"/>
        </w:trPr>
        <w:tc>
          <w:tcPr>
            <w:tcW w:w="12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lang w:bidi="ar"/>
              </w:rPr>
              <w:t>后果分类</w:t>
            </w:r>
          </w:p>
        </w:tc>
        <w:tc>
          <w:tcPr>
            <w:tcW w:w="7569" w:type="dxa"/>
            <w:gridSpan w:val="5"/>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lang w:bidi="ar"/>
              </w:rPr>
              <w:t>后果描述</w:t>
            </w:r>
          </w:p>
        </w:tc>
      </w:tr>
      <w:tr>
        <w:tblPrEx>
          <w:tblLayout w:type="fixed"/>
          <w:tblCellMar>
            <w:top w:w="0" w:type="dxa"/>
            <w:left w:w="108" w:type="dxa"/>
            <w:bottom w:w="0" w:type="dxa"/>
            <w:right w:w="108" w:type="dxa"/>
          </w:tblCellMar>
        </w:tblPrEx>
        <w:trPr>
          <w:trHeight w:val="454" w:hRule="atLeast"/>
          <w:jc w:val="center"/>
        </w:trPr>
        <w:tc>
          <w:tcPr>
            <w:tcW w:w="1276" w:type="dxa"/>
            <w:vMerge w:val="continue"/>
            <w:tcBorders>
              <w:top w:val="single" w:color="auto" w:sz="4" w:space="0"/>
              <w:left w:val="single" w:color="auto" w:sz="4" w:space="0"/>
              <w:bottom w:val="single" w:color="auto" w:sz="4" w:space="0"/>
              <w:right w:val="single" w:color="auto" w:sz="4" w:space="0"/>
            </w:tcBorders>
            <w:vAlign w:val="center"/>
          </w:tcPr>
          <w:p>
            <w:pPr>
              <w:rPr>
                <w:rFonts w:ascii="方正仿宋_GBK" w:hAnsi="Times New Roman" w:cs="Times New Roman"/>
                <w:b/>
                <w:sz w:val="21"/>
                <w:szCs w:val="21"/>
              </w:rPr>
            </w:pPr>
          </w:p>
        </w:tc>
        <w:tc>
          <w:tcPr>
            <w:tcW w:w="12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A</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B</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C</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D</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E</w:t>
            </w:r>
          </w:p>
        </w:tc>
      </w:tr>
      <w:tr>
        <w:tblPrEx>
          <w:tblLayout w:type="fixed"/>
          <w:tblCellMar>
            <w:top w:w="0" w:type="dxa"/>
            <w:left w:w="108" w:type="dxa"/>
            <w:bottom w:w="0" w:type="dxa"/>
            <w:right w:w="108" w:type="dxa"/>
          </w:tblCellMar>
        </w:tblPrEx>
        <w:trPr>
          <w:trHeight w:val="454"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人员伤亡</w:t>
            </w:r>
          </w:p>
        </w:tc>
        <w:tc>
          <w:tcPr>
            <w:tcW w:w="12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无或轻伤</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重伤</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死亡人数1～2</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死亡人数3～9</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死亡人数≥10</w:t>
            </w:r>
          </w:p>
        </w:tc>
      </w:tr>
      <w:tr>
        <w:tblPrEx>
          <w:tblLayout w:type="fixed"/>
          <w:tblCellMar>
            <w:top w:w="0" w:type="dxa"/>
            <w:left w:w="108" w:type="dxa"/>
            <w:bottom w:w="0" w:type="dxa"/>
            <w:right w:w="108" w:type="dxa"/>
          </w:tblCellMar>
        </w:tblPrEx>
        <w:trPr>
          <w:trHeight w:val="454"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经济损失</w:t>
            </w:r>
          </w:p>
        </w:tc>
        <w:tc>
          <w:tcPr>
            <w:tcW w:w="12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＜10万元</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10万元～100万元</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100万元～1000万元</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1000万元～1亿元</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＞1亿元</w:t>
            </w:r>
          </w:p>
        </w:tc>
      </w:tr>
      <w:tr>
        <w:tblPrEx>
          <w:tblLayout w:type="fixed"/>
          <w:tblCellMar>
            <w:top w:w="0" w:type="dxa"/>
            <w:left w:w="108" w:type="dxa"/>
            <w:bottom w:w="0" w:type="dxa"/>
            <w:right w:w="108" w:type="dxa"/>
          </w:tblCellMar>
        </w:tblPrEx>
        <w:trPr>
          <w:trHeight w:val="454"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环境污染</w:t>
            </w:r>
          </w:p>
        </w:tc>
        <w:tc>
          <w:tcPr>
            <w:tcW w:w="12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无影响</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轻微影响</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区域影响</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重大影响</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大规模影响</w:t>
            </w:r>
          </w:p>
        </w:tc>
      </w:tr>
      <w:tr>
        <w:tblPrEx>
          <w:tblLayout w:type="fixed"/>
          <w:tblCellMar>
            <w:top w:w="0" w:type="dxa"/>
            <w:left w:w="108" w:type="dxa"/>
            <w:bottom w:w="0" w:type="dxa"/>
            <w:right w:w="108" w:type="dxa"/>
          </w:tblCellMar>
        </w:tblPrEx>
        <w:trPr>
          <w:trHeight w:val="454"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停输影响</w:t>
            </w:r>
          </w:p>
        </w:tc>
        <w:tc>
          <w:tcPr>
            <w:tcW w:w="127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无影响</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对生产重大影响</w:t>
            </w:r>
          </w:p>
        </w:tc>
        <w:tc>
          <w:tcPr>
            <w:tcW w:w="1701"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对上/下游公司重大影响</w:t>
            </w:r>
          </w:p>
        </w:tc>
        <w:tc>
          <w:tcPr>
            <w:tcW w:w="1559"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国内影响</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国内重大或国际影响</w:t>
            </w:r>
          </w:p>
        </w:tc>
      </w:tr>
    </w:tbl>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表3.3-9  风险矩阵</w:t>
      </w:r>
    </w:p>
    <w:tbl>
      <w:tblPr>
        <w:tblStyle w:val="55"/>
        <w:tblW w:w="8845" w:type="dxa"/>
        <w:jc w:val="center"/>
        <w:tblInd w:w="0" w:type="dxa"/>
        <w:tblLayout w:type="fixed"/>
        <w:tblCellMar>
          <w:top w:w="0" w:type="dxa"/>
          <w:left w:w="108" w:type="dxa"/>
          <w:bottom w:w="0" w:type="dxa"/>
          <w:right w:w="108" w:type="dxa"/>
        </w:tblCellMar>
      </w:tblPr>
      <w:tblGrid>
        <w:gridCol w:w="1474"/>
        <w:gridCol w:w="1475"/>
        <w:gridCol w:w="1474"/>
        <w:gridCol w:w="1474"/>
        <w:gridCol w:w="1474"/>
        <w:gridCol w:w="1474"/>
      </w:tblGrid>
      <w:tr>
        <w:tblPrEx>
          <w:tblLayout w:type="fixed"/>
          <w:tblCellMar>
            <w:top w:w="0" w:type="dxa"/>
            <w:left w:w="108" w:type="dxa"/>
            <w:bottom w:w="0" w:type="dxa"/>
            <w:right w:w="108" w:type="dxa"/>
          </w:tblCellMar>
        </w:tblPrEx>
        <w:trPr>
          <w:trHeight w:val="454" w:hRule="atLeast"/>
          <w:jc w:val="center"/>
        </w:trPr>
        <w:tc>
          <w:tcPr>
            <w:tcW w:w="147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失效后果</w:t>
            </w:r>
          </w:p>
        </w:tc>
        <w:tc>
          <w:tcPr>
            <w:tcW w:w="7371" w:type="dxa"/>
            <w:gridSpan w:val="5"/>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失效可能性</w:t>
            </w:r>
          </w:p>
        </w:tc>
      </w:tr>
      <w:tr>
        <w:tblPrEx>
          <w:tblLayout w:type="fixed"/>
          <w:tblCellMar>
            <w:top w:w="0" w:type="dxa"/>
            <w:left w:w="108" w:type="dxa"/>
            <w:bottom w:w="0" w:type="dxa"/>
            <w:right w:w="108" w:type="dxa"/>
          </w:tblCellMar>
        </w:tblPrEx>
        <w:trPr>
          <w:trHeight w:val="454" w:hRule="atLeast"/>
          <w:jc w:val="center"/>
        </w:trPr>
        <w:tc>
          <w:tcPr>
            <w:tcW w:w="1474" w:type="dxa"/>
            <w:vMerge w:val="continue"/>
            <w:tcBorders>
              <w:top w:val="single" w:color="auto" w:sz="4" w:space="0"/>
              <w:left w:val="single" w:color="auto" w:sz="4" w:space="0"/>
              <w:bottom w:val="single" w:color="auto" w:sz="4" w:space="0"/>
              <w:right w:val="single" w:color="auto" w:sz="4" w:space="0"/>
            </w:tcBorders>
            <w:vAlign w:val="center"/>
          </w:tcPr>
          <w:p>
            <w:pPr>
              <w:rPr>
                <w:rFonts w:ascii="方正仿宋_GBK" w:hAnsi="Times New Roman" w:cs="Times New Roman"/>
                <w:sz w:val="21"/>
                <w:szCs w:val="21"/>
              </w:rPr>
            </w:pPr>
          </w:p>
        </w:tc>
        <w:tc>
          <w:tcPr>
            <w:tcW w:w="1475"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1</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2</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3</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4</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5</w:t>
            </w:r>
          </w:p>
        </w:tc>
      </w:tr>
      <w:tr>
        <w:tblPrEx>
          <w:tblLayout w:type="fixed"/>
          <w:tblCellMar>
            <w:top w:w="0" w:type="dxa"/>
            <w:left w:w="108" w:type="dxa"/>
            <w:bottom w:w="0" w:type="dxa"/>
            <w:right w:w="108" w:type="dxa"/>
          </w:tblCellMar>
        </w:tblPrEx>
        <w:trPr>
          <w:trHeight w:val="454" w:hRule="atLeast"/>
          <w:jc w:val="center"/>
        </w:trPr>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E</w:t>
            </w:r>
          </w:p>
        </w:tc>
        <w:tc>
          <w:tcPr>
            <w:tcW w:w="1475"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Ⅳ</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Ⅳ</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Ⅳ</w:t>
            </w:r>
          </w:p>
        </w:tc>
      </w:tr>
      <w:tr>
        <w:tblPrEx>
          <w:tblLayout w:type="fixed"/>
          <w:tblCellMar>
            <w:top w:w="0" w:type="dxa"/>
            <w:left w:w="108" w:type="dxa"/>
            <w:bottom w:w="0" w:type="dxa"/>
            <w:right w:w="108" w:type="dxa"/>
          </w:tblCellMar>
        </w:tblPrEx>
        <w:trPr>
          <w:trHeight w:val="454" w:hRule="atLeast"/>
          <w:jc w:val="center"/>
        </w:trPr>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D</w:t>
            </w:r>
          </w:p>
        </w:tc>
        <w:tc>
          <w:tcPr>
            <w:tcW w:w="1475"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Ⅱ</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Ⅱ</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Ⅳ</w:t>
            </w:r>
          </w:p>
        </w:tc>
      </w:tr>
      <w:tr>
        <w:tblPrEx>
          <w:tblLayout w:type="fixed"/>
          <w:tblCellMar>
            <w:top w:w="0" w:type="dxa"/>
            <w:left w:w="108" w:type="dxa"/>
            <w:bottom w:w="0" w:type="dxa"/>
            <w:right w:w="108" w:type="dxa"/>
          </w:tblCellMar>
        </w:tblPrEx>
        <w:trPr>
          <w:trHeight w:val="454" w:hRule="atLeast"/>
          <w:jc w:val="center"/>
        </w:trPr>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C</w:t>
            </w:r>
          </w:p>
        </w:tc>
        <w:tc>
          <w:tcPr>
            <w:tcW w:w="1475"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Ⅱ</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Ⅱ</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Ⅱ</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r>
      <w:tr>
        <w:tblPrEx>
          <w:tblLayout w:type="fixed"/>
          <w:tblCellMar>
            <w:top w:w="0" w:type="dxa"/>
            <w:left w:w="108" w:type="dxa"/>
            <w:bottom w:w="0" w:type="dxa"/>
            <w:right w:w="108" w:type="dxa"/>
          </w:tblCellMar>
        </w:tblPrEx>
        <w:trPr>
          <w:trHeight w:val="454" w:hRule="atLeast"/>
          <w:jc w:val="center"/>
        </w:trPr>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B</w:t>
            </w:r>
          </w:p>
        </w:tc>
        <w:tc>
          <w:tcPr>
            <w:tcW w:w="1475"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Ⅰ</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Ⅰ</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Ⅰ</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Ⅱ</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r>
      <w:tr>
        <w:tblPrEx>
          <w:tblLayout w:type="fixed"/>
          <w:tblCellMar>
            <w:top w:w="0" w:type="dxa"/>
            <w:left w:w="108" w:type="dxa"/>
            <w:bottom w:w="0" w:type="dxa"/>
            <w:right w:w="108" w:type="dxa"/>
          </w:tblCellMar>
        </w:tblPrEx>
        <w:trPr>
          <w:trHeight w:val="454" w:hRule="atLeast"/>
          <w:jc w:val="center"/>
        </w:trPr>
        <w:tc>
          <w:tcPr>
            <w:tcW w:w="14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A</w:t>
            </w:r>
          </w:p>
        </w:tc>
        <w:tc>
          <w:tcPr>
            <w:tcW w:w="1475"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Ⅰ</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Ⅰ</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Ⅰ</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Ⅱ</w:t>
            </w:r>
          </w:p>
        </w:tc>
        <w:tc>
          <w:tcPr>
            <w:tcW w:w="1474"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Ⅲ</w:t>
            </w:r>
          </w:p>
        </w:tc>
      </w:tr>
    </w:tbl>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表3.3-10  风险等级</w:t>
      </w:r>
    </w:p>
    <w:tbl>
      <w:tblPr>
        <w:tblStyle w:val="55"/>
        <w:tblW w:w="8845" w:type="dxa"/>
        <w:jc w:val="center"/>
        <w:tblInd w:w="0" w:type="dxa"/>
        <w:tblLayout w:type="fixed"/>
        <w:tblCellMar>
          <w:top w:w="0" w:type="dxa"/>
          <w:left w:w="108" w:type="dxa"/>
          <w:bottom w:w="0" w:type="dxa"/>
          <w:right w:w="108" w:type="dxa"/>
        </w:tblCellMar>
      </w:tblPr>
      <w:tblGrid>
        <w:gridCol w:w="1299"/>
        <w:gridCol w:w="7546"/>
      </w:tblGrid>
      <w:tr>
        <w:tblPrEx>
          <w:tblLayout w:type="fixed"/>
          <w:tblCellMar>
            <w:top w:w="0" w:type="dxa"/>
            <w:left w:w="108" w:type="dxa"/>
            <w:bottom w:w="0" w:type="dxa"/>
            <w:right w:w="108" w:type="dxa"/>
          </w:tblCellMar>
        </w:tblPrEx>
        <w:trPr>
          <w:trHeight w:val="454"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类别</w:t>
            </w:r>
          </w:p>
        </w:tc>
        <w:tc>
          <w:tcPr>
            <w:tcW w:w="754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描述</w:t>
            </w:r>
          </w:p>
        </w:tc>
      </w:tr>
      <w:tr>
        <w:tblPrEx>
          <w:tblLayout w:type="fixed"/>
          <w:tblCellMar>
            <w:top w:w="0" w:type="dxa"/>
            <w:left w:w="108" w:type="dxa"/>
            <w:bottom w:w="0" w:type="dxa"/>
            <w:right w:w="108" w:type="dxa"/>
          </w:tblCellMar>
        </w:tblPrEx>
        <w:trPr>
          <w:trHeight w:val="454"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低（Ⅰ）</w:t>
            </w:r>
          </w:p>
        </w:tc>
        <w:tc>
          <w:tcPr>
            <w:tcW w:w="754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风险水平可以接受，当前应对措施有效，可不采取额外技术、管理方面的预防措施</w:t>
            </w:r>
          </w:p>
        </w:tc>
      </w:tr>
      <w:tr>
        <w:tblPrEx>
          <w:tblLayout w:type="fixed"/>
          <w:tblCellMar>
            <w:top w:w="0" w:type="dxa"/>
            <w:left w:w="108" w:type="dxa"/>
            <w:bottom w:w="0" w:type="dxa"/>
            <w:right w:w="108" w:type="dxa"/>
          </w:tblCellMar>
        </w:tblPrEx>
        <w:trPr>
          <w:trHeight w:val="454"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中（Ⅱ）</w:t>
            </w:r>
          </w:p>
        </w:tc>
        <w:tc>
          <w:tcPr>
            <w:tcW w:w="754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风险水平可以接受，但应保持关注</w:t>
            </w:r>
          </w:p>
        </w:tc>
      </w:tr>
      <w:tr>
        <w:tblPrEx>
          <w:tblLayout w:type="fixed"/>
          <w:tblCellMar>
            <w:top w:w="0" w:type="dxa"/>
            <w:left w:w="108" w:type="dxa"/>
            <w:bottom w:w="0" w:type="dxa"/>
            <w:right w:w="108" w:type="dxa"/>
          </w:tblCellMar>
        </w:tblPrEx>
        <w:trPr>
          <w:trHeight w:val="454"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较高（Ⅲ）</w:t>
            </w:r>
          </w:p>
        </w:tc>
        <w:tc>
          <w:tcPr>
            <w:tcW w:w="754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风险水平不可接受，应在限定的时间内采取有效对策措施降低风险</w:t>
            </w:r>
          </w:p>
        </w:tc>
      </w:tr>
      <w:tr>
        <w:tblPrEx>
          <w:tblLayout w:type="fixed"/>
          <w:tblCellMar>
            <w:top w:w="0" w:type="dxa"/>
            <w:left w:w="108" w:type="dxa"/>
            <w:bottom w:w="0" w:type="dxa"/>
            <w:right w:w="108" w:type="dxa"/>
          </w:tblCellMar>
        </w:tblPrEx>
        <w:trPr>
          <w:trHeight w:val="454" w:hRule="atLeast"/>
          <w:jc w:val="center"/>
        </w:trPr>
        <w:tc>
          <w:tcPr>
            <w:tcW w:w="129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高（Ⅳ）</w:t>
            </w:r>
          </w:p>
        </w:tc>
        <w:tc>
          <w:tcPr>
            <w:tcW w:w="7546" w:type="dxa"/>
            <w:tcBorders>
              <w:top w:val="single" w:color="auto" w:sz="4" w:space="0"/>
              <w:left w:val="nil"/>
              <w:bottom w:val="single" w:color="auto" w:sz="4" w:space="0"/>
              <w:right w:val="single" w:color="auto" w:sz="4" w:space="0"/>
            </w:tcBorders>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风险水平不可接受，应尽快采取有效措施降低风险</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（1）失效后果等级</w:t>
      </w:r>
    </w:p>
    <w:p>
      <w:pPr>
        <w:pStyle w:val="46"/>
        <w:ind w:firstLine="632" w:firstLineChars="200"/>
        <w:jc w:val="both"/>
        <w:rPr>
          <w:rFonts w:ascii="方正仿宋_GBK"/>
          <w:sz w:val="32"/>
          <w:szCs w:val="32"/>
        </w:rPr>
      </w:pPr>
      <w:r>
        <w:rPr>
          <w:rFonts w:hint="eastAsia" w:ascii="方正仿宋_GBK"/>
          <w:sz w:val="32"/>
          <w:szCs w:val="32"/>
        </w:rPr>
        <w:t>通过现场勘查高后果区沿线周边情况，当管道发生泄漏发生喷射火和云爆事故可能性及管道失效可能造成的事故严重程度，参考《油气输送管道完整性管理规范》（GB 32167-2015）附录E有关管道失效可能性、失效后果和风险的分级标准，来评价外环管线江北区辖区内高后果区段管道风险等级。</w:t>
      </w:r>
    </w:p>
    <w:p>
      <w:pPr>
        <w:pStyle w:val="46"/>
        <w:ind w:firstLine="632" w:firstLineChars="200"/>
        <w:jc w:val="both"/>
        <w:rPr>
          <w:rFonts w:ascii="方正仿宋_GBK"/>
          <w:sz w:val="32"/>
          <w:szCs w:val="32"/>
        </w:rPr>
      </w:pPr>
      <w:r>
        <w:rPr>
          <w:rFonts w:hint="eastAsia" w:ascii="方正仿宋_GBK"/>
          <w:sz w:val="32"/>
          <w:szCs w:val="32"/>
        </w:rPr>
        <w:t>失效后果等级表对外环管线（江北区段）D711输气管道失效后果进行分级，输气管道失效后果等级见下表。</w:t>
      </w:r>
    </w:p>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表3.3-11  外环管线(江北区段)高后果区管道失效后果表</w:t>
      </w:r>
    </w:p>
    <w:tbl>
      <w:tblPr>
        <w:tblStyle w:val="55"/>
        <w:tblW w:w="884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89"/>
        <w:gridCol w:w="1558"/>
        <w:gridCol w:w="1136"/>
        <w:gridCol w:w="476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389" w:type="dxa"/>
            <w:shd w:val="clear" w:color="auto" w:fill="auto"/>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高后果区</w:t>
            </w:r>
          </w:p>
        </w:tc>
        <w:tc>
          <w:tcPr>
            <w:tcW w:w="1558"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高后果区位置</w:t>
            </w:r>
          </w:p>
        </w:tc>
        <w:tc>
          <w:tcPr>
            <w:tcW w:w="1136" w:type="dxa"/>
            <w:shd w:val="clear" w:color="auto" w:fill="auto"/>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后果等级</w:t>
            </w:r>
          </w:p>
        </w:tc>
        <w:tc>
          <w:tcPr>
            <w:tcW w:w="4762"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389" w:type="dxa"/>
            <w:shd w:val="clear" w:color="auto" w:fill="auto"/>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HCA1-WH</w:t>
            </w:r>
          </w:p>
        </w:tc>
        <w:tc>
          <w:tcPr>
            <w:tcW w:w="1558"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复盛镇及鱼复工业园</w:t>
            </w:r>
          </w:p>
        </w:tc>
        <w:tc>
          <w:tcPr>
            <w:tcW w:w="1136" w:type="dxa"/>
            <w:shd w:val="clear" w:color="auto" w:fill="auto"/>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C</w:t>
            </w:r>
          </w:p>
        </w:tc>
        <w:tc>
          <w:tcPr>
            <w:tcW w:w="4762" w:type="dxa"/>
            <w:vAlign w:val="center"/>
          </w:tcPr>
          <w:p>
            <w:pPr>
              <w:adjustRightInd w:val="0"/>
              <w:snapToGrid w:val="0"/>
              <w:ind w:firstLine="206" w:firstLineChars="100"/>
              <w:rPr>
                <w:rFonts w:ascii="方正仿宋_GBK" w:hAnsi="宋体" w:cs="宋体"/>
                <w:sz w:val="21"/>
                <w:szCs w:val="21"/>
                <w:lang w:bidi="ar"/>
              </w:rPr>
            </w:pPr>
            <w:r>
              <w:rPr>
                <w:rFonts w:hint="eastAsia" w:ascii="方正仿宋_GBK" w:hAnsi="宋体" w:cs="宋体"/>
                <w:sz w:val="21"/>
                <w:szCs w:val="21"/>
                <w:lang w:bidi="ar"/>
              </w:rPr>
              <w:t>工业园区，三级地区，沿线主要分布有鱼复工业园企业，复盛实验学校、复盛公租房小区。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389" w:type="dxa"/>
            <w:shd w:val="clear" w:color="auto" w:fill="auto"/>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HCA2-WH</w:t>
            </w:r>
          </w:p>
        </w:tc>
        <w:tc>
          <w:tcPr>
            <w:tcW w:w="1558"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鱼嘴镇果园港及福港大道</w:t>
            </w:r>
          </w:p>
        </w:tc>
        <w:tc>
          <w:tcPr>
            <w:tcW w:w="1136" w:type="dxa"/>
            <w:shd w:val="clear" w:color="auto" w:fill="auto"/>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C</w:t>
            </w:r>
          </w:p>
        </w:tc>
        <w:tc>
          <w:tcPr>
            <w:tcW w:w="4762" w:type="dxa"/>
            <w:vAlign w:val="center"/>
          </w:tcPr>
          <w:p>
            <w:pPr>
              <w:adjustRightInd w:val="0"/>
              <w:snapToGrid w:val="0"/>
              <w:ind w:firstLine="206" w:firstLineChars="100"/>
              <w:rPr>
                <w:rFonts w:ascii="方正仿宋_GBK" w:hAnsi="宋体" w:cs="宋体"/>
                <w:sz w:val="21"/>
                <w:szCs w:val="21"/>
                <w:lang w:bidi="ar"/>
              </w:rPr>
            </w:pPr>
            <w:r>
              <w:rPr>
                <w:rFonts w:hint="eastAsia" w:ascii="方正仿宋_GBK" w:hAnsi="宋体" w:cs="宋体"/>
                <w:sz w:val="21"/>
                <w:szCs w:val="21"/>
                <w:lang w:bidi="ar"/>
              </w:rPr>
              <w:t>园区，三级地区，管道沿线主要分布为果园港区及物流企业。</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（2）高后果区管道风险矩阵法评估结果</w:t>
      </w:r>
    </w:p>
    <w:p>
      <w:pPr>
        <w:pStyle w:val="46"/>
        <w:ind w:firstLine="632" w:firstLineChars="200"/>
        <w:jc w:val="both"/>
        <w:rPr>
          <w:rFonts w:ascii="方正仿宋_GBK"/>
          <w:sz w:val="32"/>
          <w:szCs w:val="32"/>
        </w:rPr>
      </w:pPr>
      <w:r>
        <w:rPr>
          <w:rFonts w:hint="eastAsia" w:ascii="方正仿宋_GBK"/>
          <w:sz w:val="32"/>
          <w:szCs w:val="32"/>
        </w:rPr>
        <w:t>结合重庆燃气集团股份有公司历年管道失效事故统计情况，管道失效可能性为“行业发生过类似试下，或预计5年~10年内发生过失效”。参考《油气输送管道完整性管理规范》（GB 32167-2015）附录E表E.1，本次外环管线江北区辖区内高后果区段管道失效可能性较低，失效可能性等级为2级。</w:t>
      </w:r>
    </w:p>
    <w:p>
      <w:pPr>
        <w:pStyle w:val="46"/>
        <w:ind w:firstLine="632" w:firstLineChars="200"/>
        <w:jc w:val="both"/>
        <w:rPr>
          <w:rFonts w:ascii="方正仿宋_GBK"/>
          <w:sz w:val="32"/>
          <w:szCs w:val="32"/>
        </w:rPr>
      </w:pPr>
      <w:r>
        <w:rPr>
          <w:rFonts w:hint="eastAsia" w:ascii="方正仿宋_GBK"/>
          <w:sz w:val="32"/>
          <w:szCs w:val="32"/>
        </w:rPr>
        <w:t>依据《油气输送管道完整性管理规范》（GB 32167-2015）附录E表E.3及E.4本管道失效后果及风险等级表辨识判断分析，D711外环管线(江北区段)输气管道风险矩阵法评估结果见下表。</w:t>
      </w:r>
    </w:p>
    <w:p>
      <w:pPr>
        <w:keepNext/>
        <w:widowControl/>
        <w:adjustRightInd w:val="0"/>
        <w:snapToGrid w:val="0"/>
        <w:spacing w:before="289" w:beforeLines="50"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表3.3-12  外环管线(江北区段)高后果区风险矩阵评估结果</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34"/>
        <w:gridCol w:w="1594"/>
        <w:gridCol w:w="1100"/>
        <w:gridCol w:w="992"/>
        <w:gridCol w:w="853"/>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高后果区</w:t>
            </w:r>
          </w:p>
        </w:tc>
        <w:tc>
          <w:tcPr>
            <w:tcW w:w="1134"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长度（m）</w:t>
            </w:r>
          </w:p>
        </w:tc>
        <w:tc>
          <w:tcPr>
            <w:tcW w:w="1594"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高后果区位置</w:t>
            </w:r>
          </w:p>
        </w:tc>
        <w:tc>
          <w:tcPr>
            <w:tcW w:w="1100"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失效可能性等级</w:t>
            </w:r>
          </w:p>
        </w:tc>
        <w:tc>
          <w:tcPr>
            <w:tcW w:w="992"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失效后果等级</w:t>
            </w:r>
          </w:p>
        </w:tc>
        <w:tc>
          <w:tcPr>
            <w:tcW w:w="853"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风险</w:t>
            </w:r>
          </w:p>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等级</w:t>
            </w:r>
          </w:p>
        </w:tc>
        <w:tc>
          <w:tcPr>
            <w:tcW w:w="2038" w:type="dxa"/>
            <w:vAlign w:val="center"/>
          </w:tcPr>
          <w:p>
            <w:pPr>
              <w:adjustRightInd w:val="0"/>
              <w:snapToGrid w:val="0"/>
              <w:jc w:val="center"/>
              <w:rPr>
                <w:rFonts w:ascii="方正仿宋_GBK" w:hAnsi="宋体" w:cs="宋体"/>
                <w:b/>
                <w:sz w:val="21"/>
                <w:szCs w:val="21"/>
                <w:lang w:bidi="ar"/>
              </w:rPr>
            </w:pPr>
            <w:r>
              <w:rPr>
                <w:rFonts w:hint="eastAsia" w:ascii="方正仿宋_GBK" w:hAnsi="宋体" w:cs="宋体"/>
                <w:b/>
                <w:sz w:val="21"/>
                <w:szCs w:val="21"/>
                <w:lang w:bidi="ar"/>
              </w:rPr>
              <w:t>风险等级描述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HCA1-WH</w:t>
            </w:r>
          </w:p>
        </w:tc>
        <w:tc>
          <w:tcPr>
            <w:tcW w:w="1134"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3370</w:t>
            </w:r>
          </w:p>
        </w:tc>
        <w:tc>
          <w:tcPr>
            <w:tcW w:w="1594"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复盛镇及鱼复工业园</w:t>
            </w:r>
          </w:p>
        </w:tc>
        <w:tc>
          <w:tcPr>
            <w:tcW w:w="1100"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2</w:t>
            </w:r>
          </w:p>
        </w:tc>
        <w:tc>
          <w:tcPr>
            <w:tcW w:w="992"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C</w:t>
            </w:r>
          </w:p>
        </w:tc>
        <w:tc>
          <w:tcPr>
            <w:tcW w:w="853"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中（Ⅱ）</w:t>
            </w:r>
          </w:p>
        </w:tc>
        <w:tc>
          <w:tcPr>
            <w:tcW w:w="2038" w:type="dxa"/>
            <w:vAlign w:val="center"/>
          </w:tcPr>
          <w:p>
            <w:pPr>
              <w:adjustRightInd w:val="0"/>
              <w:snapToGrid w:val="0"/>
              <w:ind w:firstLine="206" w:firstLineChars="100"/>
              <w:rPr>
                <w:rFonts w:ascii="方正仿宋_GBK" w:hAnsi="宋体" w:cs="宋体"/>
                <w:sz w:val="21"/>
                <w:szCs w:val="21"/>
                <w:lang w:bidi="ar"/>
              </w:rPr>
            </w:pPr>
            <w:r>
              <w:rPr>
                <w:rFonts w:hint="eastAsia" w:ascii="方正仿宋_GBK" w:hAnsi="宋体" w:cs="宋体"/>
                <w:sz w:val="21"/>
                <w:szCs w:val="21"/>
                <w:lang w:bidi="ar"/>
              </w:rPr>
              <w:t>风险水平可以接受，但应保持关注。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34"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HCA2-WH</w:t>
            </w:r>
          </w:p>
        </w:tc>
        <w:tc>
          <w:tcPr>
            <w:tcW w:w="1134"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3100</w:t>
            </w:r>
          </w:p>
        </w:tc>
        <w:tc>
          <w:tcPr>
            <w:tcW w:w="1594"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鱼嘴镇果园港及福港大道</w:t>
            </w:r>
          </w:p>
        </w:tc>
        <w:tc>
          <w:tcPr>
            <w:tcW w:w="1100"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2</w:t>
            </w:r>
          </w:p>
        </w:tc>
        <w:tc>
          <w:tcPr>
            <w:tcW w:w="992"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C</w:t>
            </w:r>
          </w:p>
        </w:tc>
        <w:tc>
          <w:tcPr>
            <w:tcW w:w="853" w:type="dxa"/>
            <w:vAlign w:val="center"/>
          </w:tcPr>
          <w:p>
            <w:pPr>
              <w:adjustRightInd w:val="0"/>
              <w:snapToGrid w:val="0"/>
              <w:jc w:val="center"/>
              <w:rPr>
                <w:rFonts w:ascii="方正仿宋_GBK" w:hAnsi="宋体" w:cs="宋体"/>
                <w:sz w:val="21"/>
                <w:szCs w:val="21"/>
                <w:lang w:bidi="ar"/>
              </w:rPr>
            </w:pPr>
            <w:r>
              <w:rPr>
                <w:rFonts w:hint="eastAsia" w:ascii="方正仿宋_GBK" w:hAnsi="宋体" w:cs="宋体"/>
                <w:sz w:val="21"/>
                <w:szCs w:val="21"/>
                <w:lang w:bidi="ar"/>
              </w:rPr>
              <w:t>中（Ⅱ）</w:t>
            </w:r>
          </w:p>
        </w:tc>
        <w:tc>
          <w:tcPr>
            <w:tcW w:w="2038" w:type="dxa"/>
            <w:vAlign w:val="center"/>
          </w:tcPr>
          <w:p>
            <w:pPr>
              <w:adjustRightInd w:val="0"/>
              <w:snapToGrid w:val="0"/>
              <w:ind w:firstLine="206" w:firstLineChars="100"/>
              <w:rPr>
                <w:rFonts w:ascii="方正仿宋_GBK" w:hAnsi="宋体" w:cs="宋体"/>
                <w:sz w:val="21"/>
                <w:szCs w:val="21"/>
                <w:lang w:bidi="ar"/>
              </w:rPr>
            </w:pPr>
            <w:r>
              <w:rPr>
                <w:rFonts w:hint="eastAsia" w:ascii="方正仿宋_GBK" w:hAnsi="宋体" w:cs="宋体"/>
                <w:sz w:val="21"/>
                <w:szCs w:val="21"/>
                <w:lang w:bidi="ar"/>
              </w:rPr>
              <w:t>风险水平可以接受，但应保持关注。</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通过表3.3-12得出，重庆燃气集团管维分公司外环管线江北区辖区内2处高后果区段风险等级为中（Ⅱ），其风险水平可以接受，但应保持关注。</w:t>
      </w:r>
    </w:p>
    <w:p>
      <w:pPr>
        <w:keepNext/>
        <w:keepLines/>
        <w:ind w:firstLine="632" w:firstLineChars="200"/>
        <w:outlineLvl w:val="2"/>
        <w:rPr>
          <w:rFonts w:ascii="仿宋_GB2312" w:eastAsia="仿宋_GB2312"/>
          <w:b/>
          <w:bCs/>
        </w:rPr>
      </w:pPr>
      <w:r>
        <w:rPr>
          <w:rFonts w:hint="eastAsia" w:ascii="仿宋_GB2312" w:eastAsia="仿宋_GB2312"/>
          <w:b/>
          <w:bCs/>
        </w:rPr>
        <w:t>3.3.3</w:t>
      </w:r>
      <w:r>
        <w:rPr>
          <w:rFonts w:ascii="仿宋_GB2312" w:eastAsia="仿宋_GB2312"/>
          <w:b/>
          <w:bCs/>
        </w:rPr>
        <w:t xml:space="preserve"> </w:t>
      </w:r>
      <w:r>
        <w:rPr>
          <w:rFonts w:hint="eastAsia" w:ascii="仿宋_GB2312" w:eastAsia="仿宋_GB2312"/>
          <w:b/>
          <w:bCs/>
        </w:rPr>
        <w:t>事故后果及影响范围</w:t>
      </w:r>
    </w:p>
    <w:p>
      <w:pPr>
        <w:pStyle w:val="46"/>
        <w:keepNext/>
        <w:widowControl/>
        <w:ind w:firstLine="632" w:firstLineChars="200"/>
        <w:jc w:val="both"/>
        <w:outlineLvl w:val="3"/>
        <w:rPr>
          <w:rFonts w:ascii="方正仿宋_GBK"/>
          <w:sz w:val="32"/>
          <w:szCs w:val="32"/>
        </w:rPr>
      </w:pPr>
      <w:r>
        <w:rPr>
          <w:rFonts w:hint="eastAsia" w:ascii="方正仿宋_GBK"/>
          <w:sz w:val="32"/>
          <w:szCs w:val="32"/>
        </w:rPr>
        <w:t>3.3.3.1</w:t>
      </w:r>
      <w:r>
        <w:rPr>
          <w:rFonts w:ascii="方正仿宋_GBK"/>
          <w:sz w:val="32"/>
          <w:szCs w:val="32"/>
        </w:rPr>
        <w:t xml:space="preserve"> </w:t>
      </w:r>
      <w:r>
        <w:rPr>
          <w:rFonts w:hint="eastAsia" w:ascii="方正仿宋_GBK"/>
          <w:sz w:val="32"/>
          <w:szCs w:val="32"/>
        </w:rPr>
        <w:t>高后果区管道敏感点划分</w:t>
      </w:r>
    </w:p>
    <w:p>
      <w:pPr>
        <w:pStyle w:val="46"/>
        <w:ind w:firstLine="632" w:firstLineChars="200"/>
        <w:jc w:val="both"/>
        <w:rPr>
          <w:rFonts w:ascii="方正仿宋_GBK"/>
          <w:sz w:val="32"/>
          <w:szCs w:val="32"/>
        </w:rPr>
      </w:pPr>
      <w:r>
        <w:rPr>
          <w:rFonts w:hint="eastAsia" w:ascii="方正仿宋_GBK"/>
          <w:sz w:val="32"/>
          <w:szCs w:val="32"/>
        </w:rPr>
        <w:t>结合目前晏鱼线鱼嘴镇果园港高后果区管道周边环境的实际情况，并根据周边企业单位性质以及特定场所、人员分布及应急疏散、应急抢险救援难度划分并选取本高后果区内敏感地点。鱼嘴镇果园港高后果区选取3处敏感点，具体情况及分布如表3.3-13、图3.3-13。</w:t>
      </w:r>
    </w:p>
    <w:p>
      <w:pPr>
        <w:pStyle w:val="253"/>
        <w:keepNext/>
        <w:ind w:firstLine="0" w:firstLineChars="0"/>
        <w:jc w:val="center"/>
      </w:pPr>
      <w:r>
        <mc:AlternateContent>
          <mc:Choice Requires="wps">
            <w:drawing>
              <wp:anchor distT="0" distB="0" distL="114300" distR="114300" simplePos="0" relativeHeight="251664384" behindDoc="0" locked="0" layoutInCell="1" allowOverlap="1">
                <wp:simplePos x="0" y="0"/>
                <wp:positionH relativeFrom="column">
                  <wp:posOffset>3611880</wp:posOffset>
                </wp:positionH>
                <wp:positionV relativeFrom="paragraph">
                  <wp:posOffset>1725295</wp:posOffset>
                </wp:positionV>
                <wp:extent cx="306705" cy="409575"/>
                <wp:effectExtent l="0" t="0" r="0" b="9525"/>
                <wp:wrapNone/>
                <wp:docPr id="64" name="文本框 64"/>
                <wp:cNvGraphicFramePr/>
                <a:graphic xmlns:a="http://schemas.openxmlformats.org/drawingml/2006/main">
                  <a:graphicData uri="http://schemas.microsoft.com/office/word/2010/wordprocessingShape">
                    <wps:wsp>
                      <wps:cNvSpPr txBox="1">
                        <a:spLocks noChangeArrowheads="1"/>
                      </wps:cNvSpPr>
                      <wps:spPr bwMode="auto">
                        <a:xfrm>
                          <a:off x="0" y="0"/>
                          <a:ext cx="306705" cy="409575"/>
                        </a:xfrm>
                        <a:prstGeom prst="rect">
                          <a:avLst/>
                        </a:prstGeom>
                        <a:noFill/>
                        <a:ln>
                          <a:noFill/>
                        </a:ln>
                        <a:effectLst/>
                      </wps:spPr>
                      <wps:txbx>
                        <w:txbxContent>
                          <w:p>
                            <w:pPr>
                              <w:rPr>
                                <w:b/>
                                <w:color w:val="FFFF00"/>
                              </w:rPr>
                            </w:pPr>
                            <w:r>
                              <w:rPr>
                                <w:rFonts w:hint="eastAsia"/>
                                <w:b/>
                                <w:color w:val="FFFF00"/>
                              </w:rPr>
                              <w:t>3#</w:t>
                            </w:r>
                          </w:p>
                        </w:txbxContent>
                      </wps:txbx>
                      <wps:bodyPr rot="0" vert="horz" wrap="square" lIns="18000" tIns="45720" rIns="18000" bIns="18000" anchor="t" anchorCtr="0" upright="1">
                        <a:noAutofit/>
                      </wps:bodyPr>
                    </wps:wsp>
                  </a:graphicData>
                </a:graphic>
              </wp:anchor>
            </w:drawing>
          </mc:Choice>
          <mc:Fallback>
            <w:pict>
              <v:shape id="_x0000_s1026" o:spid="_x0000_s1026" o:spt="202" type="#_x0000_t202" style="position:absolute;left:0pt;margin-left:284.4pt;margin-top:135.85pt;height:32.25pt;width:24.15pt;z-index:251664384;mso-width-relative:page;mso-height-relative:page;" filled="f" stroked="f" coordsize="21600,21600" o:gfxdata="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Ulj/2wAAAAsBAAAPAAAAAAAAAAEAIAAAACIAAABkcnMv&#10;ZG93bnJldi54bWxQSwECFAAUAAAACACHTuJAm4RotwACAADWAwAADgAAAAAAAAABACAAAAAqAQAA&#10;ZHJzL2Uyb0RvYy54bWxQSwUGAAAAAAYABgBZAQAAnAUAAAAA&#10;">
                <v:fill on="f" focussize="0,0"/>
                <v:stroke on="f"/>
                <v:imagedata o:title=""/>
                <o:lock v:ext="edit" aspectratio="f"/>
                <v:textbox inset="0.5mm,1.27mm,0.5mm,0.5mm">
                  <w:txbxContent>
                    <w:p>
                      <w:pPr>
                        <w:rPr>
                          <w:b/>
                          <w:color w:val="FFFF00"/>
                        </w:rPr>
                      </w:pPr>
                      <w:r>
                        <w:rPr>
                          <w:rFonts w:hint="eastAsia"/>
                          <w:b/>
                          <w:color w:val="FFFF00"/>
                        </w:rPr>
                        <w:t>3#</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2002155</wp:posOffset>
                </wp:positionH>
                <wp:positionV relativeFrom="paragraph">
                  <wp:posOffset>1087120</wp:posOffset>
                </wp:positionV>
                <wp:extent cx="295910" cy="400050"/>
                <wp:effectExtent l="0" t="0" r="889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295910" cy="400050"/>
                        </a:xfrm>
                        <a:prstGeom prst="rect">
                          <a:avLst/>
                        </a:prstGeom>
                        <a:noFill/>
                        <a:ln>
                          <a:noFill/>
                        </a:ln>
                        <a:effectLst/>
                      </wps:spPr>
                      <wps:txbx>
                        <w:txbxContent>
                          <w:p>
                            <w:pPr>
                              <w:rPr>
                                <w:b/>
                                <w:color w:val="FFFF00"/>
                              </w:rPr>
                            </w:pPr>
                            <w:r>
                              <w:rPr>
                                <w:rFonts w:hint="eastAsia"/>
                                <w:b/>
                                <w:color w:val="FFFF00"/>
                              </w:rPr>
                              <w:t>2#</w:t>
                            </w:r>
                          </w:p>
                        </w:txbxContent>
                      </wps:txbx>
                      <wps:bodyPr rot="0" vert="horz" wrap="square" lIns="18000" tIns="45720" rIns="18000" bIns="18000" anchor="t" anchorCtr="0" upright="1">
                        <a:noAutofit/>
                      </wps:bodyPr>
                    </wps:wsp>
                  </a:graphicData>
                </a:graphic>
              </wp:anchor>
            </w:drawing>
          </mc:Choice>
          <mc:Fallback>
            <w:pict>
              <v:shape id="_x0000_s1026" o:spid="_x0000_s1026" o:spt="202" type="#_x0000_t202" style="position:absolute;left:0pt;margin-left:157.65pt;margin-top:85.6pt;height:31.5pt;width:23.3pt;z-index:251663360;mso-width-relative:page;mso-height-relative:page;" filled="f" stroked="f" coordsize="21600,21600" o:gfxdata="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CCD92wAAAAsBAAAPAAAAAAAAAAEAIAAAACIAAABkcnMv&#10;ZG93bnJldi54bWxQSwECFAAUAAAACACHTuJAdCe8MAACAADWAwAADgAAAAAAAAABACAAAAAqAQAA&#10;ZHJzL2Uyb0RvYy54bWxQSwUGAAAAAAYABgBZAQAAnAUAAAAA&#10;">
                <v:fill on="f" focussize="0,0"/>
                <v:stroke on="f"/>
                <v:imagedata o:title=""/>
                <o:lock v:ext="edit" aspectratio="f"/>
                <v:textbox inset="0.5mm,1.27mm,0.5mm,0.5mm">
                  <w:txbxContent>
                    <w:p>
                      <w:pPr>
                        <w:rPr>
                          <w:b/>
                          <w:color w:val="FFFF00"/>
                        </w:rPr>
                      </w:pPr>
                      <w:r>
                        <w:rPr>
                          <w:rFonts w:hint="eastAsia"/>
                          <w:b/>
                          <w:color w:val="FFFF00"/>
                        </w:rPr>
                        <w:t>2#</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754380</wp:posOffset>
                </wp:positionH>
                <wp:positionV relativeFrom="paragraph">
                  <wp:posOffset>1087120</wp:posOffset>
                </wp:positionV>
                <wp:extent cx="331470" cy="371475"/>
                <wp:effectExtent l="0" t="0" r="0" b="9525"/>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331470" cy="371475"/>
                        </a:xfrm>
                        <a:prstGeom prst="rect">
                          <a:avLst/>
                        </a:prstGeom>
                        <a:noFill/>
                        <a:ln>
                          <a:noFill/>
                        </a:ln>
                        <a:effectLst/>
                      </wps:spPr>
                      <wps:txbx>
                        <w:txbxContent>
                          <w:p>
                            <w:pPr>
                              <w:rPr>
                                <w:b/>
                                <w:color w:val="FFFF00"/>
                              </w:rPr>
                            </w:pPr>
                            <w:r>
                              <w:rPr>
                                <w:rFonts w:hint="eastAsia"/>
                                <w:b/>
                                <w:color w:val="FFFF00"/>
                              </w:rPr>
                              <w:t>1#</w:t>
                            </w:r>
                          </w:p>
                        </w:txbxContent>
                      </wps:txbx>
                      <wps:bodyPr rot="0" vert="horz" wrap="square" lIns="18000" tIns="45720" rIns="18000" bIns="18000" anchor="t" anchorCtr="0" upright="1">
                        <a:noAutofit/>
                      </wps:bodyPr>
                    </wps:wsp>
                  </a:graphicData>
                </a:graphic>
              </wp:anchor>
            </w:drawing>
          </mc:Choice>
          <mc:Fallback>
            <w:pict>
              <v:shape id="_x0000_s1026" o:spid="_x0000_s1026" o:spt="202" type="#_x0000_t202" style="position:absolute;left:0pt;margin-left:59.4pt;margin-top:85.6pt;height:29.25pt;width:26.1pt;z-index:251662336;mso-width-relative:page;mso-height-relative:page;" filled="f" stroked="f" coordsize="21600,21600" o:gfxdata="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Gcg2gAAAAsBAAAPAAAAAAAAAAEAIAAAACIAAABkcnMvZG93&#10;bnJldi54bWxQSwECFAAUAAAACACHTuJAMa8wMf4BAADWAwAADgAAAAAAAAABACAAAAApAQAAZHJz&#10;L2Uyb0RvYy54bWxQSwUGAAAAAAYABgBZAQAAmQUAAAAA&#10;">
                <v:fill on="f" focussize="0,0"/>
                <v:stroke on="f"/>
                <v:imagedata o:title=""/>
                <o:lock v:ext="edit" aspectratio="f"/>
                <v:textbox inset="0.5mm,1.27mm,0.5mm,0.5mm">
                  <w:txbxContent>
                    <w:p>
                      <w:pPr>
                        <w:rPr>
                          <w:b/>
                          <w:color w:val="FFFF00"/>
                        </w:rPr>
                      </w:pPr>
                      <w:r>
                        <w:rPr>
                          <w:rFonts w:hint="eastAsia"/>
                          <w:b/>
                          <w:color w:val="FFFF00"/>
                        </w:rPr>
                        <w:t>1#</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1206500</wp:posOffset>
                </wp:positionH>
                <wp:positionV relativeFrom="paragraph">
                  <wp:posOffset>1525270</wp:posOffset>
                </wp:positionV>
                <wp:extent cx="4561840" cy="918845"/>
                <wp:effectExtent l="30480" t="25400" r="17780" b="17780"/>
                <wp:wrapNone/>
                <wp:docPr id="66" name="组合 66"/>
                <wp:cNvGraphicFramePr/>
                <a:graphic xmlns:a="http://schemas.openxmlformats.org/drawingml/2006/main">
                  <a:graphicData uri="http://schemas.microsoft.com/office/word/2010/wordprocessingGroup">
                    <wpg:wgp>
                      <wpg:cNvGrpSpPr/>
                      <wpg:grpSpPr>
                        <a:xfrm>
                          <a:off x="0" y="0"/>
                          <a:ext cx="4561840" cy="918845"/>
                          <a:chOff x="3601" y="500612"/>
                          <a:chExt cx="7184" cy="1447"/>
                        </a:xfrm>
                      </wpg:grpSpPr>
                      <wps:wsp>
                        <wps:cNvPr id="67" name="直线 11"/>
                        <wps:cNvCnPr>
                          <a:cxnSpLocks noChangeShapeType="1"/>
                        </wps:cNvCnPr>
                        <wps:spPr bwMode="auto">
                          <a:xfrm flipV="1">
                            <a:off x="3601" y="500651"/>
                            <a:ext cx="938" cy="37"/>
                          </a:xfrm>
                          <a:prstGeom prst="line">
                            <a:avLst/>
                          </a:prstGeom>
                          <a:noFill/>
                          <a:ln w="50800" cmpd="sng">
                            <a:solidFill>
                              <a:srgbClr val="FF0000"/>
                            </a:solidFill>
                            <a:round/>
                          </a:ln>
                        </wps:spPr>
                        <wps:bodyPr/>
                      </wps:wsp>
                      <wps:wsp>
                        <wps:cNvPr id="68" name="直线 12"/>
                        <wps:cNvCnPr>
                          <a:cxnSpLocks noChangeShapeType="1"/>
                        </wps:cNvCnPr>
                        <wps:spPr bwMode="auto">
                          <a:xfrm flipV="1">
                            <a:off x="4783" y="500614"/>
                            <a:ext cx="1032" cy="36"/>
                          </a:xfrm>
                          <a:prstGeom prst="line">
                            <a:avLst/>
                          </a:prstGeom>
                          <a:noFill/>
                          <a:ln w="50800" cmpd="sng">
                            <a:solidFill>
                              <a:srgbClr val="FF0000"/>
                            </a:solidFill>
                            <a:round/>
                          </a:ln>
                          <a:effectLst/>
                        </wps:spPr>
                        <wps:bodyPr/>
                      </wps:wsp>
                      <wps:wsp>
                        <wps:cNvPr id="69" name="直线 13"/>
                        <wps:cNvCnPr>
                          <a:cxnSpLocks noChangeShapeType="1"/>
                        </wps:cNvCnPr>
                        <wps:spPr bwMode="auto">
                          <a:xfrm>
                            <a:off x="5795" y="500612"/>
                            <a:ext cx="1803" cy="190"/>
                          </a:xfrm>
                          <a:prstGeom prst="line">
                            <a:avLst/>
                          </a:prstGeom>
                          <a:noFill/>
                          <a:ln w="50800" cmpd="sng">
                            <a:solidFill>
                              <a:srgbClr val="FF0000"/>
                            </a:solidFill>
                            <a:round/>
                          </a:ln>
                          <a:effectLst/>
                        </wps:spPr>
                        <wps:bodyPr/>
                      </wps:wsp>
                      <wps:wsp>
                        <wps:cNvPr id="70" name="直线 14"/>
                        <wps:cNvCnPr>
                          <a:cxnSpLocks noChangeShapeType="1"/>
                        </wps:cNvCnPr>
                        <wps:spPr bwMode="auto">
                          <a:xfrm>
                            <a:off x="7838" y="500855"/>
                            <a:ext cx="266" cy="40"/>
                          </a:xfrm>
                          <a:prstGeom prst="line">
                            <a:avLst/>
                          </a:prstGeom>
                          <a:noFill/>
                          <a:ln w="50800" cmpd="sng">
                            <a:solidFill>
                              <a:srgbClr val="FF0000"/>
                            </a:solidFill>
                            <a:round/>
                          </a:ln>
                          <a:effectLst/>
                        </wps:spPr>
                        <wps:bodyPr/>
                      </wps:wsp>
                      <wps:wsp>
                        <wps:cNvPr id="71" name="直线 15"/>
                        <wps:cNvCnPr>
                          <a:cxnSpLocks noChangeShapeType="1"/>
                        </wps:cNvCnPr>
                        <wps:spPr bwMode="auto">
                          <a:xfrm>
                            <a:off x="8120" y="500876"/>
                            <a:ext cx="619" cy="56"/>
                          </a:xfrm>
                          <a:prstGeom prst="line">
                            <a:avLst/>
                          </a:prstGeom>
                          <a:noFill/>
                          <a:ln w="25400" cmpd="sng">
                            <a:solidFill>
                              <a:srgbClr val="FFFF00"/>
                            </a:solidFill>
                            <a:round/>
                          </a:ln>
                        </wps:spPr>
                        <wps:bodyPr/>
                      </wps:wsp>
                      <wps:wsp>
                        <wps:cNvPr id="72" name="直线 16"/>
                        <wps:cNvCnPr>
                          <a:cxnSpLocks noChangeShapeType="1"/>
                        </wps:cNvCnPr>
                        <wps:spPr bwMode="auto">
                          <a:xfrm>
                            <a:off x="8705" y="500925"/>
                            <a:ext cx="589" cy="228"/>
                          </a:xfrm>
                          <a:prstGeom prst="line">
                            <a:avLst/>
                          </a:prstGeom>
                          <a:noFill/>
                          <a:ln w="25400" cmpd="sng">
                            <a:solidFill>
                              <a:srgbClr val="FFFF00"/>
                            </a:solidFill>
                            <a:round/>
                          </a:ln>
                          <a:effectLst/>
                        </wps:spPr>
                        <wps:bodyPr/>
                      </wps:wsp>
                      <wps:wsp>
                        <wps:cNvPr id="73" name="直线 17"/>
                        <wps:cNvCnPr>
                          <a:cxnSpLocks noChangeShapeType="1"/>
                        </wps:cNvCnPr>
                        <wps:spPr bwMode="auto">
                          <a:xfrm>
                            <a:off x="9292" y="501156"/>
                            <a:ext cx="852" cy="134"/>
                          </a:xfrm>
                          <a:prstGeom prst="line">
                            <a:avLst/>
                          </a:prstGeom>
                          <a:noFill/>
                          <a:ln w="25400" cmpd="sng">
                            <a:solidFill>
                              <a:srgbClr val="FFFF00"/>
                            </a:solidFill>
                            <a:round/>
                          </a:ln>
                          <a:effectLst/>
                        </wps:spPr>
                        <wps:bodyPr/>
                      </wps:wsp>
                      <wps:wsp>
                        <wps:cNvPr id="74" name="直线 18"/>
                        <wps:cNvCnPr>
                          <a:cxnSpLocks noChangeShapeType="1"/>
                        </wps:cNvCnPr>
                        <wps:spPr bwMode="auto">
                          <a:xfrm>
                            <a:off x="10123" y="501277"/>
                            <a:ext cx="662" cy="782"/>
                          </a:xfrm>
                          <a:prstGeom prst="line">
                            <a:avLst/>
                          </a:prstGeom>
                          <a:noFill/>
                          <a:ln w="25400" cmpd="sng">
                            <a:solidFill>
                              <a:srgbClr val="FFFF00"/>
                            </a:solidFill>
                            <a:round/>
                          </a:ln>
                          <a:effectLst/>
                        </wps:spPr>
                        <wps:bodyPr/>
                      </wps:wsp>
                    </wpg:wgp>
                  </a:graphicData>
                </a:graphic>
              </wp:anchor>
            </w:drawing>
          </mc:Choice>
          <mc:Fallback>
            <w:pict>
              <v:group id="_x0000_s1026" o:spid="_x0000_s1026" o:spt="203" style="position:absolute;left:0pt;margin-left:95pt;margin-top:120.1pt;height:72.35pt;width:359.2pt;z-index:251665408;mso-width-relative:page;mso-height-relative:page;" coordorigin="3601,500612" coordsize="7184,1447" o:gfxdata="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C4thvS&#10;2gAAAAsBAAAPAAAAAAAAAAEAIAAAACIAAABkcnMvZG93bnJldi54bWxQSwECFAAUAAAACACHTuJA&#10;qeeHunUDAADjEQAADgAAAAAAAAABACAAAAApAQAAZHJzL2Uyb0RvYy54bWxQSwUGAAAAAAYABgBZ&#10;AQAAEAcAAAAA&#10;">
                <o:lock v:ext="edit" aspectratio="f"/>
                <v:line id="直线 11" o:spid="_x0000_s1026" o:spt="20" style="position:absolute;left:3601;top:500651;flip:y;height:37;width:938;" filled="f" stroked="t" coordsize="21600,21600" o:gfxdata="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a3lvQAA&#10;ANsAAAAPAAAAAAAAAAEAIAAAACIAAABkcnMvZG93bnJldi54bWxQSwECFAAUAAAACACHTuJAMy8F&#10;njsAAAA5AAAAEAAAAAAAAAABACAAAAAMAQAAZHJzL3NoYXBleG1sLnhtbFBLBQYAAAAABgAGAFsB&#10;AAC2AwAAAAA=&#10;">
                  <v:fill on="f" focussize="0,0"/>
                  <v:stroke weight="4pt" color="#FF0000" joinstyle="round"/>
                  <v:imagedata o:title=""/>
                  <o:lock v:ext="edit" aspectratio="f"/>
                </v:line>
                <v:line id="直线 12" o:spid="_x0000_s1026" o:spt="20" style="position:absolute;left:4783;top:500614;flip:y;height:36;width:1032;" filled="f" stroked="t" coordsize="21600,21600" o:gfxdata="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5l7sAAADb&#10;AAAADwAAAAAAAAABACAAAAAiAAAAZHJzL2Rvd25yZXYueG1sUEsBAhQAFAAAAAgAh07iQDMvBZ47&#10;AAAAOQAAABAAAAAAAAAAAQAgAAAACgEAAGRycy9zaGFwZXhtbC54bWxQSwUGAAAAAAYABgBbAQAA&#10;tAMAAAAA&#10;">
                  <v:fill on="f" focussize="0,0"/>
                  <v:stroke weight="4pt" color="#FF0000" joinstyle="round"/>
                  <v:imagedata o:title=""/>
                  <o:lock v:ext="edit" aspectratio="f"/>
                </v:line>
                <v:line id="直线 13" o:spid="_x0000_s1026" o:spt="20" style="position:absolute;left:5795;top:500612;height:190;width:1803;" filled="f" stroked="t" coordsize="21600,21600" o:gfxdata="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PlEvQAA&#10;ANsAAAAPAAAAAAAAAAEAIAAAACIAAABkcnMvZG93bnJldi54bWxQSwECFAAUAAAACACHTuJAMy8F&#10;njsAAAA5AAAAEAAAAAAAAAABACAAAAAMAQAAZHJzL3NoYXBleG1sLnhtbFBLBQYAAAAABgAGAFsB&#10;AAC2AwAAAAA=&#10;">
                  <v:fill on="f" focussize="0,0"/>
                  <v:stroke weight="4pt" color="#FF0000" joinstyle="round"/>
                  <v:imagedata o:title=""/>
                  <o:lock v:ext="edit" aspectratio="f"/>
                </v:line>
                <v:line id="直线 14" o:spid="_x0000_s1026" o:spt="20" style="position:absolute;left:7838;top:500855;height:40;width:266;" filled="f" stroked="t" coordsize="21600,21600" o:gfxdata="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aPGBLgAAADbAAAA&#10;DwAAAAAAAAABACAAAAAiAAAAZHJzL2Rvd25yZXYueG1sUEsBAhQAFAAAAAgAh07iQDMvBZ47AAAA&#10;OQAAABAAAAAAAAAAAQAgAAAABwEAAGRycy9zaGFwZXhtbC54bWxQSwUGAAAAAAYABgBbAQAAsQMA&#10;AAAA&#10;">
                  <v:fill on="f" focussize="0,0"/>
                  <v:stroke weight="4pt" color="#FF0000" joinstyle="round"/>
                  <v:imagedata o:title=""/>
                  <o:lock v:ext="edit" aspectratio="f"/>
                </v:line>
                <v:line id="直线 15" o:spid="_x0000_s1026" o:spt="20" style="position:absolute;left:8120;top:500876;height:56;width:619;" filled="f" stroked="t" coordsize="21600,21600" o:gfxdata="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VcJSvQAA&#10;ANsAAAAPAAAAAAAAAAEAIAAAACIAAABkcnMvZG93bnJldi54bWxQSwECFAAUAAAACACHTuJAMy8F&#10;njsAAAA5AAAAEAAAAAAAAAABACAAAAAMAQAAZHJzL3NoYXBleG1sLnhtbFBLBQYAAAAABgAGAFsB&#10;AAC2AwAAAAA=&#10;">
                  <v:fill on="f" focussize="0,0"/>
                  <v:stroke weight="2pt" color="#FFFF00" joinstyle="round"/>
                  <v:imagedata o:title=""/>
                  <o:lock v:ext="edit" aspectratio="f"/>
                </v:line>
                <v:line id="直线 16" o:spid="_x0000_s1026" o:spt="20" style="position:absolute;left:8705;top:500925;height:228;width:589;" filled="f" stroked="t" coordsize="21600,21600" o:gfxdata="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h1wlvQAA&#10;ANsAAAAPAAAAAAAAAAEAIAAAACIAAABkcnMvZG93bnJldi54bWxQSwECFAAUAAAACACHTuJAMy8F&#10;njsAAAA5AAAAEAAAAAAAAAABACAAAAAMAQAAZHJzL3NoYXBleG1sLnhtbFBLBQYAAAAABgAGAFsB&#10;AAC2AwAAAAA=&#10;">
                  <v:fill on="f" focussize="0,0"/>
                  <v:stroke weight="2pt" color="#FFFF00" joinstyle="round"/>
                  <v:imagedata o:title=""/>
                  <o:lock v:ext="edit" aspectratio="f"/>
                </v:line>
                <v:line id="直线 17" o:spid="_x0000_s1026" o:spt="20" style="position:absolute;left:9292;top:501156;height:134;width:852;" filled="f" stroked="t" coordsize="21600,21600" o:gfxdata="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m+vQAA&#10;ANsAAAAPAAAAAAAAAAEAIAAAACIAAABkcnMvZG93bnJldi54bWxQSwECFAAUAAAACACHTuJAMy8F&#10;njsAAAA5AAAAEAAAAAAAAAABACAAAAAMAQAAZHJzL3NoYXBleG1sLnhtbFBLBQYAAAAABgAGAFsB&#10;AAC2AwAAAAA=&#10;">
                  <v:fill on="f" focussize="0,0"/>
                  <v:stroke weight="2pt" color="#FFFF00" joinstyle="round"/>
                  <v:imagedata o:title=""/>
                  <o:lock v:ext="edit" aspectratio="f"/>
                </v:line>
                <v:line id="直线 18" o:spid="_x0000_s1026" o:spt="20" style="position:absolute;left:10123;top:501277;height:782;width:662;" filled="f" stroked="t" coordsize="21600,21600" o:gfxdata="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mHKvQAA&#10;ANsAAAAPAAAAAAAAAAEAIAAAACIAAABkcnMvZG93bnJldi54bWxQSwECFAAUAAAACACHTuJAMy8F&#10;njsAAAA5AAAAEAAAAAAAAAABACAAAAAMAQAAZHJzL3NoYXBleG1sLnhtbFBLBQYAAAAABgAGAFsB&#10;AAC2AwAAAAA=&#10;">
                  <v:fill on="f" focussize="0,0"/>
                  <v:stroke weight="2pt" color="#FFFF00" joinstyle="round"/>
                  <v:imagedata o:title=""/>
                  <o:lock v:ext="edit" aspectratio="f"/>
                </v:line>
              </v:group>
            </w:pict>
          </mc:Fallback>
        </mc:AlternateContent>
      </w:r>
      <w:r>
        <w:drawing>
          <wp:inline distT="0" distB="0" distL="0" distR="0">
            <wp:extent cx="5616575" cy="3644900"/>
            <wp:effectExtent l="0" t="0" r="317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616575" cy="3644900"/>
                    </a:xfrm>
                    <a:prstGeom prst="rect">
                      <a:avLst/>
                    </a:prstGeom>
                    <a:noFill/>
                    <a:ln>
                      <a:noFill/>
                    </a:ln>
                    <a:effectLst/>
                  </pic:spPr>
                </pic:pic>
              </a:graphicData>
            </a:graphic>
          </wp:inline>
        </w:drawing>
      </w:r>
      <w:r>
        <w:drawing>
          <wp:anchor distT="0" distB="0" distL="114300" distR="114300" simplePos="0" relativeHeight="251661312" behindDoc="0" locked="0" layoutInCell="1" allowOverlap="1">
            <wp:simplePos x="0" y="0"/>
            <wp:positionH relativeFrom="column">
              <wp:posOffset>3721735</wp:posOffset>
            </wp:positionH>
            <wp:positionV relativeFrom="paragraph">
              <wp:posOffset>1561465</wp:posOffset>
            </wp:positionV>
            <wp:extent cx="190500" cy="182880"/>
            <wp:effectExtent l="0" t="0" r="0" b="7620"/>
            <wp:wrapNone/>
            <wp:docPr id="63" name="图片 63" descr="说明: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说明: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0500" cy="18288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1767840</wp:posOffset>
            </wp:positionH>
            <wp:positionV relativeFrom="paragraph">
              <wp:posOffset>1459865</wp:posOffset>
            </wp:positionV>
            <wp:extent cx="190500" cy="182880"/>
            <wp:effectExtent l="0" t="0" r="0" b="7620"/>
            <wp:wrapNone/>
            <wp:docPr id="62" name="图片 62" descr="说明: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说明: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0500" cy="18288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1029335</wp:posOffset>
            </wp:positionH>
            <wp:positionV relativeFrom="paragraph">
              <wp:posOffset>1483995</wp:posOffset>
            </wp:positionV>
            <wp:extent cx="190500" cy="182880"/>
            <wp:effectExtent l="0" t="0" r="0" b="7620"/>
            <wp:wrapNone/>
            <wp:docPr id="60" name="图片 60" descr="说明: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说明: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0500" cy="182880"/>
                    </a:xfrm>
                    <a:prstGeom prst="rect">
                      <a:avLst/>
                    </a:prstGeom>
                    <a:noFill/>
                    <a:ln>
                      <a:noFill/>
                    </a:ln>
                  </pic:spPr>
                </pic:pic>
              </a:graphicData>
            </a:graphic>
          </wp:anchor>
        </w:drawing>
      </w:r>
    </w:p>
    <w:p>
      <w:pPr>
        <w:widowControl/>
        <w:adjustRightInd w:val="0"/>
        <w:snapToGrid w:val="0"/>
        <w:spacing w:line="36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 xml:space="preserve">图3.3-13 </w:t>
      </w:r>
      <w:r>
        <w:rPr>
          <w:rFonts w:ascii="方正黑体_GBK" w:hAnsi="Times New Roman" w:eastAsia="方正黑体_GBK" w:cs="Times New Roman"/>
          <w:bCs/>
          <w:kern w:val="44"/>
          <w:sz w:val="28"/>
          <w:szCs w:val="28"/>
          <w:lang w:val="zh-CN"/>
        </w:rPr>
        <w:t xml:space="preserve"> </w:t>
      </w:r>
      <w:r>
        <w:rPr>
          <w:rFonts w:hint="eastAsia" w:ascii="方正黑体_GBK" w:hAnsi="Times New Roman" w:eastAsia="方正黑体_GBK" w:cs="Times New Roman"/>
          <w:bCs/>
          <w:kern w:val="44"/>
          <w:sz w:val="28"/>
          <w:szCs w:val="28"/>
          <w:lang w:val="zh-CN"/>
        </w:rPr>
        <w:t>鱼嘴镇果园港高后果区敏感点分布</w:t>
      </w:r>
    </w:p>
    <w:p>
      <w:pPr>
        <w:pStyle w:val="46"/>
        <w:ind w:firstLine="632" w:firstLineChars="200"/>
        <w:jc w:val="both"/>
        <w:rPr>
          <w:rFonts w:ascii="方正仿宋_GBK"/>
          <w:sz w:val="32"/>
          <w:szCs w:val="32"/>
        </w:rPr>
      </w:pP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表3.3-13</w:t>
      </w:r>
      <w:r>
        <w:rPr>
          <w:rFonts w:ascii="方正黑体_GBK" w:hAnsi="Times New Roman" w:eastAsia="方正黑体_GBK" w:cs="Times New Roman"/>
          <w:bCs/>
          <w:kern w:val="44"/>
          <w:sz w:val="28"/>
          <w:szCs w:val="28"/>
          <w:lang w:val="zh-CN"/>
        </w:rPr>
        <w:t xml:space="preserve">  </w:t>
      </w:r>
      <w:r>
        <w:rPr>
          <w:rFonts w:hint="eastAsia" w:ascii="方正黑体_GBK" w:hAnsi="Times New Roman" w:eastAsia="方正黑体_GBK" w:cs="Times New Roman"/>
          <w:bCs/>
          <w:kern w:val="44"/>
          <w:sz w:val="28"/>
          <w:szCs w:val="28"/>
          <w:lang w:val="zh-CN"/>
        </w:rPr>
        <w:t>晏鱼线鱼嘴镇果园港高后果区敏感点选取情况</w:t>
      </w:r>
    </w:p>
    <w:tbl>
      <w:tblPr>
        <w:tblStyle w:val="55"/>
        <w:tblW w:w="88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227"/>
        <w:gridCol w:w="699"/>
        <w:gridCol w:w="4033"/>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6"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序号</w:t>
            </w:r>
          </w:p>
        </w:tc>
        <w:tc>
          <w:tcPr>
            <w:tcW w:w="2227"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管道敏感地点</w:t>
            </w:r>
          </w:p>
        </w:tc>
        <w:tc>
          <w:tcPr>
            <w:tcW w:w="69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人员滞留</w:t>
            </w:r>
          </w:p>
        </w:tc>
        <w:tc>
          <w:tcPr>
            <w:tcW w:w="4033"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情况说明</w:t>
            </w:r>
          </w:p>
        </w:tc>
        <w:tc>
          <w:tcPr>
            <w:tcW w:w="122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2227"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鱼嘴门站</w:t>
            </w:r>
          </w:p>
        </w:tc>
        <w:tc>
          <w:tcPr>
            <w:tcW w:w="69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8</w:t>
            </w:r>
          </w:p>
        </w:tc>
        <w:tc>
          <w:tcPr>
            <w:tcW w:w="4033"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配气站（门站）保障主城城区供气，主要出入口面向福港大道。</w:t>
            </w:r>
          </w:p>
        </w:tc>
        <w:tc>
          <w:tcPr>
            <w:tcW w:w="1220" w:type="dxa"/>
            <w:vAlign w:val="center"/>
          </w:tcPr>
          <w:p>
            <w:pPr>
              <w:adjustRightInd w:val="0"/>
              <w:snapToGrid w:val="0"/>
              <w:jc w:val="center"/>
              <w:rPr>
                <w:rFonts w:ascii="方正仿宋_GBK"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2227"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中石油加油站</w:t>
            </w:r>
          </w:p>
        </w:tc>
        <w:tc>
          <w:tcPr>
            <w:tcW w:w="69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w:t>
            </w:r>
          </w:p>
        </w:tc>
        <w:tc>
          <w:tcPr>
            <w:tcW w:w="4033"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加油站北侧为缓边坡无疏散通道，加油站主要出入口均面向福港大道，北侧为缓边坡无疏散通道。</w:t>
            </w:r>
          </w:p>
        </w:tc>
        <w:tc>
          <w:tcPr>
            <w:tcW w:w="122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特定场所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66"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2227"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徐家院110kV变电站</w:t>
            </w:r>
          </w:p>
        </w:tc>
        <w:tc>
          <w:tcPr>
            <w:tcW w:w="69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4033"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变电站站内无人，站外值班2人，主要人行通道面向福港大道。</w:t>
            </w:r>
          </w:p>
        </w:tc>
        <w:tc>
          <w:tcPr>
            <w:tcW w:w="1220" w:type="dxa"/>
            <w:vAlign w:val="center"/>
          </w:tcPr>
          <w:p>
            <w:pPr>
              <w:adjustRightInd w:val="0"/>
              <w:snapToGrid w:val="0"/>
              <w:jc w:val="center"/>
              <w:rPr>
                <w:rFonts w:ascii="方正仿宋_GBK" w:hAnsi="宋体" w:cs="宋体"/>
                <w:sz w:val="21"/>
                <w:szCs w:val="21"/>
              </w:rPr>
            </w:pPr>
          </w:p>
        </w:tc>
      </w:tr>
    </w:tbl>
    <w:p>
      <w:pPr>
        <w:pStyle w:val="46"/>
        <w:ind w:firstLine="632" w:firstLineChars="200"/>
        <w:jc w:val="both"/>
        <w:rPr>
          <w:rFonts w:ascii="方正仿宋_GBK"/>
          <w:sz w:val="32"/>
          <w:szCs w:val="32"/>
        </w:rPr>
      </w:pPr>
    </w:p>
    <w:p>
      <w:pPr>
        <w:pStyle w:val="46"/>
        <w:keepNext/>
        <w:widowControl/>
        <w:ind w:firstLine="632" w:firstLineChars="200"/>
        <w:jc w:val="both"/>
        <w:outlineLvl w:val="3"/>
        <w:rPr>
          <w:rFonts w:ascii="方正仿宋_GBK"/>
          <w:sz w:val="32"/>
          <w:szCs w:val="32"/>
        </w:rPr>
      </w:pPr>
      <w:r>
        <w:rPr>
          <w:rFonts w:hint="eastAsia" w:ascii="方正仿宋_GBK"/>
          <w:sz w:val="32"/>
          <w:szCs w:val="32"/>
        </w:rPr>
        <w:t>3.3.3.2</w:t>
      </w:r>
      <w:r>
        <w:rPr>
          <w:rFonts w:ascii="方正仿宋_GBK"/>
          <w:sz w:val="32"/>
          <w:szCs w:val="32"/>
        </w:rPr>
        <w:t xml:space="preserve"> </w:t>
      </w:r>
      <w:r>
        <w:rPr>
          <w:rFonts w:hint="eastAsia" w:ascii="方正仿宋_GBK"/>
          <w:sz w:val="32"/>
          <w:szCs w:val="32"/>
        </w:rPr>
        <w:t>各敏感点事故后果分析</w:t>
      </w:r>
    </w:p>
    <w:p>
      <w:pPr>
        <w:pStyle w:val="46"/>
        <w:ind w:firstLine="632" w:firstLineChars="200"/>
        <w:jc w:val="both"/>
        <w:rPr>
          <w:rFonts w:ascii="方正仿宋_GBK"/>
          <w:sz w:val="32"/>
          <w:szCs w:val="32"/>
        </w:rPr>
      </w:pPr>
      <w:r>
        <w:rPr>
          <w:rFonts w:hint="eastAsia" w:ascii="方正仿宋_GBK"/>
          <w:sz w:val="32"/>
          <w:szCs w:val="32"/>
        </w:rPr>
        <w:t>根据PHAST模拟事故后果的结论，结合目前管道周边环境的实际情况，该管道完全性破裂的概率极低，本报告选择管道发生20%A小孔泄漏发生云团爆炸事故，以最糟事故半径进行事故后果及范围统计分析。</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表3.3-14  管道发生泄漏（20%破裂）最糟事故影响范围</w:t>
      </w:r>
    </w:p>
    <w:tbl>
      <w:tblPr>
        <w:tblStyle w:val="55"/>
        <w:tblW w:w="8845" w:type="dxa"/>
        <w:jc w:val="center"/>
        <w:tblInd w:w="0" w:type="dxa"/>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15" w:type="dxa"/>
          <w:left w:w="108" w:type="dxa"/>
          <w:bottom w:w="15" w:type="dxa"/>
          <w:right w:w="108" w:type="dxa"/>
        </w:tblCellMar>
      </w:tblPr>
      <w:tblGrid>
        <w:gridCol w:w="1869"/>
        <w:gridCol w:w="2242"/>
        <w:gridCol w:w="2410"/>
        <w:gridCol w:w="2324"/>
      </w:tblGrid>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15" w:type="dxa"/>
            <w:left w:w="108" w:type="dxa"/>
            <w:bottom w:w="15" w:type="dxa"/>
            <w:right w:w="108" w:type="dxa"/>
          </w:tblCellMar>
        </w:tblPrEx>
        <w:trPr>
          <w:trHeight w:val="454" w:hRule="atLeast"/>
          <w:jc w:val="center"/>
        </w:trPr>
        <w:tc>
          <w:tcPr>
            <w:tcW w:w="1869" w:type="dxa"/>
            <w:vMerge w:val="restart"/>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破裂程度</w:t>
            </w:r>
          </w:p>
        </w:tc>
        <w:tc>
          <w:tcPr>
            <w:tcW w:w="6976" w:type="dxa"/>
            <w:gridSpan w:val="3"/>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爆炸冲击波影响</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15" w:type="dxa"/>
            <w:left w:w="108" w:type="dxa"/>
            <w:bottom w:w="15" w:type="dxa"/>
            <w:right w:w="108" w:type="dxa"/>
          </w:tblCellMar>
        </w:tblPrEx>
        <w:trPr>
          <w:trHeight w:val="454" w:hRule="atLeast"/>
          <w:jc w:val="center"/>
        </w:trPr>
        <w:tc>
          <w:tcPr>
            <w:tcW w:w="1869" w:type="dxa"/>
            <w:vMerge w:val="continue"/>
            <w:vAlign w:val="center"/>
          </w:tcPr>
          <w:p>
            <w:pPr>
              <w:widowControl/>
              <w:jc w:val="left"/>
              <w:rPr>
                <w:rFonts w:ascii="方正仿宋_GBK" w:hAnsi="宋体" w:cs="宋体"/>
                <w:b/>
                <w:bCs/>
                <w:kern w:val="0"/>
                <w:sz w:val="21"/>
                <w:szCs w:val="21"/>
              </w:rPr>
            </w:pPr>
          </w:p>
        </w:tc>
        <w:tc>
          <w:tcPr>
            <w:tcW w:w="224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死亡半径（m）</w:t>
            </w:r>
          </w:p>
        </w:tc>
        <w:tc>
          <w:tcPr>
            <w:tcW w:w="2410"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重伤半径（m）</w:t>
            </w:r>
          </w:p>
        </w:tc>
        <w:tc>
          <w:tcPr>
            <w:tcW w:w="2324"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轻伤半径（m）</w:t>
            </w:r>
          </w:p>
        </w:tc>
      </w:tr>
      <w:tr>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fixed"/>
          <w:tblCellMar>
            <w:top w:w="15" w:type="dxa"/>
            <w:left w:w="108" w:type="dxa"/>
            <w:bottom w:w="15" w:type="dxa"/>
            <w:right w:w="108" w:type="dxa"/>
          </w:tblCellMar>
        </w:tblPrEx>
        <w:trPr>
          <w:trHeight w:val="454" w:hRule="atLeast"/>
          <w:jc w:val="center"/>
        </w:trPr>
        <w:tc>
          <w:tcPr>
            <w:tcW w:w="1869"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20%A</w:t>
            </w:r>
          </w:p>
        </w:tc>
        <w:tc>
          <w:tcPr>
            <w:tcW w:w="224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38.4</w:t>
            </w:r>
          </w:p>
        </w:tc>
        <w:tc>
          <w:tcPr>
            <w:tcW w:w="2410"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44.5</w:t>
            </w:r>
          </w:p>
        </w:tc>
        <w:tc>
          <w:tcPr>
            <w:tcW w:w="2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146.2</w:t>
            </w:r>
          </w:p>
        </w:tc>
      </w:tr>
    </w:tbl>
    <w:p>
      <w:pPr>
        <w:pStyle w:val="46"/>
        <w:ind w:firstLine="632" w:firstLineChars="200"/>
        <w:jc w:val="both"/>
        <w:rPr>
          <w:rFonts w:ascii="方正仿宋_GBK"/>
          <w:sz w:val="32"/>
          <w:szCs w:val="32"/>
        </w:rPr>
      </w:pPr>
    </w:p>
    <w:p>
      <w:pPr>
        <w:pStyle w:val="46"/>
        <w:ind w:firstLine="632" w:firstLineChars="200"/>
        <w:jc w:val="both"/>
        <w:rPr>
          <w:rFonts w:ascii="方正仿宋_GBK"/>
          <w:sz w:val="32"/>
          <w:szCs w:val="32"/>
        </w:rPr>
      </w:pPr>
      <w:r>
        <w:rPr>
          <w:rFonts w:hint="eastAsia" w:ascii="方正仿宋_GBK"/>
          <w:sz w:val="32"/>
          <w:szCs w:val="32"/>
        </w:rPr>
        <w:t>报告选取晏鱼线（果园港段）3处进行事故模拟并分析其事故影响范围。并分析其事故点附近的应急隔离疏散。</w:t>
      </w:r>
    </w:p>
    <w:p>
      <w:pPr>
        <w:pStyle w:val="46"/>
        <w:ind w:firstLine="632" w:firstLineChars="200"/>
        <w:jc w:val="both"/>
        <w:rPr>
          <w:rFonts w:ascii="方正仿宋_GBK"/>
          <w:sz w:val="32"/>
          <w:szCs w:val="32"/>
        </w:rPr>
      </w:pPr>
      <w:r>
        <w:rPr>
          <w:rFonts w:hint="eastAsia" w:ascii="方正仿宋_GBK"/>
          <w:sz w:val="32"/>
          <w:szCs w:val="32"/>
        </w:rPr>
        <w:t>晏鱼线（果园港段）管道泄漏事故应急疏散说明见下表。</w:t>
      </w:r>
    </w:p>
    <w:p>
      <w:pPr>
        <w:keepNext/>
        <w:widowControl/>
        <w:adjustRightInd w:val="0"/>
        <w:snapToGrid w:val="0"/>
        <w:spacing w:line="300" w:lineRule="auto"/>
        <w:jc w:val="center"/>
        <w:rPr>
          <w:rFonts w:ascii="方正黑体_GBK" w:hAnsi="Times New Roman" w:eastAsia="方正黑体_GBK" w:cs="Times New Roman"/>
          <w:bCs/>
          <w:kern w:val="44"/>
          <w:sz w:val="28"/>
          <w:szCs w:val="28"/>
          <w:lang w:val="zh-CN"/>
        </w:rPr>
      </w:pPr>
      <w:r>
        <w:rPr>
          <w:rFonts w:hint="eastAsia" w:ascii="方正黑体_GBK" w:hAnsi="Times New Roman" w:eastAsia="方正黑体_GBK" w:cs="Times New Roman"/>
          <w:bCs/>
          <w:kern w:val="44"/>
          <w:sz w:val="28"/>
          <w:szCs w:val="28"/>
          <w:lang w:val="zh-CN"/>
        </w:rPr>
        <w:t>表3.3-15  晏鱼线果园港高后果区管道泄漏时需疏散人员分布情况</w:t>
      </w:r>
    </w:p>
    <w:tbl>
      <w:tblPr>
        <w:tblStyle w:val="55"/>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324"/>
        <w:gridCol w:w="662"/>
        <w:gridCol w:w="2515"/>
        <w:gridCol w:w="3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1"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序号</w:t>
            </w:r>
          </w:p>
        </w:tc>
        <w:tc>
          <w:tcPr>
            <w:tcW w:w="1324"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厂区及建构筑物</w:t>
            </w:r>
          </w:p>
        </w:tc>
        <w:tc>
          <w:tcPr>
            <w:tcW w:w="662"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疏散人数</w:t>
            </w:r>
          </w:p>
        </w:tc>
        <w:tc>
          <w:tcPr>
            <w:tcW w:w="2515"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事故影响范围</w:t>
            </w:r>
          </w:p>
        </w:tc>
        <w:tc>
          <w:tcPr>
            <w:tcW w:w="3939" w:type="dxa"/>
            <w:vAlign w:val="center"/>
          </w:tcPr>
          <w:p>
            <w:pPr>
              <w:adjustRightInd w:val="0"/>
              <w:snapToGrid w:val="0"/>
              <w:jc w:val="center"/>
              <w:rPr>
                <w:rFonts w:ascii="方正仿宋_GBK" w:hAnsi="宋体" w:cs="宋体"/>
                <w:b/>
                <w:sz w:val="21"/>
                <w:szCs w:val="21"/>
              </w:rPr>
            </w:pPr>
            <w:r>
              <w:rPr>
                <w:rFonts w:hint="eastAsia" w:ascii="方正仿宋_GBK" w:hAnsi="宋体" w:cs="宋体"/>
                <w:b/>
                <w:sz w:val="21"/>
                <w:szCs w:val="21"/>
              </w:rPr>
              <w:t>疏散说明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w:t>
            </w:r>
          </w:p>
        </w:tc>
        <w:tc>
          <w:tcPr>
            <w:tcW w:w="1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重庆燃气集团鱼嘴门站</w:t>
            </w:r>
          </w:p>
        </w:tc>
        <w:tc>
          <w:tcPr>
            <w:tcW w:w="66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8</w:t>
            </w:r>
          </w:p>
        </w:tc>
        <w:tc>
          <w:tcPr>
            <w:tcW w:w="2515"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如该敏感点发生事故后，鱼嘴门站全部在事故影响范围内，以及果园港在建工地部分区域。</w:t>
            </w:r>
          </w:p>
        </w:tc>
        <w:tc>
          <w:tcPr>
            <w:tcW w:w="3939"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鱼嘴门站内人员：出站后沿福港大道西侧方向疏散；</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公路行人：沿福港大道两侧方向疏散；</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果园港及在建工地人员：远离福港大道方向疏散。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1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中石油加油站</w:t>
            </w:r>
          </w:p>
        </w:tc>
        <w:tc>
          <w:tcPr>
            <w:tcW w:w="66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10</w:t>
            </w:r>
          </w:p>
        </w:tc>
        <w:tc>
          <w:tcPr>
            <w:tcW w:w="2515"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如该敏感点发生事故后，加油站全部在事故影响范围内，以及果园港在建工地部分区域。</w:t>
            </w:r>
          </w:p>
        </w:tc>
        <w:tc>
          <w:tcPr>
            <w:tcW w:w="3939"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加油站内人员及福港大道行人：沿福港大道两侧方向疏散；</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果园港及在建工地人员：远离福港大道方向疏散。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631"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3</w:t>
            </w:r>
          </w:p>
        </w:tc>
        <w:tc>
          <w:tcPr>
            <w:tcW w:w="1324"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徐家院110kV变电站</w:t>
            </w:r>
          </w:p>
        </w:tc>
        <w:tc>
          <w:tcPr>
            <w:tcW w:w="662" w:type="dxa"/>
            <w:vAlign w:val="center"/>
          </w:tcPr>
          <w:p>
            <w:pPr>
              <w:adjustRightInd w:val="0"/>
              <w:snapToGrid w:val="0"/>
              <w:jc w:val="center"/>
              <w:rPr>
                <w:rFonts w:ascii="方正仿宋_GBK" w:hAnsi="宋体" w:cs="宋体"/>
                <w:sz w:val="21"/>
                <w:szCs w:val="21"/>
              </w:rPr>
            </w:pPr>
            <w:r>
              <w:rPr>
                <w:rFonts w:hint="eastAsia" w:ascii="方正仿宋_GBK" w:hAnsi="宋体" w:cs="宋体"/>
                <w:sz w:val="21"/>
                <w:szCs w:val="21"/>
              </w:rPr>
              <w:t>2</w:t>
            </w:r>
          </w:p>
        </w:tc>
        <w:tc>
          <w:tcPr>
            <w:tcW w:w="2515"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如该敏感点发生事故后，变电站值班人员在轻伤范围。</w:t>
            </w:r>
          </w:p>
        </w:tc>
        <w:tc>
          <w:tcPr>
            <w:tcW w:w="3939" w:type="dxa"/>
            <w:vAlign w:val="center"/>
          </w:tcPr>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变电站值班人员：向北侧缓坡疏散；</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公路行人：沿福港大道两侧方向疏散；</w:t>
            </w:r>
          </w:p>
          <w:p>
            <w:pPr>
              <w:adjustRightInd w:val="0"/>
              <w:snapToGrid w:val="0"/>
              <w:ind w:firstLine="206" w:firstLineChars="100"/>
              <w:rPr>
                <w:rFonts w:ascii="方正仿宋_GBK" w:hAnsi="宋体" w:cs="宋体"/>
                <w:sz w:val="21"/>
                <w:szCs w:val="21"/>
              </w:rPr>
            </w:pPr>
            <w:r>
              <w:rPr>
                <w:rFonts w:hint="eastAsia" w:ascii="方正仿宋_GBK" w:hAnsi="宋体" w:cs="宋体"/>
                <w:sz w:val="21"/>
                <w:szCs w:val="21"/>
              </w:rPr>
              <w:t>果园港及在建工地人员：远离福港大道方向疏散。</w:t>
            </w:r>
          </w:p>
        </w:tc>
      </w:tr>
    </w:tbl>
    <w:p>
      <w:pPr>
        <w:pStyle w:val="46"/>
        <w:ind w:firstLine="632" w:firstLineChars="200"/>
        <w:jc w:val="both"/>
        <w:rPr>
          <w:rFonts w:ascii="方正仿宋_GBK"/>
          <w:sz w:val="32"/>
          <w:szCs w:val="32"/>
        </w:rPr>
      </w:pPr>
    </w:p>
    <w:p>
      <w:pPr>
        <w:pStyle w:val="3"/>
        <w:pageBreakBefore/>
        <w:adjustRightInd w:val="0"/>
        <w:snapToGrid w:val="0"/>
        <w:spacing w:before="100" w:beforeAutospacing="1" w:after="100" w:afterAutospacing="1" w:line="240" w:lineRule="auto"/>
        <w:jc w:val="center"/>
        <w:rPr>
          <w:rFonts w:ascii="方正黑体_GBK" w:hAnsi="Times New Roman" w:eastAsia="方正黑体_GBK"/>
          <w:b w:val="0"/>
          <w:bCs/>
          <w:sz w:val="32"/>
          <w:szCs w:val="32"/>
        </w:rPr>
      </w:pPr>
      <w:bookmarkStart w:id="17" w:name="_Toc113279525"/>
      <w:r>
        <w:rPr>
          <w:rFonts w:ascii="方正黑体_GBK" w:hAnsi="Times New Roman" w:eastAsia="方正黑体_GBK"/>
          <w:b w:val="0"/>
          <w:bCs/>
          <w:sz w:val="32"/>
          <w:szCs w:val="32"/>
        </w:rPr>
        <w:t>4</w:t>
      </w:r>
      <w:r>
        <w:rPr>
          <w:rFonts w:hint="eastAsia" w:ascii="方正黑体_GBK" w:hAnsi="Times New Roman" w:eastAsia="方正黑体_GBK"/>
          <w:b w:val="0"/>
          <w:bCs/>
          <w:sz w:val="32"/>
          <w:szCs w:val="32"/>
        </w:rPr>
        <w:t xml:space="preserve">  结论与建议</w:t>
      </w:r>
      <w:bookmarkEnd w:id="17"/>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8" w:name="_Toc113279526"/>
      <w:r>
        <w:rPr>
          <w:rFonts w:ascii="方正楷体_GBK" w:hAnsi="方正楷体_GBK" w:eastAsia="方正楷体_GBK" w:cs="方正楷体_GBK"/>
          <w:b w:val="0"/>
          <w:bCs w:val="0"/>
        </w:rPr>
        <w:t>4</w:t>
      </w:r>
      <w:r>
        <w:rPr>
          <w:rFonts w:hint="eastAsia" w:ascii="方正楷体_GBK" w:hAnsi="方正楷体_GBK" w:eastAsia="方正楷体_GBK" w:cs="方正楷体_GBK"/>
          <w:b w:val="0"/>
          <w:bCs w:val="0"/>
        </w:rPr>
        <w:t>.1  风险评估结论</w:t>
      </w:r>
      <w:bookmarkEnd w:id="18"/>
    </w:p>
    <w:p>
      <w:pPr>
        <w:pStyle w:val="46"/>
        <w:ind w:firstLine="632" w:firstLineChars="200"/>
        <w:jc w:val="both"/>
        <w:rPr>
          <w:rFonts w:ascii="方正仿宋_GBK"/>
          <w:sz w:val="32"/>
          <w:szCs w:val="32"/>
        </w:rPr>
      </w:pPr>
      <w:r>
        <w:rPr>
          <w:rFonts w:hint="eastAsia" w:ascii="方正仿宋_GBK"/>
          <w:sz w:val="32"/>
          <w:szCs w:val="32"/>
        </w:rPr>
        <w:t>通过对辖区内长输管道存在的危险有害因素辨识和可能导致事故后果的风险分析评估，得出结论如下：</w:t>
      </w:r>
    </w:p>
    <w:p>
      <w:pPr>
        <w:pStyle w:val="46"/>
        <w:ind w:firstLine="632" w:firstLineChars="200"/>
        <w:jc w:val="both"/>
        <w:rPr>
          <w:rFonts w:ascii="方正仿宋_GBK"/>
          <w:sz w:val="32"/>
          <w:szCs w:val="32"/>
        </w:rPr>
      </w:pPr>
      <w:r>
        <w:rPr>
          <w:rFonts w:hint="eastAsia" w:ascii="方正仿宋_GBK"/>
          <w:sz w:val="32"/>
          <w:szCs w:val="32"/>
        </w:rPr>
        <w:t>（1）涉及的主要危险物质有：航空煤油、天然气。危险物质具有的固有危险、有害因素为：火灾、爆炸、环境污染等。</w:t>
      </w:r>
    </w:p>
    <w:p>
      <w:pPr>
        <w:pStyle w:val="46"/>
        <w:ind w:firstLine="632" w:firstLineChars="200"/>
        <w:jc w:val="both"/>
        <w:rPr>
          <w:rFonts w:ascii="方正仿宋_GBK"/>
          <w:sz w:val="32"/>
          <w:szCs w:val="32"/>
        </w:rPr>
      </w:pPr>
      <w:r>
        <w:rPr>
          <w:rFonts w:hint="eastAsia" w:ascii="方正仿宋_GBK"/>
          <w:sz w:val="32"/>
          <w:szCs w:val="32"/>
        </w:rPr>
        <w:t>（2）涉及的重点监管的危险化学品有：天然气。</w:t>
      </w:r>
    </w:p>
    <w:p>
      <w:pPr>
        <w:pStyle w:val="46"/>
        <w:ind w:firstLine="632" w:firstLineChars="200"/>
        <w:jc w:val="both"/>
        <w:rPr>
          <w:rFonts w:ascii="方正仿宋_GBK"/>
          <w:sz w:val="32"/>
          <w:szCs w:val="32"/>
        </w:rPr>
      </w:pPr>
      <w:r>
        <w:rPr>
          <w:rFonts w:hint="eastAsia" w:ascii="方正仿宋_GBK"/>
          <w:sz w:val="32"/>
          <w:szCs w:val="32"/>
        </w:rPr>
        <w:t>（3）长输管道在运行和检修过程中主要危险、有害因素造成的事故类型包括：泄漏、火灾、爆炸、环境污染等。</w:t>
      </w:r>
    </w:p>
    <w:p>
      <w:pPr>
        <w:pStyle w:val="46"/>
        <w:ind w:firstLine="632" w:firstLineChars="200"/>
        <w:jc w:val="both"/>
        <w:rPr>
          <w:rFonts w:ascii="方正仿宋_GBK"/>
          <w:sz w:val="32"/>
          <w:szCs w:val="32"/>
        </w:rPr>
      </w:pPr>
      <w:r>
        <w:rPr>
          <w:rFonts w:hint="eastAsia" w:ascii="方正仿宋_GBK"/>
          <w:sz w:val="32"/>
          <w:szCs w:val="32"/>
        </w:rPr>
        <w:t>（4）通过作业条件危险性评价可知，主要事故类型为火灾、爆炸，均为显著危险级别。</w:t>
      </w:r>
    </w:p>
    <w:p>
      <w:pPr>
        <w:pStyle w:val="46"/>
        <w:ind w:firstLine="632" w:firstLineChars="200"/>
        <w:rPr>
          <w:rFonts w:ascii="方正仿宋_GBK"/>
          <w:sz w:val="32"/>
          <w:szCs w:val="32"/>
        </w:rPr>
      </w:pPr>
      <w:r>
        <w:rPr>
          <w:rFonts w:hint="eastAsia" w:ascii="方正仿宋_GBK"/>
          <w:sz w:val="32"/>
          <w:szCs w:val="32"/>
        </w:rPr>
        <w:t>（5）按照《油气输送管道完整性管理规范》（GB 32167-2015）计算分析得到：重燃D</w:t>
      </w:r>
      <w:r>
        <w:rPr>
          <w:rFonts w:ascii="方正仿宋_GBK"/>
          <w:sz w:val="32"/>
          <w:szCs w:val="32"/>
        </w:rPr>
        <w:t>711</w:t>
      </w:r>
      <w:r>
        <w:rPr>
          <w:rFonts w:hint="eastAsia" w:ascii="方正仿宋_GBK"/>
          <w:sz w:val="32"/>
          <w:szCs w:val="32"/>
        </w:rPr>
        <w:t>外环管线潜在影响半径为149.32m，重燃D</w:t>
      </w:r>
      <w:r>
        <w:rPr>
          <w:rFonts w:ascii="方正仿宋_GBK"/>
          <w:sz w:val="32"/>
          <w:szCs w:val="32"/>
        </w:rPr>
        <w:t>508</w:t>
      </w:r>
      <w:r>
        <w:rPr>
          <w:rFonts w:hint="eastAsia" w:ascii="方正仿宋_GBK"/>
          <w:sz w:val="32"/>
          <w:szCs w:val="32"/>
        </w:rPr>
        <w:t>晏鱼线潜在影响半径为106.69m，重庆气矿D</w:t>
      </w:r>
      <w:r>
        <w:rPr>
          <w:rFonts w:ascii="方正仿宋_GBK"/>
          <w:sz w:val="32"/>
          <w:szCs w:val="32"/>
        </w:rPr>
        <w:t>426</w:t>
      </w:r>
      <w:r>
        <w:rPr>
          <w:rFonts w:hint="eastAsia" w:ascii="方正仿宋_GBK"/>
          <w:sz w:val="32"/>
          <w:szCs w:val="32"/>
        </w:rPr>
        <w:t>卧渝线C段潜在影响半径为66.68m。</w:t>
      </w:r>
    </w:p>
    <w:p>
      <w:pPr>
        <w:pStyle w:val="46"/>
        <w:ind w:firstLine="632" w:firstLineChars="200"/>
        <w:jc w:val="both"/>
        <w:rPr>
          <w:rFonts w:ascii="方正仿宋_GBK"/>
          <w:sz w:val="32"/>
          <w:szCs w:val="32"/>
        </w:rPr>
      </w:pPr>
      <w:r>
        <w:rPr>
          <w:rFonts w:hint="eastAsia" w:ascii="方正仿宋_GBK"/>
          <w:sz w:val="32"/>
          <w:szCs w:val="32"/>
        </w:rPr>
        <w:t>（6）选取中国航油重庆分公司油库库外和机坪围界外沿线输油管道高后果区个人风险和社会风险值分析，管道发生泄漏、池火灾的事故情景时，管道泄漏事故后果死亡半径46m，重伤半径52m，轻伤半径67m。</w:t>
      </w:r>
    </w:p>
    <w:p>
      <w:pPr>
        <w:pStyle w:val="46"/>
        <w:ind w:firstLine="632" w:firstLineChars="200"/>
        <w:jc w:val="both"/>
        <w:rPr>
          <w:rFonts w:ascii="方正仿宋_GBK"/>
          <w:sz w:val="32"/>
          <w:szCs w:val="32"/>
        </w:rPr>
      </w:pPr>
      <w:r>
        <w:rPr>
          <w:rFonts w:hint="eastAsia" w:ascii="方正仿宋_GBK"/>
          <w:sz w:val="32"/>
          <w:szCs w:val="32"/>
        </w:rPr>
        <w:t>（7）选取中国航油重庆机场输油管线唐家沱油库至港城园C区高后果区、海尔路至沪渝高速高后果区的个人风险分析，不存在大于等于3×10</w:t>
      </w:r>
      <w:r>
        <w:rPr>
          <w:rFonts w:hint="eastAsia" w:ascii="方正仿宋_GBK"/>
          <w:sz w:val="32"/>
          <w:szCs w:val="32"/>
          <w:vertAlign w:val="superscript"/>
        </w:rPr>
        <w:t>-6</w:t>
      </w:r>
      <w:r>
        <w:rPr>
          <w:rFonts w:hint="eastAsia" w:ascii="方正仿宋_GBK"/>
          <w:sz w:val="32"/>
          <w:szCs w:val="32"/>
        </w:rPr>
        <w:t>次/年的个人风险；管道周边社会风险位于容许区范围内。</w:t>
      </w:r>
    </w:p>
    <w:p>
      <w:pPr>
        <w:pStyle w:val="46"/>
        <w:ind w:firstLine="632" w:firstLineChars="200"/>
        <w:jc w:val="both"/>
        <w:rPr>
          <w:rFonts w:ascii="方正仿宋_GBK"/>
          <w:sz w:val="32"/>
          <w:szCs w:val="32"/>
        </w:rPr>
      </w:pPr>
      <w:r>
        <w:rPr>
          <w:rFonts w:hint="eastAsia" w:ascii="方正仿宋_GBK"/>
          <w:sz w:val="32"/>
          <w:szCs w:val="32"/>
        </w:rPr>
        <w:t>（8）选取外环管线天然气长输管道高后果区进行事故后果定量分析模拟，破裂长度20%A时喷射火长度为195.8m，37.5kW/m</w:t>
      </w:r>
      <w:r>
        <w:rPr>
          <w:rFonts w:hint="eastAsia" w:ascii="方正仿宋_GBK"/>
          <w:sz w:val="32"/>
          <w:szCs w:val="32"/>
          <w:vertAlign w:val="superscript"/>
        </w:rPr>
        <w:t>2</w:t>
      </w:r>
      <w:r>
        <w:rPr>
          <w:rFonts w:hint="eastAsia" w:ascii="方正仿宋_GBK"/>
          <w:sz w:val="32"/>
          <w:szCs w:val="32"/>
        </w:rPr>
        <w:t>影响距离8.6m，12.5kW/m</w:t>
      </w:r>
      <w:r>
        <w:rPr>
          <w:rFonts w:hint="eastAsia" w:ascii="方正仿宋_GBK"/>
          <w:sz w:val="32"/>
          <w:szCs w:val="32"/>
          <w:vertAlign w:val="superscript"/>
        </w:rPr>
        <w:t>2</w:t>
      </w:r>
      <w:r>
        <w:rPr>
          <w:rFonts w:hint="eastAsia" w:ascii="方正仿宋_GBK"/>
          <w:sz w:val="32"/>
          <w:szCs w:val="32"/>
        </w:rPr>
        <w:t>影响距离为103.3m，4.0kW/m</w:t>
      </w:r>
      <w:r>
        <w:rPr>
          <w:rFonts w:hint="eastAsia" w:ascii="方正仿宋_GBK"/>
          <w:sz w:val="32"/>
          <w:szCs w:val="32"/>
          <w:vertAlign w:val="superscript"/>
        </w:rPr>
        <w:t>2</w:t>
      </w:r>
      <w:r>
        <w:rPr>
          <w:rFonts w:hint="eastAsia" w:ascii="方正仿宋_GBK"/>
          <w:sz w:val="32"/>
          <w:szCs w:val="32"/>
        </w:rPr>
        <w:t>影响距离为270m；破裂长度100%A时喷射火长度为243.9m，37.5kW/m</w:t>
      </w:r>
      <w:r>
        <w:rPr>
          <w:rFonts w:hint="eastAsia" w:ascii="方正仿宋_GBK"/>
          <w:sz w:val="32"/>
          <w:szCs w:val="32"/>
          <w:vertAlign w:val="superscript"/>
        </w:rPr>
        <w:t>2</w:t>
      </w:r>
      <w:r>
        <w:rPr>
          <w:rFonts w:hint="eastAsia" w:ascii="方正仿宋_GBK"/>
          <w:sz w:val="32"/>
          <w:szCs w:val="32"/>
        </w:rPr>
        <w:t>影响距离14.5m，12.5kW/m</w:t>
      </w:r>
      <w:r>
        <w:rPr>
          <w:rFonts w:hint="eastAsia" w:ascii="方正仿宋_GBK"/>
          <w:sz w:val="32"/>
          <w:szCs w:val="32"/>
          <w:vertAlign w:val="superscript"/>
        </w:rPr>
        <w:t>2</w:t>
      </w:r>
      <w:r>
        <w:rPr>
          <w:rFonts w:hint="eastAsia" w:ascii="方正仿宋_GBK"/>
          <w:sz w:val="32"/>
          <w:szCs w:val="32"/>
        </w:rPr>
        <w:t>影响距离为137.9m，4.0kW/m</w:t>
      </w:r>
      <w:r>
        <w:rPr>
          <w:rFonts w:hint="eastAsia" w:ascii="方正仿宋_GBK"/>
          <w:sz w:val="32"/>
          <w:szCs w:val="32"/>
          <w:vertAlign w:val="superscript"/>
        </w:rPr>
        <w:t>2</w:t>
      </w:r>
      <w:r>
        <w:rPr>
          <w:rFonts w:hint="eastAsia" w:ascii="方正仿宋_GBK"/>
          <w:sz w:val="32"/>
          <w:szCs w:val="32"/>
        </w:rPr>
        <w:t>影响距离为346.4m。选择管道发生20%A小孔泄漏发生云团爆炸事故，云团爆炸死亡影响范围为72.2m，重伤影响范围为92.7m，轻伤影响范围为117.6m。</w:t>
      </w:r>
    </w:p>
    <w:p>
      <w:pPr>
        <w:pStyle w:val="46"/>
        <w:ind w:firstLine="632" w:firstLineChars="200"/>
        <w:jc w:val="both"/>
        <w:rPr>
          <w:rFonts w:ascii="方正仿宋_GBK"/>
          <w:sz w:val="32"/>
          <w:szCs w:val="32"/>
        </w:rPr>
      </w:pPr>
      <w:r>
        <w:rPr>
          <w:rFonts w:hint="eastAsia" w:ascii="方正仿宋_GBK"/>
          <w:sz w:val="32"/>
          <w:szCs w:val="32"/>
        </w:rPr>
        <w:t>（9）选取晏鱼线天然气长输管道高后果区进行事故后果定量分析模拟，破裂长度20%A时喷射火长度为111.8m，12.5k</w:t>
      </w:r>
      <w:r>
        <w:rPr>
          <w:rFonts w:ascii="方正仿宋_GBK"/>
          <w:sz w:val="32"/>
          <w:szCs w:val="32"/>
        </w:rPr>
        <w:t>W</w:t>
      </w:r>
      <w:r>
        <w:rPr>
          <w:rFonts w:hint="eastAsia" w:ascii="方正仿宋_GBK"/>
          <w:sz w:val="32"/>
          <w:szCs w:val="32"/>
        </w:rPr>
        <w:t>/m</w:t>
      </w:r>
      <w:r>
        <w:rPr>
          <w:rFonts w:hint="eastAsia" w:ascii="方正仿宋_GBK"/>
          <w:sz w:val="32"/>
          <w:szCs w:val="32"/>
          <w:vertAlign w:val="superscript"/>
        </w:rPr>
        <w:t>2</w:t>
      </w:r>
      <w:r>
        <w:rPr>
          <w:rFonts w:hint="eastAsia" w:ascii="方正仿宋_GBK"/>
          <w:sz w:val="32"/>
          <w:szCs w:val="32"/>
        </w:rPr>
        <w:t>影响距离为36.3m，4.0k</w:t>
      </w:r>
      <w:r>
        <w:rPr>
          <w:rFonts w:ascii="方正仿宋_GBK"/>
          <w:sz w:val="32"/>
          <w:szCs w:val="32"/>
        </w:rPr>
        <w:t>W</w:t>
      </w:r>
      <w:r>
        <w:rPr>
          <w:rFonts w:hint="eastAsia" w:ascii="方正仿宋_GBK"/>
          <w:sz w:val="32"/>
          <w:szCs w:val="32"/>
        </w:rPr>
        <w:t>/m</w:t>
      </w:r>
      <w:r>
        <w:rPr>
          <w:rFonts w:hint="eastAsia" w:ascii="方正仿宋_GBK"/>
          <w:sz w:val="32"/>
          <w:szCs w:val="32"/>
          <w:vertAlign w:val="superscript"/>
        </w:rPr>
        <w:t>2</w:t>
      </w:r>
      <w:r>
        <w:rPr>
          <w:rFonts w:hint="eastAsia" w:ascii="方正仿宋_GBK"/>
          <w:sz w:val="32"/>
          <w:szCs w:val="32"/>
        </w:rPr>
        <w:t>影响距离为132m；破裂长度100%A时喷射火长度为120.8m，12.5k</w:t>
      </w:r>
      <w:r>
        <w:rPr>
          <w:rFonts w:ascii="方正仿宋_GBK"/>
          <w:sz w:val="32"/>
          <w:szCs w:val="32"/>
        </w:rPr>
        <w:t>W</w:t>
      </w:r>
      <w:r>
        <w:rPr>
          <w:rFonts w:hint="eastAsia" w:ascii="方正仿宋_GBK"/>
          <w:sz w:val="32"/>
          <w:szCs w:val="32"/>
        </w:rPr>
        <w:t>/m</w:t>
      </w:r>
      <w:r>
        <w:rPr>
          <w:rFonts w:hint="eastAsia" w:ascii="方正仿宋_GBK"/>
          <w:sz w:val="32"/>
          <w:szCs w:val="32"/>
          <w:vertAlign w:val="superscript"/>
        </w:rPr>
        <w:t>2</w:t>
      </w:r>
      <w:r>
        <w:rPr>
          <w:rFonts w:hint="eastAsia" w:ascii="方正仿宋_GBK"/>
          <w:sz w:val="32"/>
          <w:szCs w:val="32"/>
        </w:rPr>
        <w:t>影响距离为45m，4.0k</w:t>
      </w:r>
      <w:r>
        <w:rPr>
          <w:rFonts w:ascii="方正仿宋_GBK"/>
          <w:sz w:val="32"/>
          <w:szCs w:val="32"/>
        </w:rPr>
        <w:t>W</w:t>
      </w:r>
      <w:r>
        <w:rPr>
          <w:rFonts w:hint="eastAsia" w:ascii="方正仿宋_GBK"/>
          <w:sz w:val="32"/>
          <w:szCs w:val="32"/>
        </w:rPr>
        <w:t>/m</w:t>
      </w:r>
      <w:r>
        <w:rPr>
          <w:rFonts w:hint="eastAsia" w:ascii="方正仿宋_GBK"/>
          <w:sz w:val="32"/>
          <w:szCs w:val="32"/>
          <w:vertAlign w:val="superscript"/>
        </w:rPr>
        <w:t>2</w:t>
      </w:r>
      <w:r>
        <w:rPr>
          <w:rFonts w:hint="eastAsia" w:ascii="方正仿宋_GBK"/>
          <w:sz w:val="32"/>
          <w:szCs w:val="32"/>
        </w:rPr>
        <w:t>影响距离为148m；选择管道发生20%A小孔泄漏发生云团爆炸事故，死亡半径为38.4m，重伤半径为44.5m，轻伤半径为146.2m。</w:t>
      </w:r>
    </w:p>
    <w:p>
      <w:pPr>
        <w:pStyle w:val="4"/>
        <w:adjustRightInd w:val="0"/>
        <w:snapToGrid w:val="0"/>
        <w:spacing w:before="100" w:beforeAutospacing="1" w:after="100" w:afterAutospacing="1" w:line="240" w:lineRule="auto"/>
        <w:ind w:firstLine="632" w:firstLineChars="200"/>
        <w:rPr>
          <w:rFonts w:ascii="方正楷体_GBK" w:hAnsi="方正楷体_GBK" w:eastAsia="方正楷体_GBK" w:cs="方正楷体_GBK"/>
          <w:b w:val="0"/>
          <w:bCs w:val="0"/>
        </w:rPr>
      </w:pPr>
      <w:bookmarkStart w:id="19" w:name="_Toc113279527"/>
      <w:r>
        <w:rPr>
          <w:rFonts w:hint="eastAsia" w:ascii="方正楷体_GBK" w:hAnsi="方正楷体_GBK" w:eastAsia="方正楷体_GBK" w:cs="方正楷体_GBK"/>
          <w:b w:val="0"/>
          <w:bCs w:val="0"/>
        </w:rPr>
        <w:t xml:space="preserve">4.2 </w:t>
      </w:r>
      <w:r>
        <w:rPr>
          <w:rFonts w:ascii="方正楷体_GBK" w:hAnsi="方正楷体_GBK" w:eastAsia="方正楷体_GBK" w:cs="方正楷体_GBK"/>
          <w:b w:val="0"/>
          <w:bCs w:val="0"/>
        </w:rPr>
        <w:t xml:space="preserve"> </w:t>
      </w:r>
      <w:r>
        <w:rPr>
          <w:rFonts w:hint="eastAsia" w:ascii="方正楷体_GBK" w:hAnsi="方正楷体_GBK" w:eastAsia="方正楷体_GBK" w:cs="方正楷体_GBK"/>
          <w:b w:val="0"/>
          <w:bCs w:val="0"/>
        </w:rPr>
        <w:t>计划建议</w:t>
      </w:r>
      <w:bookmarkEnd w:id="19"/>
    </w:p>
    <w:p>
      <w:pPr>
        <w:pStyle w:val="46"/>
        <w:ind w:firstLine="632" w:firstLineChars="200"/>
        <w:jc w:val="both"/>
        <w:rPr>
          <w:rFonts w:ascii="方正仿宋_GBK"/>
          <w:sz w:val="32"/>
          <w:szCs w:val="32"/>
        </w:rPr>
      </w:pPr>
      <w:r>
        <w:rPr>
          <w:rFonts w:hint="eastAsia" w:ascii="方正仿宋_GBK"/>
          <w:sz w:val="32"/>
          <w:szCs w:val="32"/>
        </w:rPr>
        <w:t>针对以上风险评估结论，为降低石油天然气长输管道突发事件安全风险和尽量减少事故造成的损失，结合江北区及相关管道运营企业的应急处置能力，现对江北区石油天然气突发事件应急预案体系建设提出以下计划建议：</w:t>
      </w:r>
    </w:p>
    <w:p>
      <w:pPr>
        <w:pStyle w:val="46"/>
        <w:ind w:firstLine="632" w:firstLineChars="200"/>
        <w:jc w:val="both"/>
        <w:rPr>
          <w:rFonts w:ascii="方正仿宋_GBK"/>
          <w:sz w:val="32"/>
          <w:szCs w:val="32"/>
        </w:rPr>
      </w:pPr>
      <w:r>
        <w:rPr>
          <w:rFonts w:hint="eastAsia" w:ascii="方正仿宋_GBK"/>
          <w:sz w:val="32"/>
          <w:szCs w:val="32"/>
        </w:rPr>
        <w:t>（1）建议按照《重庆市突发事件应急预案管理实施办法》（渝府办发〔2022〕37号）、《油气长输管道安全风险专项治理工作方案》（安委办〔2022〕3号）等有关文件要求，参照《生产经营单位生产安全事故应急预案编制导则》编制《重庆市江北区石油天然气长输管道突发事件应急预案》，并针对七个高后果区建立区级政府层面的《高后果区突发事件应急预案》。</w:t>
      </w:r>
    </w:p>
    <w:p>
      <w:pPr>
        <w:pStyle w:val="46"/>
        <w:ind w:firstLine="632" w:firstLineChars="200"/>
        <w:jc w:val="both"/>
        <w:rPr>
          <w:rFonts w:ascii="方正仿宋_GBK"/>
          <w:sz w:val="32"/>
          <w:szCs w:val="32"/>
        </w:rPr>
      </w:pPr>
      <w:r>
        <w:rPr>
          <w:rFonts w:hint="eastAsia" w:ascii="方正仿宋_GBK"/>
          <w:sz w:val="32"/>
          <w:szCs w:val="32"/>
        </w:rPr>
        <w:t>（</w:t>
      </w:r>
      <w:r>
        <w:rPr>
          <w:rFonts w:ascii="方正仿宋_GBK"/>
          <w:sz w:val="32"/>
          <w:szCs w:val="32"/>
        </w:rPr>
        <w:t>2</w:t>
      </w:r>
      <w:r>
        <w:rPr>
          <w:rFonts w:hint="eastAsia" w:ascii="方正仿宋_GBK"/>
          <w:sz w:val="32"/>
          <w:szCs w:val="32"/>
        </w:rPr>
        <w:t>）《重庆市江北区石油天然气长输管道突发事件应急预案》（含区级政府层面的《高后果区突发事件应急预案》）上与《重庆市石油天然气长输管道事故应急预案》相衔接，下与相关油气长输管道运营企业的《生产安全事故应急预案》及对应的企业层面《高后果区事故应急预案》相衔接。</w:t>
      </w:r>
    </w:p>
    <w:p>
      <w:pPr>
        <w:pStyle w:val="46"/>
        <w:ind w:firstLine="632" w:firstLineChars="200"/>
        <w:jc w:val="both"/>
        <w:rPr>
          <w:rFonts w:ascii="方正仿宋_GBK"/>
          <w:sz w:val="32"/>
          <w:szCs w:val="32"/>
        </w:rPr>
      </w:pPr>
      <w:r>
        <w:rPr>
          <w:rFonts w:hint="eastAsia" w:ascii="方正仿宋_GBK"/>
          <w:sz w:val="32"/>
          <w:szCs w:val="32"/>
        </w:rPr>
        <w:t>（3）《重庆市江北区石油天然气长输管道突发事件应急预案》（含区级政府层面的《高后果区突发事件应急预案》）为区级应急预案，不能代替企业级应急预案，各相关油气长输管道运营企业需按照法律法规、标准规范要求结合自身实际制定相应的生产安全事故或突发事件应急预案，并与本预案体系相衔接。</w:t>
      </w:r>
    </w:p>
    <w:sectPr>
      <w:footerReference r:id="rId6" w:type="default"/>
      <w:footerReference r:id="rId7" w:type="even"/>
      <w:pgSz w:w="11906" w:h="16838"/>
      <w:pgMar w:top="2098" w:right="1474" w:bottom="1984" w:left="1587" w:header="851" w:footer="1474" w:gutter="0"/>
      <w:pgNumType w:start="1"/>
      <w:cols w:space="0" w:num="1"/>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10006FF" w:usb1="4000205B" w:usb2="00000010" w:usb3="00000000" w:csb0="2000019F" w:csb1="00000000"/>
  </w:font>
  <w:font w:name="BatangChe">
    <w:panose1 w:val="02030609000101010101"/>
    <w:charset w:val="81"/>
    <w:family w:val="modern"/>
    <w:pitch w:val="default"/>
    <w:sig w:usb0="B00002AF" w:usb1="69D77CFB" w:usb2="00000030" w:usb3="00000000" w:csb0="4008009F" w:csb1="DFD70000"/>
  </w:font>
  <w:font w:name="楷体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snapToGrid w:val="0"/>
      <w:jc w:val="right"/>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3</w:t>
    </w:r>
    <w:r>
      <w:rPr>
        <w:sz w:val="28"/>
        <w:szCs w:val="28"/>
      </w:rPr>
      <w:fldChar w:fldCharType="end"/>
    </w:r>
    <w:r>
      <w:rPr>
        <w:sz w:val="28"/>
        <w:szCs w:val="28"/>
      </w:rPr>
      <w:t xml:space="preserve"> —</w:t>
    </w:r>
    <w:r>
      <w:rPr>
        <w:rFonts w:hint="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rPr>
        <w:rFonts w:ascii="宋体" w:hAnsi="宋体"/>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wordWrap w:val="0"/>
      <w:ind w:right="320" w:rightChars="100"/>
      <w:jc w:val="right"/>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left="320" w:leftChars="100"/>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evenAndOddHeaders w:val="1"/>
  <w:drawingGridHorizontalSpacing w:val="158"/>
  <w:drawingGridVerticalSpacing w:val="290"/>
  <w:displayHorizontalDrawingGridEvery w:val="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zYmRiMDRjNWUzMDFiMzZjYTFjZjBiZjlhMTRiMTkifQ=="/>
  </w:docVars>
  <w:rsids>
    <w:rsidRoot w:val="16E07C5D"/>
    <w:rsid w:val="000121CC"/>
    <w:rsid w:val="00012F03"/>
    <w:rsid w:val="000144C9"/>
    <w:rsid w:val="000306F5"/>
    <w:rsid w:val="00040FFB"/>
    <w:rsid w:val="00082675"/>
    <w:rsid w:val="00096FF6"/>
    <w:rsid w:val="000970CE"/>
    <w:rsid w:val="000A0452"/>
    <w:rsid w:val="000A1C26"/>
    <w:rsid w:val="000A787B"/>
    <w:rsid w:val="000C317F"/>
    <w:rsid w:val="000E0D8B"/>
    <w:rsid w:val="000E5235"/>
    <w:rsid w:val="000F0068"/>
    <w:rsid w:val="00106B62"/>
    <w:rsid w:val="00110981"/>
    <w:rsid w:val="00110A75"/>
    <w:rsid w:val="001225F6"/>
    <w:rsid w:val="001312E4"/>
    <w:rsid w:val="00144799"/>
    <w:rsid w:val="00152EAF"/>
    <w:rsid w:val="00166C42"/>
    <w:rsid w:val="00176B86"/>
    <w:rsid w:val="0019246C"/>
    <w:rsid w:val="00194EBD"/>
    <w:rsid w:val="001A7054"/>
    <w:rsid w:val="001C14AB"/>
    <w:rsid w:val="001C5EE2"/>
    <w:rsid w:val="001D7CAE"/>
    <w:rsid w:val="001E20ED"/>
    <w:rsid w:val="00202FDE"/>
    <w:rsid w:val="00213670"/>
    <w:rsid w:val="00213CB2"/>
    <w:rsid w:val="00221ACD"/>
    <w:rsid w:val="00224CA5"/>
    <w:rsid w:val="00227E12"/>
    <w:rsid w:val="00235A9F"/>
    <w:rsid w:val="00240208"/>
    <w:rsid w:val="00242A62"/>
    <w:rsid w:val="00243A27"/>
    <w:rsid w:val="00250F1C"/>
    <w:rsid w:val="00252025"/>
    <w:rsid w:val="00272019"/>
    <w:rsid w:val="00285B87"/>
    <w:rsid w:val="002D3F50"/>
    <w:rsid w:val="002D752F"/>
    <w:rsid w:val="002E1165"/>
    <w:rsid w:val="002E2FAB"/>
    <w:rsid w:val="00300883"/>
    <w:rsid w:val="00316C90"/>
    <w:rsid w:val="0032386A"/>
    <w:rsid w:val="003241C1"/>
    <w:rsid w:val="00336E71"/>
    <w:rsid w:val="003506CA"/>
    <w:rsid w:val="00366FA9"/>
    <w:rsid w:val="00382DE0"/>
    <w:rsid w:val="003A58F1"/>
    <w:rsid w:val="003A67CC"/>
    <w:rsid w:val="003B0BEE"/>
    <w:rsid w:val="003D1906"/>
    <w:rsid w:val="003F02FA"/>
    <w:rsid w:val="003F41B0"/>
    <w:rsid w:val="003F5C63"/>
    <w:rsid w:val="00405229"/>
    <w:rsid w:val="00416166"/>
    <w:rsid w:val="00431801"/>
    <w:rsid w:val="0043542C"/>
    <w:rsid w:val="00437555"/>
    <w:rsid w:val="00437656"/>
    <w:rsid w:val="00445C2D"/>
    <w:rsid w:val="00450781"/>
    <w:rsid w:val="0045255D"/>
    <w:rsid w:val="00461AB4"/>
    <w:rsid w:val="00472219"/>
    <w:rsid w:val="00473101"/>
    <w:rsid w:val="0049093C"/>
    <w:rsid w:val="00496817"/>
    <w:rsid w:val="004A255A"/>
    <w:rsid w:val="004A6F8E"/>
    <w:rsid w:val="004E208F"/>
    <w:rsid w:val="004F0513"/>
    <w:rsid w:val="004F7DA2"/>
    <w:rsid w:val="00507CC0"/>
    <w:rsid w:val="00512A87"/>
    <w:rsid w:val="005173A4"/>
    <w:rsid w:val="00535C64"/>
    <w:rsid w:val="00551314"/>
    <w:rsid w:val="0055177A"/>
    <w:rsid w:val="0055692D"/>
    <w:rsid w:val="00561F6D"/>
    <w:rsid w:val="00576283"/>
    <w:rsid w:val="00586E28"/>
    <w:rsid w:val="00593E34"/>
    <w:rsid w:val="00596CB7"/>
    <w:rsid w:val="005F21CC"/>
    <w:rsid w:val="005F5C76"/>
    <w:rsid w:val="00620DA5"/>
    <w:rsid w:val="00630E49"/>
    <w:rsid w:val="00642A40"/>
    <w:rsid w:val="00647545"/>
    <w:rsid w:val="006477E1"/>
    <w:rsid w:val="00655C8E"/>
    <w:rsid w:val="00661CD6"/>
    <w:rsid w:val="0066269A"/>
    <w:rsid w:val="0066427F"/>
    <w:rsid w:val="0068080C"/>
    <w:rsid w:val="00697742"/>
    <w:rsid w:val="006B2C63"/>
    <w:rsid w:val="006C720A"/>
    <w:rsid w:val="006D298C"/>
    <w:rsid w:val="006E1EA4"/>
    <w:rsid w:val="006E4437"/>
    <w:rsid w:val="00700ED8"/>
    <w:rsid w:val="0070495C"/>
    <w:rsid w:val="00705076"/>
    <w:rsid w:val="007059A0"/>
    <w:rsid w:val="00705F38"/>
    <w:rsid w:val="0071073D"/>
    <w:rsid w:val="007139EA"/>
    <w:rsid w:val="00714031"/>
    <w:rsid w:val="007349AD"/>
    <w:rsid w:val="007B03D2"/>
    <w:rsid w:val="007D5B76"/>
    <w:rsid w:val="008218C8"/>
    <w:rsid w:val="00831EB1"/>
    <w:rsid w:val="00833B37"/>
    <w:rsid w:val="00835F61"/>
    <w:rsid w:val="00841453"/>
    <w:rsid w:val="00842A6B"/>
    <w:rsid w:val="00842EAA"/>
    <w:rsid w:val="008501BE"/>
    <w:rsid w:val="008569C7"/>
    <w:rsid w:val="00871150"/>
    <w:rsid w:val="00871954"/>
    <w:rsid w:val="00873D85"/>
    <w:rsid w:val="00876937"/>
    <w:rsid w:val="0089009A"/>
    <w:rsid w:val="008B0D1A"/>
    <w:rsid w:val="008C028D"/>
    <w:rsid w:val="008C602F"/>
    <w:rsid w:val="008D444F"/>
    <w:rsid w:val="008F0F1E"/>
    <w:rsid w:val="008F12DF"/>
    <w:rsid w:val="00903BBC"/>
    <w:rsid w:val="00906F4E"/>
    <w:rsid w:val="00910D9F"/>
    <w:rsid w:val="009164AA"/>
    <w:rsid w:val="00916A21"/>
    <w:rsid w:val="00916DEA"/>
    <w:rsid w:val="0092731F"/>
    <w:rsid w:val="009413C8"/>
    <w:rsid w:val="00955A68"/>
    <w:rsid w:val="009857BF"/>
    <w:rsid w:val="009871A5"/>
    <w:rsid w:val="00992B3C"/>
    <w:rsid w:val="009B0A98"/>
    <w:rsid w:val="009B157B"/>
    <w:rsid w:val="009D654F"/>
    <w:rsid w:val="009F0604"/>
    <w:rsid w:val="009F6401"/>
    <w:rsid w:val="00A00703"/>
    <w:rsid w:val="00A07DA9"/>
    <w:rsid w:val="00A17706"/>
    <w:rsid w:val="00A27E35"/>
    <w:rsid w:val="00A34DCE"/>
    <w:rsid w:val="00A402CA"/>
    <w:rsid w:val="00A40371"/>
    <w:rsid w:val="00A42418"/>
    <w:rsid w:val="00A42FA1"/>
    <w:rsid w:val="00A51EDE"/>
    <w:rsid w:val="00A603B7"/>
    <w:rsid w:val="00A73F0D"/>
    <w:rsid w:val="00A80015"/>
    <w:rsid w:val="00A9664A"/>
    <w:rsid w:val="00AA0339"/>
    <w:rsid w:val="00AA2359"/>
    <w:rsid w:val="00AA756D"/>
    <w:rsid w:val="00AB1BAE"/>
    <w:rsid w:val="00AB4CBD"/>
    <w:rsid w:val="00AC07F3"/>
    <w:rsid w:val="00AC4E17"/>
    <w:rsid w:val="00AD0DBD"/>
    <w:rsid w:val="00AD297D"/>
    <w:rsid w:val="00AE37C9"/>
    <w:rsid w:val="00AF403A"/>
    <w:rsid w:val="00B13579"/>
    <w:rsid w:val="00B20FB0"/>
    <w:rsid w:val="00B34DCE"/>
    <w:rsid w:val="00B45B34"/>
    <w:rsid w:val="00B60BE3"/>
    <w:rsid w:val="00B61171"/>
    <w:rsid w:val="00B741F8"/>
    <w:rsid w:val="00B8524A"/>
    <w:rsid w:val="00B8755B"/>
    <w:rsid w:val="00B92E0E"/>
    <w:rsid w:val="00B96452"/>
    <w:rsid w:val="00BA6B44"/>
    <w:rsid w:val="00BA7099"/>
    <w:rsid w:val="00BB567F"/>
    <w:rsid w:val="00BC1652"/>
    <w:rsid w:val="00BC307F"/>
    <w:rsid w:val="00BD1D27"/>
    <w:rsid w:val="00BD4788"/>
    <w:rsid w:val="00BE3D93"/>
    <w:rsid w:val="00BF321B"/>
    <w:rsid w:val="00BF48BF"/>
    <w:rsid w:val="00C02FD5"/>
    <w:rsid w:val="00C034B5"/>
    <w:rsid w:val="00C04AD6"/>
    <w:rsid w:val="00C10550"/>
    <w:rsid w:val="00C21652"/>
    <w:rsid w:val="00C22810"/>
    <w:rsid w:val="00C27F1C"/>
    <w:rsid w:val="00C4240A"/>
    <w:rsid w:val="00C4328D"/>
    <w:rsid w:val="00C55F9B"/>
    <w:rsid w:val="00C633AD"/>
    <w:rsid w:val="00C733C6"/>
    <w:rsid w:val="00C75772"/>
    <w:rsid w:val="00C7644F"/>
    <w:rsid w:val="00C83B01"/>
    <w:rsid w:val="00C856D2"/>
    <w:rsid w:val="00C911AB"/>
    <w:rsid w:val="00CA768C"/>
    <w:rsid w:val="00CD1527"/>
    <w:rsid w:val="00CD6C03"/>
    <w:rsid w:val="00CF785F"/>
    <w:rsid w:val="00D0612A"/>
    <w:rsid w:val="00D21267"/>
    <w:rsid w:val="00D537FC"/>
    <w:rsid w:val="00D55730"/>
    <w:rsid w:val="00D6152A"/>
    <w:rsid w:val="00D63230"/>
    <w:rsid w:val="00D6553C"/>
    <w:rsid w:val="00D9676E"/>
    <w:rsid w:val="00DA2718"/>
    <w:rsid w:val="00DB1F1E"/>
    <w:rsid w:val="00DE3DF3"/>
    <w:rsid w:val="00DF17A7"/>
    <w:rsid w:val="00E06768"/>
    <w:rsid w:val="00E07D58"/>
    <w:rsid w:val="00E13099"/>
    <w:rsid w:val="00E1645A"/>
    <w:rsid w:val="00E168DC"/>
    <w:rsid w:val="00E20E0D"/>
    <w:rsid w:val="00E26CBB"/>
    <w:rsid w:val="00E3593C"/>
    <w:rsid w:val="00E37E1D"/>
    <w:rsid w:val="00E4491B"/>
    <w:rsid w:val="00E60BC5"/>
    <w:rsid w:val="00E96916"/>
    <w:rsid w:val="00EA5282"/>
    <w:rsid w:val="00EB0A08"/>
    <w:rsid w:val="00EB10F5"/>
    <w:rsid w:val="00EB4702"/>
    <w:rsid w:val="00EB68DD"/>
    <w:rsid w:val="00EC2FD5"/>
    <w:rsid w:val="00EC3D03"/>
    <w:rsid w:val="00ED5E3E"/>
    <w:rsid w:val="00ED5F19"/>
    <w:rsid w:val="00EF2BDE"/>
    <w:rsid w:val="00F03953"/>
    <w:rsid w:val="00F255AD"/>
    <w:rsid w:val="00F31FFA"/>
    <w:rsid w:val="00F3399D"/>
    <w:rsid w:val="00F33D02"/>
    <w:rsid w:val="00F45C2B"/>
    <w:rsid w:val="00F711B2"/>
    <w:rsid w:val="00F743F6"/>
    <w:rsid w:val="00F87311"/>
    <w:rsid w:val="00F87E66"/>
    <w:rsid w:val="00FA4086"/>
    <w:rsid w:val="00FA6CEF"/>
    <w:rsid w:val="00FB5C1D"/>
    <w:rsid w:val="00FB6950"/>
    <w:rsid w:val="00FC13F5"/>
    <w:rsid w:val="00FD0302"/>
    <w:rsid w:val="00FD7E86"/>
    <w:rsid w:val="00FF2271"/>
    <w:rsid w:val="00FF60EF"/>
    <w:rsid w:val="04FF0DA5"/>
    <w:rsid w:val="064A3612"/>
    <w:rsid w:val="0AB25137"/>
    <w:rsid w:val="0EDB3B2D"/>
    <w:rsid w:val="0FE676F9"/>
    <w:rsid w:val="13660543"/>
    <w:rsid w:val="16E07C5D"/>
    <w:rsid w:val="1C7313EC"/>
    <w:rsid w:val="1E7C1BC7"/>
    <w:rsid w:val="1EB56809"/>
    <w:rsid w:val="1F244E0E"/>
    <w:rsid w:val="20122A50"/>
    <w:rsid w:val="22515E95"/>
    <w:rsid w:val="25921C74"/>
    <w:rsid w:val="25F272F0"/>
    <w:rsid w:val="266D010F"/>
    <w:rsid w:val="27995DDC"/>
    <w:rsid w:val="2CFE70DB"/>
    <w:rsid w:val="2DD6335F"/>
    <w:rsid w:val="2F060871"/>
    <w:rsid w:val="2F1737A0"/>
    <w:rsid w:val="33E505F0"/>
    <w:rsid w:val="366306E2"/>
    <w:rsid w:val="38622C78"/>
    <w:rsid w:val="3A756611"/>
    <w:rsid w:val="3B16286D"/>
    <w:rsid w:val="3C7C391F"/>
    <w:rsid w:val="3D36597D"/>
    <w:rsid w:val="489C3086"/>
    <w:rsid w:val="497C7DEE"/>
    <w:rsid w:val="4A73043C"/>
    <w:rsid w:val="4B012057"/>
    <w:rsid w:val="4C30049A"/>
    <w:rsid w:val="4F2C56FD"/>
    <w:rsid w:val="4F510F20"/>
    <w:rsid w:val="4FFB7D57"/>
    <w:rsid w:val="52A813F9"/>
    <w:rsid w:val="53E5402A"/>
    <w:rsid w:val="54CF6119"/>
    <w:rsid w:val="5CBC6280"/>
    <w:rsid w:val="628565AB"/>
    <w:rsid w:val="629C37CB"/>
    <w:rsid w:val="62BB5CDC"/>
    <w:rsid w:val="63526137"/>
    <w:rsid w:val="6D4E4636"/>
    <w:rsid w:val="6EF506B5"/>
    <w:rsid w:val="6F291078"/>
    <w:rsid w:val="756630FD"/>
    <w:rsid w:val="7A1D0130"/>
    <w:rsid w:val="7A420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qFormat="1" w:uiPriority="0" w:semiHidden="0" w:name="index heading"/>
    <w:lsdException w:qFormat="1" w:uiPriority="0" w:name="caption"/>
    <w:lsdException w:uiPriority="0" w:name="table of figures"/>
    <w:lsdException w:uiPriority="0" w:name="envelope address"/>
    <w:lsdException w:qFormat="1" w:unhideWhenUsed="0" w:uiPriority="0" w:semiHidden="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qFormat="1" w:uiPriority="0" w:semiHidden="0" w:name="Body Text First Indent"/>
    <w:lsdException w:qFormat="1" w:uiPriority="0" w:semiHidden="0" w:name="Body Text First Indent 2"/>
    <w:lsdException w:qFormat="1" w:unhideWhenUsed="0"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方正仿宋_GBK" w:asciiTheme="minorHAnsi" w:hAnsiTheme="minorHAnsi" w:cstheme="minorBidi"/>
      <w:kern w:val="2"/>
      <w:sz w:val="32"/>
      <w:szCs w:val="24"/>
      <w:lang w:val="en-US" w:eastAsia="zh-CN" w:bidi="ar-SA"/>
    </w:rPr>
  </w:style>
  <w:style w:type="paragraph" w:styleId="3">
    <w:name w:val="heading 1"/>
    <w:basedOn w:val="1"/>
    <w:next w:val="1"/>
    <w:link w:val="60"/>
    <w:qFormat/>
    <w:uiPriority w:val="0"/>
    <w:pPr>
      <w:keepNext/>
      <w:keepLines/>
      <w:spacing w:line="576" w:lineRule="auto"/>
      <w:outlineLvl w:val="0"/>
    </w:pPr>
    <w:rPr>
      <w:rFonts w:ascii="Calibri" w:hAnsi="Calibri" w:eastAsia="宋体" w:cs="Times New Roman"/>
      <w:b/>
      <w:kern w:val="44"/>
      <w:sz w:val="44"/>
      <w:lang w:val="zh-CN"/>
    </w:rPr>
  </w:style>
  <w:style w:type="paragraph" w:styleId="4">
    <w:name w:val="heading 2"/>
    <w:basedOn w:val="1"/>
    <w:next w:val="1"/>
    <w:link w:val="61"/>
    <w:unhideWhenUsed/>
    <w:qFormat/>
    <w:uiPriority w:val="0"/>
    <w:pPr>
      <w:keepNext/>
      <w:keepLines/>
      <w:spacing w:before="260" w:after="260" w:line="416" w:lineRule="auto"/>
      <w:outlineLvl w:val="1"/>
    </w:pPr>
    <w:rPr>
      <w:rFonts w:asciiTheme="majorHAnsi" w:hAnsiTheme="majorHAnsi" w:eastAsiaTheme="majorEastAsia" w:cstheme="majorBidi"/>
      <w:b/>
      <w:bCs/>
      <w:szCs w:val="32"/>
    </w:rPr>
  </w:style>
  <w:style w:type="paragraph" w:styleId="5">
    <w:name w:val="heading 3"/>
    <w:basedOn w:val="1"/>
    <w:next w:val="1"/>
    <w:link w:val="74"/>
    <w:qFormat/>
    <w:uiPriority w:val="0"/>
    <w:pPr>
      <w:keepNext/>
      <w:keepLines/>
      <w:spacing w:before="260" w:after="260" w:line="416" w:lineRule="auto"/>
      <w:outlineLvl w:val="2"/>
    </w:pPr>
    <w:rPr>
      <w:rFonts w:ascii="Times New Roman" w:hAnsi="Times New Roman" w:eastAsia="宋体" w:cs="Times New Roman"/>
      <w:b/>
      <w:bCs/>
      <w:kern w:val="0"/>
      <w:szCs w:val="32"/>
    </w:rPr>
  </w:style>
  <w:style w:type="paragraph" w:styleId="6">
    <w:name w:val="heading 4"/>
    <w:basedOn w:val="1"/>
    <w:next w:val="1"/>
    <w:link w:val="75"/>
    <w:qFormat/>
    <w:uiPriority w:val="0"/>
    <w:pPr>
      <w:keepNext/>
      <w:keepLines/>
      <w:spacing w:before="280" w:after="290" w:line="374" w:lineRule="auto"/>
      <w:outlineLvl w:val="3"/>
    </w:pPr>
    <w:rPr>
      <w:rFonts w:ascii="Arial" w:hAnsi="Arial" w:eastAsia="黑体" w:cs="Times New Roman"/>
      <w:b/>
      <w:bCs/>
      <w:kern w:val="0"/>
      <w:sz w:val="28"/>
      <w:szCs w:val="28"/>
    </w:rPr>
  </w:style>
  <w:style w:type="paragraph" w:styleId="7">
    <w:name w:val="heading 5"/>
    <w:basedOn w:val="1"/>
    <w:next w:val="1"/>
    <w:link w:val="66"/>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67"/>
    <w:qFormat/>
    <w:uiPriority w:val="0"/>
    <w:pPr>
      <w:keepNext/>
      <w:keepLines/>
      <w:widowControl/>
      <w:tabs>
        <w:tab w:val="left" w:pos="0"/>
        <w:tab w:val="left" w:pos="1152"/>
      </w:tabs>
      <w:spacing w:before="240" w:after="240"/>
      <w:jc w:val="left"/>
      <w:outlineLvl w:val="5"/>
    </w:pPr>
    <w:rPr>
      <w:rFonts w:ascii="Arial" w:hAnsi="Arial" w:eastAsia="华文细黑" w:cs="Times New Roman"/>
      <w:bCs/>
      <w:kern w:val="0"/>
      <w:sz w:val="24"/>
      <w:szCs w:val="20"/>
    </w:rPr>
  </w:style>
  <w:style w:type="paragraph" w:styleId="9">
    <w:name w:val="heading 7"/>
    <w:basedOn w:val="1"/>
    <w:next w:val="1"/>
    <w:link w:val="68"/>
    <w:qFormat/>
    <w:uiPriority w:val="99"/>
    <w:pPr>
      <w:widowControl/>
      <w:tabs>
        <w:tab w:val="left" w:pos="0"/>
        <w:tab w:val="left" w:pos="1296"/>
      </w:tabs>
      <w:spacing w:before="240" w:after="60"/>
      <w:jc w:val="left"/>
      <w:outlineLvl w:val="6"/>
    </w:pPr>
    <w:rPr>
      <w:rFonts w:ascii="Times New Roman" w:hAnsi="Times New Roman" w:eastAsia="华文细黑" w:cs="Times New Roman"/>
      <w:kern w:val="0"/>
      <w:sz w:val="24"/>
    </w:rPr>
  </w:style>
  <w:style w:type="paragraph" w:styleId="10">
    <w:name w:val="heading 8"/>
    <w:basedOn w:val="1"/>
    <w:next w:val="1"/>
    <w:link w:val="69"/>
    <w:qFormat/>
    <w:uiPriority w:val="99"/>
    <w:pPr>
      <w:widowControl/>
      <w:tabs>
        <w:tab w:val="left" w:pos="0"/>
        <w:tab w:val="left" w:pos="1440"/>
      </w:tabs>
      <w:spacing w:before="240" w:after="60"/>
      <w:ind w:left="1440" w:hanging="1440"/>
      <w:jc w:val="left"/>
      <w:outlineLvl w:val="7"/>
    </w:pPr>
    <w:rPr>
      <w:rFonts w:ascii="Times New Roman" w:hAnsi="Times New Roman" w:eastAsia="华文细黑" w:cs="Times New Roman"/>
      <w:i/>
      <w:iCs/>
      <w:kern w:val="0"/>
      <w:sz w:val="24"/>
    </w:rPr>
  </w:style>
  <w:style w:type="paragraph" w:styleId="11">
    <w:name w:val="heading 9"/>
    <w:basedOn w:val="1"/>
    <w:next w:val="1"/>
    <w:link w:val="70"/>
    <w:qFormat/>
    <w:uiPriority w:val="99"/>
    <w:pPr>
      <w:widowControl/>
      <w:tabs>
        <w:tab w:val="left" w:pos="0"/>
        <w:tab w:val="left" w:pos="1584"/>
      </w:tabs>
      <w:spacing w:before="240" w:after="60"/>
      <w:ind w:left="1584" w:hanging="1584"/>
      <w:jc w:val="left"/>
      <w:outlineLvl w:val="8"/>
    </w:pPr>
    <w:rPr>
      <w:rFonts w:ascii="Arial" w:hAnsi="Arial" w:eastAsia="华文细黑" w:cs="Times New Roman"/>
      <w:kern w:val="0"/>
      <w:sz w:val="22"/>
      <w:szCs w:val="22"/>
    </w:rPr>
  </w:style>
  <w:style w:type="character" w:default="1" w:styleId="48">
    <w:name w:val="Default Paragraph Font"/>
    <w:semiHidden/>
    <w:unhideWhenUsed/>
    <w:uiPriority w:val="1"/>
  </w:style>
  <w:style w:type="table" w:default="1" w:styleId="55">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link w:val="178"/>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2">
    <w:name w:val="annotation subject"/>
    <w:basedOn w:val="13"/>
    <w:next w:val="13"/>
    <w:link w:val="102"/>
    <w:unhideWhenUsed/>
    <w:qFormat/>
    <w:uiPriority w:val="0"/>
    <w:rPr>
      <w:b/>
      <w:bCs/>
    </w:rPr>
  </w:style>
  <w:style w:type="paragraph" w:styleId="13">
    <w:name w:val="annotation text"/>
    <w:basedOn w:val="1"/>
    <w:link w:val="80"/>
    <w:unhideWhenUsed/>
    <w:qFormat/>
    <w:uiPriority w:val="0"/>
    <w:pPr>
      <w:jc w:val="left"/>
    </w:pPr>
    <w:rPr>
      <w:rFonts w:ascii="宋体" w:hAnsi="宋体" w:eastAsia="宋体" w:cs="Times New Roman"/>
      <w:kern w:val="0"/>
      <w:sz w:val="28"/>
    </w:rPr>
  </w:style>
  <w:style w:type="paragraph" w:styleId="14">
    <w:name w:val="toc 7"/>
    <w:basedOn w:val="1"/>
    <w:next w:val="1"/>
    <w:unhideWhenUsed/>
    <w:qFormat/>
    <w:uiPriority w:val="39"/>
    <w:pPr>
      <w:ind w:left="1260"/>
      <w:jc w:val="left"/>
    </w:pPr>
    <w:rPr>
      <w:rFonts w:ascii="Calibri" w:hAnsi="Calibri" w:eastAsia="宋体" w:cs="Times New Roman"/>
      <w:sz w:val="18"/>
      <w:szCs w:val="18"/>
    </w:rPr>
  </w:style>
  <w:style w:type="paragraph" w:styleId="15">
    <w:name w:val="Body Text First Indent"/>
    <w:basedOn w:val="16"/>
    <w:link w:val="104"/>
    <w:unhideWhenUsed/>
    <w:qFormat/>
    <w:uiPriority w:val="0"/>
    <w:pPr>
      <w:ind w:firstLine="420" w:firstLineChars="100"/>
    </w:pPr>
    <w:rPr>
      <w:rFonts w:ascii="Times New Roman" w:hAnsi="Times New Roman"/>
      <w:kern w:val="0"/>
      <w:sz w:val="20"/>
    </w:rPr>
  </w:style>
  <w:style w:type="paragraph" w:styleId="16">
    <w:name w:val="Body Text"/>
    <w:basedOn w:val="1"/>
    <w:next w:val="1"/>
    <w:link w:val="62"/>
    <w:unhideWhenUsed/>
    <w:qFormat/>
    <w:uiPriority w:val="0"/>
    <w:pPr>
      <w:spacing w:after="120"/>
    </w:pPr>
    <w:rPr>
      <w:rFonts w:ascii="宋体" w:hAnsi="宋体" w:eastAsia="宋体" w:cs="Times New Roman"/>
      <w:sz w:val="21"/>
    </w:rPr>
  </w:style>
  <w:style w:type="paragraph" w:styleId="17">
    <w:name w:val="Note Heading"/>
    <w:basedOn w:val="1"/>
    <w:next w:val="1"/>
    <w:link w:val="76"/>
    <w:qFormat/>
    <w:uiPriority w:val="0"/>
    <w:pPr>
      <w:jc w:val="center"/>
    </w:pPr>
    <w:rPr>
      <w:rFonts w:ascii="宋体" w:hAnsi="Times New Roman" w:eastAsia="宋体" w:cs="Times New Roman"/>
      <w:sz w:val="21"/>
      <w:szCs w:val="20"/>
    </w:rPr>
  </w:style>
  <w:style w:type="paragraph" w:styleId="18">
    <w:name w:val="Normal Indent"/>
    <w:basedOn w:val="1"/>
    <w:link w:val="71"/>
    <w:qFormat/>
    <w:uiPriority w:val="0"/>
    <w:pPr>
      <w:tabs>
        <w:tab w:val="left" w:pos="105"/>
      </w:tabs>
      <w:ind w:firstLine="560" w:firstLineChars="200"/>
    </w:pPr>
    <w:rPr>
      <w:rFonts w:ascii="Times New Roman" w:hAnsi="Times New Roman" w:eastAsia="宋体" w:cs="Times New Roman"/>
      <w:kern w:val="0"/>
      <w:sz w:val="24"/>
      <w:szCs w:val="20"/>
    </w:rPr>
  </w:style>
  <w:style w:type="paragraph" w:styleId="19">
    <w:name w:val="Document Map"/>
    <w:basedOn w:val="1"/>
    <w:link w:val="78"/>
    <w:unhideWhenUsed/>
    <w:qFormat/>
    <w:uiPriority w:val="0"/>
    <w:rPr>
      <w:rFonts w:ascii="宋体" w:hAnsi="Times New Roman" w:eastAsia="宋体" w:cs="Times New Roman"/>
      <w:kern w:val="0"/>
      <w:sz w:val="18"/>
      <w:szCs w:val="18"/>
    </w:rPr>
  </w:style>
  <w:style w:type="paragraph" w:styleId="20">
    <w:name w:val="Body Text 3"/>
    <w:basedOn w:val="1"/>
    <w:link w:val="81"/>
    <w:unhideWhenUsed/>
    <w:qFormat/>
    <w:uiPriority w:val="0"/>
    <w:pPr>
      <w:spacing w:after="120"/>
    </w:pPr>
    <w:rPr>
      <w:rFonts w:ascii="Times New Roman" w:hAnsi="Times New Roman" w:eastAsia="宋体" w:cs="Times New Roman"/>
      <w:b/>
      <w:bCs/>
      <w:kern w:val="0"/>
      <w:sz w:val="24"/>
      <w:szCs w:val="28"/>
    </w:rPr>
  </w:style>
  <w:style w:type="paragraph" w:styleId="21">
    <w:name w:val="Body Text Indent"/>
    <w:basedOn w:val="1"/>
    <w:link w:val="84"/>
    <w:qFormat/>
    <w:uiPriority w:val="0"/>
    <w:pPr>
      <w:spacing w:after="120"/>
      <w:ind w:left="420" w:leftChars="200"/>
    </w:pPr>
    <w:rPr>
      <w:rFonts w:ascii="Times New Roman" w:hAnsi="Times New Roman" w:eastAsia="宋体" w:cs="Times New Roman"/>
      <w:kern w:val="0"/>
      <w:sz w:val="20"/>
    </w:rPr>
  </w:style>
  <w:style w:type="paragraph" w:styleId="22">
    <w:name w:val="Block Text"/>
    <w:basedOn w:val="1"/>
    <w:qFormat/>
    <w:uiPriority w:val="99"/>
    <w:pPr>
      <w:spacing w:line="560" w:lineRule="exact"/>
      <w:ind w:left="1119" w:leftChars="533" w:right="105" w:rightChars="50" w:firstLine="560" w:firstLineChars="200"/>
    </w:pPr>
    <w:rPr>
      <w:rFonts w:ascii="宋体" w:hAnsi="Times New Roman" w:eastAsia="宋体" w:cs="Times New Roman"/>
      <w:sz w:val="28"/>
    </w:rPr>
  </w:style>
  <w:style w:type="paragraph" w:styleId="23">
    <w:name w:val="toc 5"/>
    <w:basedOn w:val="1"/>
    <w:next w:val="1"/>
    <w:unhideWhenUsed/>
    <w:qFormat/>
    <w:uiPriority w:val="39"/>
    <w:pPr>
      <w:ind w:left="840"/>
      <w:jc w:val="left"/>
    </w:pPr>
    <w:rPr>
      <w:rFonts w:ascii="Calibri" w:hAnsi="Calibri" w:eastAsia="宋体" w:cs="Times New Roman"/>
      <w:sz w:val="18"/>
      <w:szCs w:val="18"/>
    </w:rPr>
  </w:style>
  <w:style w:type="paragraph" w:styleId="24">
    <w:name w:val="toc 3"/>
    <w:basedOn w:val="1"/>
    <w:next w:val="1"/>
    <w:unhideWhenUsed/>
    <w:qFormat/>
    <w:uiPriority w:val="39"/>
    <w:pPr>
      <w:ind w:left="420"/>
      <w:jc w:val="left"/>
    </w:pPr>
    <w:rPr>
      <w:rFonts w:ascii="Calibri" w:hAnsi="Calibri" w:eastAsia="宋体" w:cs="Times New Roman"/>
      <w:i/>
      <w:iCs/>
      <w:sz w:val="20"/>
      <w:szCs w:val="20"/>
    </w:rPr>
  </w:style>
  <w:style w:type="paragraph" w:styleId="25">
    <w:name w:val="Plain Text"/>
    <w:basedOn w:val="1"/>
    <w:link w:val="86"/>
    <w:unhideWhenUsed/>
    <w:qFormat/>
    <w:uiPriority w:val="0"/>
    <w:rPr>
      <w:rFonts w:ascii="宋体" w:hAnsi="Courier New" w:eastAsia="宋体" w:cs="Times New Roman"/>
      <w:kern w:val="0"/>
      <w:sz w:val="20"/>
      <w:szCs w:val="21"/>
    </w:rPr>
  </w:style>
  <w:style w:type="paragraph" w:styleId="26">
    <w:name w:val="toc 8"/>
    <w:basedOn w:val="1"/>
    <w:next w:val="1"/>
    <w:unhideWhenUsed/>
    <w:qFormat/>
    <w:uiPriority w:val="39"/>
    <w:pPr>
      <w:ind w:left="1470"/>
      <w:jc w:val="left"/>
    </w:pPr>
    <w:rPr>
      <w:rFonts w:ascii="Calibri" w:hAnsi="Calibri" w:eastAsia="宋体" w:cs="Times New Roman"/>
      <w:sz w:val="18"/>
      <w:szCs w:val="18"/>
    </w:rPr>
  </w:style>
  <w:style w:type="paragraph" w:styleId="27">
    <w:name w:val="Date"/>
    <w:basedOn w:val="1"/>
    <w:next w:val="1"/>
    <w:link w:val="88"/>
    <w:unhideWhenUsed/>
    <w:qFormat/>
    <w:uiPriority w:val="0"/>
    <w:pPr>
      <w:ind w:left="100" w:leftChars="2500"/>
    </w:pPr>
    <w:rPr>
      <w:rFonts w:ascii="Times New Roman" w:hAnsi="Times New Roman" w:eastAsia="宋体" w:cs="Times New Roman"/>
      <w:kern w:val="0"/>
      <w:sz w:val="20"/>
    </w:rPr>
  </w:style>
  <w:style w:type="paragraph" w:styleId="28">
    <w:name w:val="Body Text Indent 2"/>
    <w:basedOn w:val="1"/>
    <w:link w:val="89"/>
    <w:unhideWhenUsed/>
    <w:qFormat/>
    <w:uiPriority w:val="0"/>
    <w:pPr>
      <w:spacing w:after="120" w:line="480" w:lineRule="auto"/>
      <w:ind w:left="420" w:leftChars="200"/>
    </w:pPr>
    <w:rPr>
      <w:rFonts w:ascii="Times New Roman" w:hAnsi="Times New Roman" w:eastAsia="宋体" w:cs="Times New Roman"/>
      <w:kern w:val="0"/>
      <w:sz w:val="20"/>
    </w:rPr>
  </w:style>
  <w:style w:type="paragraph" w:styleId="29">
    <w:name w:val="Balloon Text"/>
    <w:basedOn w:val="1"/>
    <w:link w:val="91"/>
    <w:unhideWhenUsed/>
    <w:qFormat/>
    <w:uiPriority w:val="0"/>
    <w:rPr>
      <w:rFonts w:ascii="Times New Roman" w:hAnsi="Times New Roman" w:eastAsia="宋体" w:cs="Times New Roman"/>
      <w:kern w:val="0"/>
      <w:sz w:val="18"/>
      <w:szCs w:val="18"/>
    </w:rPr>
  </w:style>
  <w:style w:type="paragraph" w:styleId="30">
    <w:name w:val="footer"/>
    <w:basedOn w:val="1"/>
    <w:link w:val="59"/>
    <w:qFormat/>
    <w:uiPriority w:val="0"/>
    <w:pPr>
      <w:tabs>
        <w:tab w:val="center" w:pos="4153"/>
        <w:tab w:val="right" w:pos="8306"/>
      </w:tabs>
      <w:snapToGrid w:val="0"/>
      <w:jc w:val="left"/>
    </w:pPr>
    <w:rPr>
      <w:sz w:val="18"/>
    </w:rPr>
  </w:style>
  <w:style w:type="paragraph" w:styleId="31">
    <w:name w:val="envelope return"/>
    <w:basedOn w:val="1"/>
    <w:qFormat/>
    <w:uiPriority w:val="0"/>
    <w:pPr>
      <w:snapToGrid w:val="0"/>
    </w:pPr>
    <w:rPr>
      <w:rFonts w:ascii="Arial" w:hAnsi="Arial" w:eastAsia="宋体" w:cs="Arial"/>
      <w:sz w:val="21"/>
    </w:rPr>
  </w:style>
  <w:style w:type="paragraph" w:styleId="32">
    <w:name w:val="Body Text First Indent 2"/>
    <w:basedOn w:val="21"/>
    <w:link w:val="105"/>
    <w:unhideWhenUsed/>
    <w:qFormat/>
    <w:uiPriority w:val="0"/>
    <w:pPr>
      <w:ind w:firstLine="420" w:firstLineChars="200"/>
    </w:pPr>
  </w:style>
  <w:style w:type="paragraph" w:styleId="33">
    <w:name w:val="header"/>
    <w:basedOn w:val="1"/>
    <w:link w:val="5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4">
    <w:name w:val="toc 1"/>
    <w:basedOn w:val="1"/>
    <w:next w:val="1"/>
    <w:qFormat/>
    <w:uiPriority w:val="39"/>
    <w:pPr>
      <w:spacing w:before="120" w:after="120"/>
      <w:jc w:val="left"/>
    </w:pPr>
    <w:rPr>
      <w:rFonts w:ascii="Times New Roman" w:hAnsi="Times New Roman" w:eastAsia="宋体" w:cs="Times New Roman"/>
      <w:b/>
      <w:bCs/>
      <w:caps/>
      <w:kern w:val="0"/>
      <w:sz w:val="20"/>
      <w:szCs w:val="20"/>
    </w:rPr>
  </w:style>
  <w:style w:type="paragraph" w:styleId="35">
    <w:name w:val="toc 4"/>
    <w:basedOn w:val="1"/>
    <w:next w:val="1"/>
    <w:unhideWhenUsed/>
    <w:qFormat/>
    <w:uiPriority w:val="39"/>
    <w:pPr>
      <w:ind w:left="630"/>
      <w:jc w:val="left"/>
    </w:pPr>
    <w:rPr>
      <w:rFonts w:ascii="Calibri" w:hAnsi="Calibri" w:eastAsia="宋体" w:cs="Times New Roman"/>
      <w:sz w:val="18"/>
      <w:szCs w:val="18"/>
    </w:rPr>
  </w:style>
  <w:style w:type="paragraph" w:styleId="36">
    <w:name w:val="index heading"/>
    <w:basedOn w:val="1"/>
    <w:next w:val="37"/>
    <w:unhideWhenUsed/>
    <w:qFormat/>
    <w:uiPriority w:val="0"/>
    <w:rPr>
      <w:rFonts w:ascii="Times New Roman" w:hAnsi="Times New Roman" w:eastAsia="宋体" w:cs="Times New Roman"/>
      <w:sz w:val="21"/>
    </w:rPr>
  </w:style>
  <w:style w:type="paragraph" w:styleId="37">
    <w:name w:val="index 1"/>
    <w:basedOn w:val="1"/>
    <w:next w:val="1"/>
    <w:qFormat/>
    <w:uiPriority w:val="0"/>
  </w:style>
  <w:style w:type="paragraph" w:styleId="38">
    <w:name w:val="List"/>
    <w:basedOn w:val="1"/>
    <w:qFormat/>
    <w:uiPriority w:val="0"/>
    <w:pPr>
      <w:widowControl/>
      <w:overflowPunct w:val="0"/>
      <w:autoSpaceDE w:val="0"/>
      <w:autoSpaceDN w:val="0"/>
      <w:adjustRightInd w:val="0"/>
      <w:spacing w:line="360" w:lineRule="auto"/>
      <w:jc w:val="center"/>
      <w:textAlignment w:val="baseline"/>
    </w:pPr>
    <w:rPr>
      <w:rFonts w:ascii="宋体" w:hAnsi="宋体" w:eastAsia="宋体" w:cs="Times New Roman"/>
      <w:kern w:val="0"/>
      <w:sz w:val="21"/>
      <w:szCs w:val="20"/>
      <w:lang w:val="en-GB"/>
    </w:rPr>
  </w:style>
  <w:style w:type="paragraph" w:styleId="39">
    <w:name w:val="footnote text"/>
    <w:basedOn w:val="1"/>
    <w:link w:val="94"/>
    <w:unhideWhenUsed/>
    <w:qFormat/>
    <w:uiPriority w:val="0"/>
    <w:pPr>
      <w:snapToGrid w:val="0"/>
      <w:jc w:val="left"/>
    </w:pPr>
    <w:rPr>
      <w:rFonts w:ascii="Times New Roman" w:hAnsi="Times New Roman" w:eastAsia="宋体" w:cs="Times New Roman"/>
      <w:kern w:val="0"/>
      <w:sz w:val="18"/>
      <w:szCs w:val="18"/>
    </w:rPr>
  </w:style>
  <w:style w:type="paragraph" w:styleId="40">
    <w:name w:val="toc 6"/>
    <w:basedOn w:val="1"/>
    <w:next w:val="1"/>
    <w:unhideWhenUsed/>
    <w:qFormat/>
    <w:uiPriority w:val="39"/>
    <w:pPr>
      <w:ind w:left="1050"/>
      <w:jc w:val="left"/>
    </w:pPr>
    <w:rPr>
      <w:rFonts w:ascii="Calibri" w:hAnsi="Calibri" w:eastAsia="宋体" w:cs="Times New Roman"/>
      <w:sz w:val="18"/>
      <w:szCs w:val="18"/>
    </w:rPr>
  </w:style>
  <w:style w:type="paragraph" w:styleId="41">
    <w:name w:val="Body Text Indent 3"/>
    <w:basedOn w:val="1"/>
    <w:link w:val="95"/>
    <w:unhideWhenUsed/>
    <w:qFormat/>
    <w:uiPriority w:val="0"/>
    <w:pPr>
      <w:spacing w:line="360" w:lineRule="auto"/>
      <w:ind w:firstLine="480" w:firstLineChars="200"/>
    </w:pPr>
    <w:rPr>
      <w:rFonts w:ascii="Times New Roman" w:hAnsi="Times New Roman" w:eastAsia="宋体" w:cs="Times New Roman"/>
      <w:kern w:val="0"/>
      <w:sz w:val="24"/>
    </w:rPr>
  </w:style>
  <w:style w:type="paragraph" w:styleId="42">
    <w:name w:val="toc 2"/>
    <w:basedOn w:val="1"/>
    <w:next w:val="1"/>
    <w:qFormat/>
    <w:uiPriority w:val="39"/>
    <w:pPr>
      <w:ind w:left="200"/>
      <w:jc w:val="left"/>
    </w:pPr>
    <w:rPr>
      <w:rFonts w:ascii="Times New Roman" w:hAnsi="Times New Roman" w:eastAsia="宋体" w:cs="Times New Roman"/>
      <w:smallCaps/>
      <w:kern w:val="0"/>
      <w:sz w:val="20"/>
      <w:szCs w:val="20"/>
    </w:rPr>
  </w:style>
  <w:style w:type="paragraph" w:styleId="43">
    <w:name w:val="toc 9"/>
    <w:basedOn w:val="1"/>
    <w:next w:val="1"/>
    <w:unhideWhenUsed/>
    <w:qFormat/>
    <w:uiPriority w:val="39"/>
    <w:pPr>
      <w:ind w:left="1680"/>
      <w:jc w:val="left"/>
    </w:pPr>
    <w:rPr>
      <w:rFonts w:ascii="Calibri" w:hAnsi="Calibri" w:eastAsia="宋体" w:cs="Times New Roman"/>
      <w:sz w:val="18"/>
      <w:szCs w:val="18"/>
    </w:rPr>
  </w:style>
  <w:style w:type="paragraph" w:styleId="44">
    <w:name w:val="Body Text 2"/>
    <w:basedOn w:val="1"/>
    <w:link w:val="97"/>
    <w:unhideWhenUsed/>
    <w:qFormat/>
    <w:uiPriority w:val="0"/>
    <w:pPr>
      <w:spacing w:after="120" w:line="480" w:lineRule="auto"/>
    </w:pPr>
    <w:rPr>
      <w:rFonts w:ascii="Times New Roman" w:hAnsi="Times New Roman" w:eastAsia="宋体" w:cs="Times New Roman"/>
      <w:kern w:val="0"/>
      <w:sz w:val="20"/>
    </w:rPr>
  </w:style>
  <w:style w:type="paragraph" w:styleId="45">
    <w:name w:val="HTML Preformatted"/>
    <w:basedOn w:val="1"/>
    <w:link w:val="98"/>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rPr>
  </w:style>
  <w:style w:type="paragraph" w:styleId="46">
    <w:name w:val="Normal (Web)"/>
    <w:basedOn w:val="1"/>
    <w:link w:val="63"/>
    <w:unhideWhenUsed/>
    <w:qFormat/>
    <w:uiPriority w:val="0"/>
    <w:pPr>
      <w:jc w:val="left"/>
    </w:pPr>
    <w:rPr>
      <w:rFonts w:ascii="Arial" w:hAnsi="Arial" w:cs="Times New Roman"/>
      <w:kern w:val="0"/>
      <w:sz w:val="24"/>
    </w:rPr>
  </w:style>
  <w:style w:type="paragraph" w:styleId="47">
    <w:name w:val="Title"/>
    <w:basedOn w:val="1"/>
    <w:next w:val="1"/>
    <w:link w:val="100"/>
    <w:qFormat/>
    <w:uiPriority w:val="0"/>
    <w:pPr>
      <w:spacing w:before="240" w:after="60"/>
      <w:jc w:val="center"/>
      <w:outlineLvl w:val="0"/>
    </w:pPr>
    <w:rPr>
      <w:rFonts w:ascii="Cambria" w:hAnsi="Cambria" w:eastAsia="宋体" w:cs="Times New Roman"/>
      <w:b/>
      <w:bCs/>
      <w:kern w:val="0"/>
      <w:szCs w:val="32"/>
    </w:rPr>
  </w:style>
  <w:style w:type="character" w:styleId="49">
    <w:name w:val="Strong"/>
    <w:qFormat/>
    <w:uiPriority w:val="0"/>
    <w:rPr>
      <w:b/>
      <w:bCs/>
    </w:rPr>
  </w:style>
  <w:style w:type="character" w:styleId="50">
    <w:name w:val="page number"/>
    <w:basedOn w:val="48"/>
    <w:qFormat/>
    <w:uiPriority w:val="0"/>
  </w:style>
  <w:style w:type="character" w:styleId="51">
    <w:name w:val="FollowedHyperlink"/>
    <w:unhideWhenUsed/>
    <w:qFormat/>
    <w:uiPriority w:val="99"/>
    <w:rPr>
      <w:color w:val="800080"/>
      <w:u w:val="single"/>
    </w:rPr>
  </w:style>
  <w:style w:type="character" w:styleId="52">
    <w:name w:val="Emphasis"/>
    <w:qFormat/>
    <w:uiPriority w:val="20"/>
    <w:rPr>
      <w:i/>
      <w:iCs/>
    </w:rPr>
  </w:style>
  <w:style w:type="character" w:styleId="53">
    <w:name w:val="Hyperlink"/>
    <w:qFormat/>
    <w:uiPriority w:val="99"/>
    <w:rPr>
      <w:color w:val="000000"/>
      <w:sz w:val="18"/>
      <w:szCs w:val="18"/>
      <w:u w:val="none"/>
    </w:rPr>
  </w:style>
  <w:style w:type="character" w:styleId="54">
    <w:name w:val="annotation reference"/>
    <w:unhideWhenUsed/>
    <w:qFormat/>
    <w:uiPriority w:val="0"/>
    <w:rPr>
      <w:sz w:val="21"/>
      <w:szCs w:val="21"/>
    </w:rPr>
  </w:style>
  <w:style w:type="table" w:styleId="56">
    <w:name w:val="Table Grid"/>
    <w:basedOn w:val="5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7">
    <w:name w:val="标题 1 字符"/>
    <w:basedOn w:val="48"/>
    <w:qFormat/>
    <w:uiPriority w:val="0"/>
    <w:rPr>
      <w:rFonts w:eastAsia="方正仿宋_GBK" w:asciiTheme="minorHAnsi" w:hAnsiTheme="minorHAnsi" w:cstheme="minorBidi"/>
      <w:b/>
      <w:bCs/>
      <w:kern w:val="44"/>
      <w:sz w:val="44"/>
      <w:szCs w:val="44"/>
    </w:rPr>
  </w:style>
  <w:style w:type="character" w:customStyle="1" w:styleId="58">
    <w:name w:val="页眉 字符"/>
    <w:basedOn w:val="48"/>
    <w:link w:val="33"/>
    <w:qFormat/>
    <w:uiPriority w:val="99"/>
    <w:rPr>
      <w:rFonts w:eastAsia="方正仿宋_GBK" w:asciiTheme="minorHAnsi" w:hAnsiTheme="minorHAnsi" w:cstheme="minorBidi"/>
      <w:kern w:val="2"/>
      <w:sz w:val="18"/>
      <w:szCs w:val="24"/>
    </w:rPr>
  </w:style>
  <w:style w:type="character" w:customStyle="1" w:styleId="59">
    <w:name w:val="页脚 字符"/>
    <w:basedOn w:val="48"/>
    <w:link w:val="30"/>
    <w:qFormat/>
    <w:uiPriority w:val="0"/>
    <w:rPr>
      <w:rFonts w:eastAsia="方正仿宋_GBK" w:asciiTheme="minorHAnsi" w:hAnsiTheme="minorHAnsi" w:cstheme="minorBidi"/>
      <w:kern w:val="2"/>
      <w:sz w:val="18"/>
      <w:szCs w:val="24"/>
    </w:rPr>
  </w:style>
  <w:style w:type="character" w:customStyle="1" w:styleId="60">
    <w:name w:val="标题 1 字符1"/>
    <w:link w:val="3"/>
    <w:qFormat/>
    <w:uiPriority w:val="0"/>
    <w:rPr>
      <w:b/>
      <w:kern w:val="44"/>
      <w:sz w:val="44"/>
      <w:szCs w:val="24"/>
      <w:lang w:val="zh-CN" w:eastAsia="zh-CN"/>
    </w:rPr>
  </w:style>
  <w:style w:type="character" w:customStyle="1" w:styleId="61">
    <w:name w:val="标题 2 字符"/>
    <w:basedOn w:val="48"/>
    <w:link w:val="4"/>
    <w:qFormat/>
    <w:uiPriority w:val="0"/>
    <w:rPr>
      <w:rFonts w:asciiTheme="majorHAnsi" w:hAnsiTheme="majorHAnsi" w:eastAsiaTheme="majorEastAsia" w:cstheme="majorBidi"/>
      <w:b/>
      <w:bCs/>
      <w:kern w:val="2"/>
      <w:sz w:val="32"/>
      <w:szCs w:val="32"/>
    </w:rPr>
  </w:style>
  <w:style w:type="character" w:customStyle="1" w:styleId="62">
    <w:name w:val="正文文本 字符"/>
    <w:basedOn w:val="48"/>
    <w:link w:val="16"/>
    <w:qFormat/>
    <w:uiPriority w:val="0"/>
    <w:rPr>
      <w:rFonts w:ascii="宋体" w:hAnsi="宋体"/>
      <w:kern w:val="2"/>
      <w:sz w:val="21"/>
      <w:szCs w:val="24"/>
    </w:rPr>
  </w:style>
  <w:style w:type="character" w:customStyle="1" w:styleId="63">
    <w:name w:val="普通(网站) 字符"/>
    <w:link w:val="46"/>
    <w:qFormat/>
    <w:uiPriority w:val="0"/>
    <w:rPr>
      <w:rFonts w:ascii="Arial" w:hAnsi="Arial" w:eastAsia="方正仿宋_GBK"/>
      <w:sz w:val="24"/>
      <w:szCs w:val="24"/>
    </w:rPr>
  </w:style>
  <w:style w:type="character" w:customStyle="1" w:styleId="64">
    <w:name w:val="标题 3 Char"/>
    <w:basedOn w:val="48"/>
    <w:qFormat/>
    <w:uiPriority w:val="0"/>
    <w:rPr>
      <w:rFonts w:eastAsia="方正仿宋_GBK" w:asciiTheme="minorHAnsi" w:hAnsiTheme="minorHAnsi" w:cstheme="minorBidi"/>
      <w:b/>
      <w:bCs/>
      <w:kern w:val="2"/>
      <w:sz w:val="32"/>
      <w:szCs w:val="32"/>
    </w:rPr>
  </w:style>
  <w:style w:type="character" w:customStyle="1" w:styleId="65">
    <w:name w:val="标题 4 Char"/>
    <w:basedOn w:val="48"/>
    <w:qFormat/>
    <w:uiPriority w:val="0"/>
    <w:rPr>
      <w:rFonts w:asciiTheme="majorHAnsi" w:hAnsiTheme="majorHAnsi" w:eastAsiaTheme="majorEastAsia" w:cstheme="majorBidi"/>
      <w:b/>
      <w:bCs/>
      <w:kern w:val="2"/>
      <w:sz w:val="28"/>
      <w:szCs w:val="28"/>
    </w:rPr>
  </w:style>
  <w:style w:type="character" w:customStyle="1" w:styleId="66">
    <w:name w:val="标题 5 字符"/>
    <w:basedOn w:val="48"/>
    <w:link w:val="7"/>
    <w:qFormat/>
    <w:uiPriority w:val="0"/>
    <w:rPr>
      <w:rFonts w:ascii="Times New Roman" w:hAnsi="Times New Roman"/>
      <w:b/>
      <w:bCs/>
      <w:kern w:val="2"/>
      <w:sz w:val="28"/>
      <w:szCs w:val="28"/>
    </w:rPr>
  </w:style>
  <w:style w:type="character" w:customStyle="1" w:styleId="67">
    <w:name w:val="标题 6 字符"/>
    <w:basedOn w:val="48"/>
    <w:link w:val="8"/>
    <w:qFormat/>
    <w:uiPriority w:val="0"/>
    <w:rPr>
      <w:rFonts w:ascii="Arial" w:hAnsi="Arial" w:eastAsia="华文细黑"/>
      <w:bCs/>
      <w:sz w:val="24"/>
    </w:rPr>
  </w:style>
  <w:style w:type="character" w:customStyle="1" w:styleId="68">
    <w:name w:val="标题 7 字符"/>
    <w:basedOn w:val="48"/>
    <w:link w:val="9"/>
    <w:qFormat/>
    <w:uiPriority w:val="99"/>
    <w:rPr>
      <w:rFonts w:ascii="Times New Roman" w:hAnsi="Times New Roman" w:eastAsia="华文细黑"/>
      <w:sz w:val="24"/>
      <w:szCs w:val="24"/>
    </w:rPr>
  </w:style>
  <w:style w:type="character" w:customStyle="1" w:styleId="69">
    <w:name w:val="标题 8 字符"/>
    <w:basedOn w:val="48"/>
    <w:link w:val="10"/>
    <w:qFormat/>
    <w:uiPriority w:val="99"/>
    <w:rPr>
      <w:rFonts w:ascii="Times New Roman" w:hAnsi="Times New Roman" w:eastAsia="华文细黑"/>
      <w:i/>
      <w:iCs/>
      <w:sz w:val="24"/>
      <w:szCs w:val="24"/>
    </w:rPr>
  </w:style>
  <w:style w:type="character" w:customStyle="1" w:styleId="70">
    <w:name w:val="标题 9 字符"/>
    <w:basedOn w:val="48"/>
    <w:link w:val="11"/>
    <w:qFormat/>
    <w:uiPriority w:val="99"/>
    <w:rPr>
      <w:rFonts w:ascii="Arial" w:hAnsi="Arial" w:eastAsia="华文细黑"/>
      <w:sz w:val="22"/>
      <w:szCs w:val="22"/>
    </w:rPr>
  </w:style>
  <w:style w:type="character" w:customStyle="1" w:styleId="71">
    <w:name w:val="正文缩进 字符"/>
    <w:link w:val="18"/>
    <w:qFormat/>
    <w:uiPriority w:val="0"/>
    <w:rPr>
      <w:rFonts w:ascii="Times New Roman" w:hAnsi="Times New Roman"/>
      <w:sz w:val="24"/>
    </w:rPr>
  </w:style>
  <w:style w:type="character" w:customStyle="1" w:styleId="72">
    <w:name w:val="标题 1 Char2"/>
    <w:qFormat/>
    <w:uiPriority w:val="0"/>
    <w:rPr>
      <w:rFonts w:ascii="Times New Roman" w:hAnsi="Times New Roman" w:eastAsia="宋体" w:cs="Times New Roman"/>
      <w:b/>
      <w:bCs/>
      <w:kern w:val="44"/>
      <w:sz w:val="44"/>
      <w:szCs w:val="44"/>
    </w:rPr>
  </w:style>
  <w:style w:type="character" w:customStyle="1" w:styleId="73">
    <w:name w:val="标题 2 Char1"/>
    <w:qFormat/>
    <w:uiPriority w:val="0"/>
    <w:rPr>
      <w:rFonts w:ascii="Arial" w:hAnsi="Arial" w:eastAsia="黑体" w:cs="Times New Roman"/>
      <w:sz w:val="32"/>
      <w:szCs w:val="32"/>
    </w:rPr>
  </w:style>
  <w:style w:type="character" w:customStyle="1" w:styleId="74">
    <w:name w:val="标题 3 字符"/>
    <w:link w:val="5"/>
    <w:qFormat/>
    <w:uiPriority w:val="0"/>
    <w:rPr>
      <w:rFonts w:ascii="Times New Roman" w:hAnsi="Times New Roman"/>
      <w:b/>
      <w:bCs/>
      <w:sz w:val="32"/>
      <w:szCs w:val="32"/>
    </w:rPr>
  </w:style>
  <w:style w:type="character" w:customStyle="1" w:styleId="75">
    <w:name w:val="标题 4 字符"/>
    <w:link w:val="6"/>
    <w:qFormat/>
    <w:uiPriority w:val="0"/>
    <w:rPr>
      <w:rFonts w:ascii="Arial" w:hAnsi="Arial" w:eastAsia="黑体"/>
      <w:b/>
      <w:bCs/>
      <w:sz w:val="28"/>
      <w:szCs w:val="28"/>
    </w:rPr>
  </w:style>
  <w:style w:type="character" w:customStyle="1" w:styleId="76">
    <w:name w:val="注释标题 字符"/>
    <w:basedOn w:val="48"/>
    <w:link w:val="17"/>
    <w:qFormat/>
    <w:uiPriority w:val="0"/>
    <w:rPr>
      <w:rFonts w:ascii="宋体" w:hAnsi="Times New Roman"/>
      <w:kern w:val="2"/>
      <w:sz w:val="21"/>
    </w:rPr>
  </w:style>
  <w:style w:type="character" w:customStyle="1" w:styleId="77">
    <w:name w:val="文档结构图 Char"/>
    <w:basedOn w:val="48"/>
    <w:qFormat/>
    <w:uiPriority w:val="0"/>
    <w:rPr>
      <w:rFonts w:ascii="宋体" w:hAnsiTheme="minorHAnsi" w:cstheme="minorBidi"/>
      <w:kern w:val="2"/>
      <w:sz w:val="18"/>
      <w:szCs w:val="18"/>
    </w:rPr>
  </w:style>
  <w:style w:type="character" w:customStyle="1" w:styleId="78">
    <w:name w:val="文档结构图 字符"/>
    <w:link w:val="19"/>
    <w:qFormat/>
    <w:uiPriority w:val="0"/>
    <w:rPr>
      <w:rFonts w:ascii="宋体" w:hAnsi="Times New Roman"/>
      <w:sz w:val="18"/>
      <w:szCs w:val="18"/>
    </w:rPr>
  </w:style>
  <w:style w:type="character" w:customStyle="1" w:styleId="79">
    <w:name w:val="批注文字 Char"/>
    <w:basedOn w:val="48"/>
    <w:qFormat/>
    <w:uiPriority w:val="0"/>
    <w:rPr>
      <w:rFonts w:eastAsia="方正仿宋_GBK" w:asciiTheme="minorHAnsi" w:hAnsiTheme="minorHAnsi" w:cstheme="minorBidi"/>
      <w:kern w:val="2"/>
      <w:sz w:val="32"/>
      <w:szCs w:val="24"/>
    </w:rPr>
  </w:style>
  <w:style w:type="character" w:customStyle="1" w:styleId="80">
    <w:name w:val="批注文字 字符"/>
    <w:link w:val="13"/>
    <w:qFormat/>
    <w:locked/>
    <w:uiPriority w:val="0"/>
    <w:rPr>
      <w:rFonts w:ascii="宋体" w:hAnsi="宋体"/>
      <w:sz w:val="28"/>
      <w:szCs w:val="24"/>
    </w:rPr>
  </w:style>
  <w:style w:type="character" w:customStyle="1" w:styleId="81">
    <w:name w:val="正文文本 3 字符"/>
    <w:basedOn w:val="48"/>
    <w:link w:val="20"/>
    <w:qFormat/>
    <w:uiPriority w:val="0"/>
    <w:rPr>
      <w:rFonts w:ascii="Times New Roman" w:hAnsi="Times New Roman"/>
      <w:b/>
      <w:bCs/>
      <w:sz w:val="24"/>
      <w:szCs w:val="28"/>
    </w:rPr>
  </w:style>
  <w:style w:type="character" w:customStyle="1" w:styleId="82">
    <w:name w:val="正文文本 Char2"/>
    <w:qFormat/>
    <w:locked/>
    <w:uiPriority w:val="0"/>
    <w:rPr>
      <w:szCs w:val="24"/>
    </w:rPr>
  </w:style>
  <w:style w:type="character" w:customStyle="1" w:styleId="83">
    <w:name w:val="正文文本缩进 Char"/>
    <w:basedOn w:val="48"/>
    <w:qFormat/>
    <w:uiPriority w:val="0"/>
    <w:rPr>
      <w:rFonts w:eastAsia="方正仿宋_GBK" w:asciiTheme="minorHAnsi" w:hAnsiTheme="minorHAnsi" w:cstheme="minorBidi"/>
      <w:kern w:val="2"/>
      <w:sz w:val="32"/>
      <w:szCs w:val="24"/>
    </w:rPr>
  </w:style>
  <w:style w:type="character" w:customStyle="1" w:styleId="84">
    <w:name w:val="正文文本缩进 字符"/>
    <w:link w:val="21"/>
    <w:qFormat/>
    <w:uiPriority w:val="0"/>
    <w:rPr>
      <w:rFonts w:ascii="Times New Roman" w:hAnsi="Times New Roman"/>
      <w:szCs w:val="24"/>
    </w:rPr>
  </w:style>
  <w:style w:type="character" w:customStyle="1" w:styleId="85">
    <w:name w:val="纯文本 Char"/>
    <w:basedOn w:val="48"/>
    <w:qFormat/>
    <w:uiPriority w:val="0"/>
    <w:rPr>
      <w:rFonts w:ascii="宋体" w:hAnsi="Courier New" w:cs="Courier New"/>
      <w:kern w:val="2"/>
      <w:sz w:val="21"/>
      <w:szCs w:val="21"/>
    </w:rPr>
  </w:style>
  <w:style w:type="character" w:customStyle="1" w:styleId="86">
    <w:name w:val="纯文本 字符"/>
    <w:link w:val="25"/>
    <w:qFormat/>
    <w:locked/>
    <w:uiPriority w:val="0"/>
    <w:rPr>
      <w:rFonts w:ascii="宋体" w:hAnsi="Courier New"/>
      <w:szCs w:val="21"/>
    </w:rPr>
  </w:style>
  <w:style w:type="character" w:customStyle="1" w:styleId="87">
    <w:name w:val="日期 Char"/>
    <w:basedOn w:val="48"/>
    <w:qFormat/>
    <w:uiPriority w:val="0"/>
    <w:rPr>
      <w:rFonts w:eastAsia="方正仿宋_GBK" w:asciiTheme="minorHAnsi" w:hAnsiTheme="minorHAnsi" w:cstheme="minorBidi"/>
      <w:kern w:val="2"/>
      <w:sz w:val="32"/>
      <w:szCs w:val="24"/>
    </w:rPr>
  </w:style>
  <w:style w:type="character" w:customStyle="1" w:styleId="88">
    <w:name w:val="日期 字符"/>
    <w:link w:val="27"/>
    <w:qFormat/>
    <w:uiPriority w:val="0"/>
    <w:rPr>
      <w:rFonts w:ascii="Times New Roman" w:hAnsi="Times New Roman"/>
      <w:szCs w:val="24"/>
    </w:rPr>
  </w:style>
  <w:style w:type="character" w:customStyle="1" w:styleId="89">
    <w:name w:val="正文文本缩进 2 字符"/>
    <w:basedOn w:val="48"/>
    <w:link w:val="28"/>
    <w:qFormat/>
    <w:uiPriority w:val="0"/>
    <w:rPr>
      <w:rFonts w:ascii="Times New Roman" w:hAnsi="Times New Roman"/>
      <w:szCs w:val="24"/>
    </w:rPr>
  </w:style>
  <w:style w:type="character" w:customStyle="1" w:styleId="90">
    <w:name w:val="批注框文本 Char"/>
    <w:basedOn w:val="48"/>
    <w:qFormat/>
    <w:uiPriority w:val="0"/>
    <w:rPr>
      <w:rFonts w:eastAsia="方正仿宋_GBK" w:asciiTheme="minorHAnsi" w:hAnsiTheme="minorHAnsi" w:cstheme="minorBidi"/>
      <w:kern w:val="2"/>
      <w:sz w:val="18"/>
      <w:szCs w:val="18"/>
    </w:rPr>
  </w:style>
  <w:style w:type="character" w:customStyle="1" w:styleId="91">
    <w:name w:val="批注框文本 字符"/>
    <w:link w:val="29"/>
    <w:qFormat/>
    <w:uiPriority w:val="0"/>
    <w:rPr>
      <w:rFonts w:ascii="Times New Roman" w:hAnsi="Times New Roman"/>
      <w:sz w:val="18"/>
      <w:szCs w:val="18"/>
    </w:rPr>
  </w:style>
  <w:style w:type="character" w:customStyle="1" w:styleId="92">
    <w:name w:val="页脚 Char2"/>
    <w:qFormat/>
    <w:uiPriority w:val="99"/>
    <w:rPr>
      <w:sz w:val="18"/>
      <w:szCs w:val="18"/>
    </w:rPr>
  </w:style>
  <w:style w:type="character" w:customStyle="1" w:styleId="93">
    <w:name w:val="页眉 Char2"/>
    <w:qFormat/>
    <w:uiPriority w:val="99"/>
    <w:rPr>
      <w:sz w:val="18"/>
      <w:szCs w:val="18"/>
    </w:rPr>
  </w:style>
  <w:style w:type="character" w:customStyle="1" w:styleId="94">
    <w:name w:val="脚注文本 字符"/>
    <w:basedOn w:val="48"/>
    <w:link w:val="39"/>
    <w:qFormat/>
    <w:uiPriority w:val="0"/>
    <w:rPr>
      <w:rFonts w:ascii="Times New Roman" w:hAnsi="Times New Roman"/>
      <w:sz w:val="18"/>
      <w:szCs w:val="18"/>
    </w:rPr>
  </w:style>
  <w:style w:type="character" w:customStyle="1" w:styleId="95">
    <w:name w:val="正文文本缩进 3 字符"/>
    <w:basedOn w:val="48"/>
    <w:link w:val="41"/>
    <w:qFormat/>
    <w:uiPriority w:val="0"/>
    <w:rPr>
      <w:rFonts w:ascii="Times New Roman" w:hAnsi="Times New Roman"/>
      <w:sz w:val="24"/>
      <w:szCs w:val="24"/>
    </w:rPr>
  </w:style>
  <w:style w:type="character" w:customStyle="1" w:styleId="96">
    <w:name w:val="正文文本 2 Char"/>
    <w:basedOn w:val="48"/>
    <w:qFormat/>
    <w:uiPriority w:val="0"/>
    <w:rPr>
      <w:rFonts w:eastAsia="方正仿宋_GBK" w:asciiTheme="minorHAnsi" w:hAnsiTheme="minorHAnsi" w:cstheme="minorBidi"/>
      <w:kern w:val="2"/>
      <w:sz w:val="32"/>
      <w:szCs w:val="24"/>
    </w:rPr>
  </w:style>
  <w:style w:type="character" w:customStyle="1" w:styleId="97">
    <w:name w:val="正文文本 2 字符"/>
    <w:link w:val="44"/>
    <w:qFormat/>
    <w:locked/>
    <w:uiPriority w:val="0"/>
    <w:rPr>
      <w:rFonts w:ascii="Times New Roman" w:hAnsi="Times New Roman"/>
      <w:szCs w:val="24"/>
    </w:rPr>
  </w:style>
  <w:style w:type="character" w:customStyle="1" w:styleId="98">
    <w:name w:val="HTML 预设格式 字符"/>
    <w:basedOn w:val="48"/>
    <w:link w:val="45"/>
    <w:qFormat/>
    <w:uiPriority w:val="99"/>
    <w:rPr>
      <w:rFonts w:ascii="宋体" w:hAnsi="宋体"/>
      <w:sz w:val="24"/>
      <w:szCs w:val="24"/>
    </w:rPr>
  </w:style>
  <w:style w:type="character" w:customStyle="1" w:styleId="99">
    <w:name w:val="标题 Char"/>
    <w:basedOn w:val="48"/>
    <w:qFormat/>
    <w:uiPriority w:val="0"/>
    <w:rPr>
      <w:rFonts w:asciiTheme="majorHAnsi" w:hAnsiTheme="majorHAnsi" w:cstheme="majorBidi"/>
      <w:b/>
      <w:bCs/>
      <w:kern w:val="2"/>
      <w:sz w:val="32"/>
      <w:szCs w:val="32"/>
    </w:rPr>
  </w:style>
  <w:style w:type="character" w:customStyle="1" w:styleId="100">
    <w:name w:val="标题 字符"/>
    <w:link w:val="47"/>
    <w:qFormat/>
    <w:locked/>
    <w:uiPriority w:val="0"/>
    <w:rPr>
      <w:rFonts w:ascii="Cambria" w:hAnsi="Cambria"/>
      <w:b/>
      <w:bCs/>
      <w:sz w:val="32"/>
      <w:szCs w:val="32"/>
    </w:rPr>
  </w:style>
  <w:style w:type="character" w:customStyle="1" w:styleId="101">
    <w:name w:val="批注主题 Char"/>
    <w:basedOn w:val="79"/>
    <w:qFormat/>
    <w:uiPriority w:val="0"/>
    <w:rPr>
      <w:rFonts w:eastAsia="方正仿宋_GBK" w:asciiTheme="minorHAnsi" w:hAnsiTheme="minorHAnsi" w:cstheme="minorBidi"/>
      <w:b/>
      <w:bCs/>
      <w:kern w:val="2"/>
      <w:sz w:val="32"/>
      <w:szCs w:val="24"/>
    </w:rPr>
  </w:style>
  <w:style w:type="character" w:customStyle="1" w:styleId="102">
    <w:name w:val="批注主题 字符"/>
    <w:link w:val="12"/>
    <w:qFormat/>
    <w:locked/>
    <w:uiPriority w:val="0"/>
    <w:rPr>
      <w:rFonts w:ascii="宋体" w:hAnsi="宋体"/>
      <w:b/>
      <w:bCs/>
      <w:sz w:val="28"/>
      <w:szCs w:val="24"/>
    </w:rPr>
  </w:style>
  <w:style w:type="character" w:customStyle="1" w:styleId="103">
    <w:name w:val="正文首行缩进 Char"/>
    <w:basedOn w:val="62"/>
    <w:qFormat/>
    <w:uiPriority w:val="0"/>
    <w:rPr>
      <w:rFonts w:eastAsia="方正仿宋_GBK" w:asciiTheme="minorHAnsi" w:hAnsiTheme="minorHAnsi" w:cstheme="minorBidi"/>
      <w:kern w:val="2"/>
      <w:sz w:val="32"/>
      <w:szCs w:val="24"/>
    </w:rPr>
  </w:style>
  <w:style w:type="character" w:customStyle="1" w:styleId="104">
    <w:name w:val="正文文本首行缩进 字符"/>
    <w:basedOn w:val="82"/>
    <w:link w:val="15"/>
    <w:qFormat/>
    <w:locked/>
    <w:uiPriority w:val="0"/>
    <w:rPr>
      <w:rFonts w:ascii="Times New Roman" w:hAnsi="Times New Roman"/>
      <w:szCs w:val="24"/>
    </w:rPr>
  </w:style>
  <w:style w:type="character" w:customStyle="1" w:styleId="105">
    <w:name w:val="正文文本首行缩进 2 字符"/>
    <w:basedOn w:val="83"/>
    <w:link w:val="32"/>
    <w:qFormat/>
    <w:uiPriority w:val="0"/>
    <w:rPr>
      <w:rFonts w:ascii="Times New Roman" w:hAnsi="Times New Roman" w:eastAsia="方正仿宋_GBK" w:cstheme="minorBidi"/>
      <w:kern w:val="2"/>
      <w:sz w:val="32"/>
      <w:szCs w:val="24"/>
    </w:rPr>
  </w:style>
  <w:style w:type="character" w:customStyle="1" w:styleId="106">
    <w:name w:val="apple-style-span"/>
    <w:basedOn w:val="48"/>
    <w:qFormat/>
    <w:uiPriority w:val="0"/>
  </w:style>
  <w:style w:type="character" w:customStyle="1" w:styleId="107">
    <w:name w:val="批注主题 Char1"/>
    <w:semiHidden/>
    <w:qFormat/>
    <w:uiPriority w:val="0"/>
    <w:rPr>
      <w:rFonts w:ascii="Times New Roman" w:hAnsi="Times New Roman" w:eastAsia="宋体" w:cs="Times New Roman"/>
      <w:b/>
      <w:bCs/>
      <w:szCs w:val="24"/>
    </w:rPr>
  </w:style>
  <w:style w:type="character" w:customStyle="1" w:styleId="108">
    <w:name w:val="批注框文本 Char2"/>
    <w:semiHidden/>
    <w:qFormat/>
    <w:locked/>
    <w:uiPriority w:val="0"/>
    <w:rPr>
      <w:sz w:val="18"/>
      <w:szCs w:val="18"/>
    </w:rPr>
  </w:style>
  <w:style w:type="character" w:customStyle="1" w:styleId="109">
    <w:name w:val="1标题 Char"/>
    <w:link w:val="110"/>
    <w:qFormat/>
    <w:uiPriority w:val="0"/>
    <w:rPr>
      <w:rFonts w:ascii="宋体" w:hAnsi="宋体"/>
      <w:b/>
      <w:bCs/>
      <w:kern w:val="2"/>
      <w:sz w:val="32"/>
      <w:szCs w:val="44"/>
    </w:rPr>
  </w:style>
  <w:style w:type="paragraph" w:customStyle="1" w:styleId="110">
    <w:name w:val="1标题"/>
    <w:basedOn w:val="3"/>
    <w:link w:val="109"/>
    <w:qFormat/>
    <w:uiPriority w:val="0"/>
    <w:pPr>
      <w:pageBreakBefore/>
      <w:adjustRightInd w:val="0"/>
      <w:snapToGrid w:val="0"/>
      <w:spacing w:line="360" w:lineRule="auto"/>
      <w:jc w:val="center"/>
    </w:pPr>
    <w:rPr>
      <w:rFonts w:ascii="宋体" w:hAnsi="宋体"/>
      <w:bCs/>
      <w:kern w:val="2"/>
      <w:sz w:val="32"/>
      <w:szCs w:val="44"/>
      <w:lang w:val="en-US"/>
    </w:rPr>
  </w:style>
  <w:style w:type="character" w:customStyle="1" w:styleId="111">
    <w:name w:val="font21"/>
    <w:qFormat/>
    <w:uiPriority w:val="0"/>
    <w:rPr>
      <w:rFonts w:hint="default" w:ascii="Times New Roman" w:hAnsi="Times New Roman" w:cs="Times New Roman"/>
      <w:color w:val="000000"/>
      <w:sz w:val="20"/>
      <w:szCs w:val="20"/>
      <w:u w:val="none"/>
    </w:rPr>
  </w:style>
  <w:style w:type="character" w:customStyle="1" w:styleId="112">
    <w:name w:val="标题 3 Char1"/>
    <w:semiHidden/>
    <w:qFormat/>
    <w:uiPriority w:val="0"/>
    <w:rPr>
      <w:b/>
      <w:bCs/>
      <w:kern w:val="2"/>
      <w:sz w:val="32"/>
      <w:szCs w:val="32"/>
    </w:rPr>
  </w:style>
  <w:style w:type="character" w:customStyle="1" w:styleId="113">
    <w:name w:val="正文文本缩进 3 Char1"/>
    <w:semiHidden/>
    <w:qFormat/>
    <w:uiPriority w:val="0"/>
    <w:rPr>
      <w:rFonts w:ascii="Times New Roman" w:hAnsi="Times New Roman" w:eastAsia="宋体" w:cs="Times New Roman"/>
      <w:sz w:val="16"/>
      <w:szCs w:val="16"/>
    </w:rPr>
  </w:style>
  <w:style w:type="character" w:customStyle="1" w:styleId="114">
    <w:name w:val="1正文 Char"/>
    <w:link w:val="115"/>
    <w:qFormat/>
    <w:uiPriority w:val="0"/>
    <w:rPr>
      <w:rFonts w:ascii="宋体" w:hAnsi="宋体"/>
      <w:kern w:val="2"/>
      <w:sz w:val="28"/>
      <w:szCs w:val="28"/>
    </w:rPr>
  </w:style>
  <w:style w:type="paragraph" w:customStyle="1" w:styleId="115">
    <w:name w:val="1正文"/>
    <w:basedOn w:val="1"/>
    <w:link w:val="114"/>
    <w:qFormat/>
    <w:uiPriority w:val="0"/>
    <w:pPr>
      <w:adjustRightInd w:val="0"/>
      <w:snapToGrid w:val="0"/>
      <w:spacing w:line="360" w:lineRule="auto"/>
      <w:ind w:firstLine="560" w:firstLineChars="200"/>
    </w:pPr>
    <w:rPr>
      <w:rFonts w:ascii="宋体" w:hAnsi="宋体" w:eastAsia="宋体" w:cs="Times New Roman"/>
      <w:sz w:val="28"/>
      <w:szCs w:val="28"/>
    </w:rPr>
  </w:style>
  <w:style w:type="character" w:customStyle="1" w:styleId="116">
    <w:name w:val="正文文本缩进 Char1"/>
    <w:semiHidden/>
    <w:qFormat/>
    <w:uiPriority w:val="0"/>
    <w:rPr>
      <w:rFonts w:ascii="Times New Roman" w:hAnsi="Times New Roman" w:eastAsia="宋体" w:cs="Times New Roman"/>
      <w:szCs w:val="24"/>
    </w:rPr>
  </w:style>
  <w:style w:type="character" w:customStyle="1" w:styleId="117">
    <w:name w:val="批注框文本 Char1"/>
    <w:semiHidden/>
    <w:qFormat/>
    <w:uiPriority w:val="0"/>
    <w:rPr>
      <w:kern w:val="2"/>
      <w:sz w:val="18"/>
      <w:szCs w:val="18"/>
    </w:rPr>
  </w:style>
  <w:style w:type="character" w:customStyle="1" w:styleId="118">
    <w:name w:val="2级标题 Char"/>
    <w:link w:val="119"/>
    <w:qFormat/>
    <w:uiPriority w:val="0"/>
    <w:rPr>
      <w:rFonts w:ascii="Times New Roman" w:hAnsi="Times New Roman" w:eastAsia="黑体"/>
      <w:b/>
      <w:snapToGrid w:val="0"/>
      <w:color w:val="FF0000"/>
      <w:w w:val="90"/>
      <w:kern w:val="28"/>
      <w:sz w:val="28"/>
      <w:szCs w:val="28"/>
    </w:rPr>
  </w:style>
  <w:style w:type="paragraph" w:customStyle="1" w:styleId="119">
    <w:name w:val="2级标题"/>
    <w:basedOn w:val="4"/>
    <w:link w:val="118"/>
    <w:qFormat/>
    <w:uiPriority w:val="0"/>
    <w:pPr>
      <w:adjustRightInd w:val="0"/>
      <w:snapToGrid w:val="0"/>
      <w:spacing w:before="0" w:after="0" w:line="360" w:lineRule="auto"/>
      <w:ind w:firstLine="510" w:firstLineChars="200"/>
    </w:pPr>
    <w:rPr>
      <w:rFonts w:ascii="Times New Roman" w:hAnsi="Times New Roman" w:eastAsia="黑体" w:cs="Times New Roman"/>
      <w:bCs w:val="0"/>
      <w:snapToGrid w:val="0"/>
      <w:color w:val="FF0000"/>
      <w:w w:val="90"/>
      <w:kern w:val="28"/>
      <w:sz w:val="28"/>
      <w:szCs w:val="28"/>
    </w:rPr>
  </w:style>
  <w:style w:type="character" w:customStyle="1" w:styleId="120">
    <w:name w:val="c-gap-right2"/>
    <w:qFormat/>
    <w:uiPriority w:val="0"/>
  </w:style>
  <w:style w:type="character" w:customStyle="1" w:styleId="121">
    <w:name w:val="脚注文本 Char1"/>
    <w:semiHidden/>
    <w:qFormat/>
    <w:uiPriority w:val="0"/>
    <w:rPr>
      <w:rFonts w:ascii="Times New Roman" w:hAnsi="Times New Roman" w:eastAsia="宋体" w:cs="Times New Roman"/>
      <w:sz w:val="18"/>
      <w:szCs w:val="18"/>
    </w:rPr>
  </w:style>
  <w:style w:type="character" w:customStyle="1" w:styleId="122">
    <w:name w:val="表格内容 Char"/>
    <w:qFormat/>
    <w:locked/>
    <w:uiPriority w:val="0"/>
    <w:rPr>
      <w:rFonts w:ascii="Arial" w:hAnsi="Arial"/>
      <w:color w:val="000000"/>
      <w:kern w:val="2"/>
      <w:sz w:val="21"/>
    </w:rPr>
  </w:style>
  <w:style w:type="character" w:customStyle="1" w:styleId="123">
    <w:name w:val="3标题 Char"/>
    <w:link w:val="124"/>
    <w:qFormat/>
    <w:uiPriority w:val="0"/>
    <w:rPr>
      <w:rFonts w:ascii="宋体" w:hAnsi="宋体"/>
      <w:b/>
      <w:bCs/>
      <w:color w:val="000000"/>
      <w:kern w:val="2"/>
      <w:sz w:val="28"/>
      <w:szCs w:val="28"/>
    </w:rPr>
  </w:style>
  <w:style w:type="paragraph" w:customStyle="1" w:styleId="124">
    <w:name w:val="3标题"/>
    <w:basedOn w:val="1"/>
    <w:link w:val="123"/>
    <w:qFormat/>
    <w:uiPriority w:val="0"/>
    <w:pPr>
      <w:widowControl/>
      <w:adjustRightInd w:val="0"/>
      <w:snapToGrid w:val="0"/>
      <w:spacing w:line="360" w:lineRule="auto"/>
      <w:ind w:firstLine="562" w:firstLineChars="200"/>
      <w:outlineLvl w:val="2"/>
    </w:pPr>
    <w:rPr>
      <w:rFonts w:ascii="宋体" w:hAnsi="宋体" w:eastAsia="宋体" w:cs="Times New Roman"/>
      <w:b/>
      <w:bCs/>
      <w:color w:val="000000"/>
      <w:sz w:val="28"/>
      <w:szCs w:val="28"/>
    </w:rPr>
  </w:style>
  <w:style w:type="character" w:customStyle="1" w:styleId="125">
    <w:name w:val="页脚 Char1"/>
    <w:semiHidden/>
    <w:qFormat/>
    <w:uiPriority w:val="0"/>
    <w:rPr>
      <w:rFonts w:ascii="Times New Roman" w:hAnsi="Times New Roman" w:eastAsia="宋体" w:cs="Times New Roman"/>
      <w:sz w:val="18"/>
      <w:szCs w:val="18"/>
    </w:rPr>
  </w:style>
  <w:style w:type="character" w:customStyle="1" w:styleId="126">
    <w:name w:val="文章正文 Char"/>
    <w:link w:val="127"/>
    <w:qFormat/>
    <w:uiPriority w:val="0"/>
    <w:rPr>
      <w:rFonts w:ascii="宋体" w:hAnsi="宋体"/>
      <w:sz w:val="28"/>
      <w:szCs w:val="28"/>
      <w:lang w:val="zh-CN" w:eastAsia="zh-CN"/>
    </w:rPr>
  </w:style>
  <w:style w:type="paragraph" w:customStyle="1" w:styleId="127">
    <w:name w:val="文章正文"/>
    <w:basedOn w:val="1"/>
    <w:link w:val="126"/>
    <w:qFormat/>
    <w:uiPriority w:val="0"/>
    <w:pPr>
      <w:tabs>
        <w:tab w:val="left" w:pos="560"/>
      </w:tabs>
      <w:adjustRightInd w:val="0"/>
      <w:snapToGrid w:val="0"/>
      <w:spacing w:line="360" w:lineRule="auto"/>
      <w:ind w:firstLine="412" w:firstLineChars="147"/>
      <w:jc w:val="left"/>
    </w:pPr>
    <w:rPr>
      <w:rFonts w:ascii="宋体" w:hAnsi="宋体" w:eastAsia="宋体" w:cs="Times New Roman"/>
      <w:kern w:val="0"/>
      <w:sz w:val="28"/>
      <w:szCs w:val="28"/>
      <w:lang w:val="zh-CN"/>
    </w:rPr>
  </w:style>
  <w:style w:type="character" w:customStyle="1" w:styleId="128">
    <w:name w:val="页眉 Char1"/>
    <w:qFormat/>
    <w:uiPriority w:val="0"/>
    <w:rPr>
      <w:rFonts w:ascii="Times New Roman" w:hAnsi="Times New Roman" w:eastAsia="宋体" w:cs="Times New Roman"/>
      <w:sz w:val="18"/>
      <w:szCs w:val="18"/>
    </w:rPr>
  </w:style>
  <w:style w:type="character" w:customStyle="1" w:styleId="129">
    <w:name w:val="正文首行缩进 2 Char1"/>
    <w:basedOn w:val="84"/>
    <w:semiHidden/>
    <w:qFormat/>
    <w:uiPriority w:val="0"/>
    <w:rPr>
      <w:rFonts w:ascii="Times New Roman" w:hAnsi="Times New Roman"/>
      <w:szCs w:val="24"/>
    </w:rPr>
  </w:style>
  <w:style w:type="character" w:customStyle="1" w:styleId="130">
    <w:name w:val="正文文本 2 Char1"/>
    <w:semiHidden/>
    <w:qFormat/>
    <w:uiPriority w:val="0"/>
    <w:rPr>
      <w:rFonts w:ascii="Times New Roman" w:hAnsi="Times New Roman" w:eastAsia="宋体" w:cs="Times New Roman"/>
      <w:szCs w:val="24"/>
    </w:rPr>
  </w:style>
  <w:style w:type="character" w:customStyle="1" w:styleId="131">
    <w:name w:val="zw1"/>
    <w:qFormat/>
    <w:uiPriority w:val="0"/>
    <w:rPr>
      <w:rFonts w:ascii="宋体" w:hAnsi="宋体" w:eastAsia="宋体" w:cs="Times New Roman"/>
      <w:sz w:val="22"/>
      <w:szCs w:val="22"/>
    </w:rPr>
  </w:style>
  <w:style w:type="character" w:customStyle="1" w:styleId="132">
    <w:name w:val="正文首行缩进 Char1"/>
    <w:basedOn w:val="133"/>
    <w:semiHidden/>
    <w:qFormat/>
    <w:uiPriority w:val="0"/>
    <w:rPr>
      <w:rFonts w:ascii="Times New Roman" w:hAnsi="Times New Roman" w:eastAsia="宋体" w:cs="Times New Roman"/>
      <w:szCs w:val="24"/>
    </w:rPr>
  </w:style>
  <w:style w:type="character" w:customStyle="1" w:styleId="133">
    <w:name w:val="正文文本 Char1"/>
    <w:semiHidden/>
    <w:qFormat/>
    <w:uiPriority w:val="0"/>
    <w:rPr>
      <w:rFonts w:ascii="Times New Roman" w:hAnsi="Times New Roman" w:eastAsia="宋体" w:cs="Times New Roman"/>
      <w:szCs w:val="24"/>
    </w:rPr>
  </w:style>
  <w:style w:type="character" w:customStyle="1" w:styleId="134">
    <w:name w:val="标题 4 Char1"/>
    <w:semiHidden/>
    <w:qFormat/>
    <w:uiPriority w:val="0"/>
    <w:rPr>
      <w:rFonts w:ascii="Cambria" w:hAnsi="Cambria" w:eastAsia="宋体" w:cs="Times New Roman"/>
      <w:b/>
      <w:bCs/>
      <w:kern w:val="2"/>
      <w:sz w:val="28"/>
      <w:szCs w:val="28"/>
    </w:rPr>
  </w:style>
  <w:style w:type="character" w:customStyle="1" w:styleId="135">
    <w:name w:val="表图 Char"/>
    <w:link w:val="136"/>
    <w:qFormat/>
    <w:uiPriority w:val="0"/>
    <w:rPr>
      <w:rFonts w:ascii="宋体" w:hAnsi="宋体"/>
      <w:snapToGrid w:val="0"/>
      <w:sz w:val="28"/>
      <w:szCs w:val="28"/>
    </w:rPr>
  </w:style>
  <w:style w:type="paragraph" w:customStyle="1" w:styleId="136">
    <w:name w:val="表图"/>
    <w:basedOn w:val="1"/>
    <w:link w:val="135"/>
    <w:qFormat/>
    <w:uiPriority w:val="0"/>
    <w:pPr>
      <w:adjustRightInd w:val="0"/>
      <w:snapToGrid w:val="0"/>
      <w:spacing w:line="360" w:lineRule="auto"/>
      <w:ind w:firstLine="560" w:firstLineChars="200"/>
      <w:jc w:val="center"/>
    </w:pPr>
    <w:rPr>
      <w:rFonts w:ascii="宋体" w:hAnsi="宋体" w:eastAsia="宋体" w:cs="Times New Roman"/>
      <w:snapToGrid w:val="0"/>
      <w:kern w:val="0"/>
      <w:sz w:val="28"/>
      <w:szCs w:val="28"/>
    </w:rPr>
  </w:style>
  <w:style w:type="character" w:customStyle="1" w:styleId="137">
    <w:name w:val="报告正文 Char1"/>
    <w:link w:val="138"/>
    <w:qFormat/>
    <w:locked/>
    <w:uiPriority w:val="0"/>
    <w:rPr>
      <w:rFonts w:ascii="宋体" w:hAnsi="宋体"/>
      <w:sz w:val="24"/>
      <w:szCs w:val="24"/>
    </w:rPr>
  </w:style>
  <w:style w:type="paragraph" w:customStyle="1" w:styleId="138">
    <w:name w:val="报告正文"/>
    <w:basedOn w:val="1"/>
    <w:link w:val="137"/>
    <w:qFormat/>
    <w:uiPriority w:val="0"/>
    <w:pPr>
      <w:spacing w:line="360" w:lineRule="auto"/>
      <w:ind w:firstLine="480" w:firstLineChars="200"/>
    </w:pPr>
    <w:rPr>
      <w:rFonts w:ascii="宋体" w:hAnsi="宋体" w:eastAsia="宋体" w:cs="Times New Roman"/>
      <w:kern w:val="0"/>
      <w:sz w:val="24"/>
    </w:rPr>
  </w:style>
  <w:style w:type="character" w:customStyle="1" w:styleId="139">
    <w:name w:val="标题 Char1"/>
    <w:qFormat/>
    <w:uiPriority w:val="0"/>
    <w:rPr>
      <w:rFonts w:ascii="Cambria" w:hAnsi="Cambria" w:eastAsia="宋体" w:cs="Times New Roman"/>
      <w:b/>
      <w:bCs/>
      <w:sz w:val="32"/>
      <w:szCs w:val="32"/>
    </w:rPr>
  </w:style>
  <w:style w:type="character" w:customStyle="1" w:styleId="140">
    <w:name w:val="正文文本 3 Char1"/>
    <w:semiHidden/>
    <w:qFormat/>
    <w:uiPriority w:val="0"/>
    <w:rPr>
      <w:rFonts w:ascii="Times New Roman" w:hAnsi="Times New Roman" w:eastAsia="宋体" w:cs="Times New Roman"/>
      <w:sz w:val="16"/>
      <w:szCs w:val="16"/>
    </w:rPr>
  </w:style>
  <w:style w:type="character" w:customStyle="1" w:styleId="141">
    <w:name w:val="正文cmb Char"/>
    <w:link w:val="142"/>
    <w:qFormat/>
    <w:uiPriority w:val="0"/>
    <w:rPr>
      <w:rFonts w:ascii="宋体" w:hAnsi="宋体"/>
      <w:kern w:val="2"/>
      <w:sz w:val="28"/>
      <w:szCs w:val="24"/>
    </w:rPr>
  </w:style>
  <w:style w:type="paragraph" w:customStyle="1" w:styleId="142">
    <w:name w:val="正文cmb"/>
    <w:basedOn w:val="1"/>
    <w:link w:val="141"/>
    <w:qFormat/>
    <w:uiPriority w:val="0"/>
    <w:pPr>
      <w:spacing w:line="520" w:lineRule="exact"/>
      <w:ind w:firstLine="200" w:firstLineChars="200"/>
      <w:jc w:val="left"/>
    </w:pPr>
    <w:rPr>
      <w:rFonts w:ascii="宋体" w:hAnsi="宋体" w:eastAsia="宋体" w:cs="Times New Roman"/>
      <w:sz w:val="28"/>
    </w:rPr>
  </w:style>
  <w:style w:type="character" w:customStyle="1" w:styleId="143">
    <w:name w:val="表格内容 Char1"/>
    <w:link w:val="144"/>
    <w:qFormat/>
    <w:uiPriority w:val="0"/>
    <w:rPr>
      <w:rFonts w:ascii="Arial" w:hAnsi="Arial" w:eastAsia="仿宋_GB2312"/>
      <w:sz w:val="24"/>
    </w:rPr>
  </w:style>
  <w:style w:type="paragraph" w:customStyle="1" w:styleId="144">
    <w:name w:val="表格内容"/>
    <w:basedOn w:val="1"/>
    <w:link w:val="143"/>
    <w:qFormat/>
    <w:uiPriority w:val="0"/>
    <w:pPr>
      <w:overflowPunct w:val="0"/>
      <w:adjustRightInd w:val="0"/>
      <w:spacing w:before="40" w:after="60" w:line="200" w:lineRule="atLeast"/>
    </w:pPr>
    <w:rPr>
      <w:rFonts w:ascii="Arial" w:hAnsi="Arial" w:eastAsia="仿宋_GB2312" w:cs="Times New Roman"/>
      <w:kern w:val="0"/>
      <w:sz w:val="24"/>
      <w:szCs w:val="20"/>
    </w:rPr>
  </w:style>
  <w:style w:type="character" w:customStyle="1" w:styleId="145">
    <w:name w:val="1级标题 Char"/>
    <w:link w:val="146"/>
    <w:qFormat/>
    <w:uiPriority w:val="0"/>
    <w:rPr>
      <w:rFonts w:ascii="Times New Roman" w:hAnsi="Times New Roman"/>
      <w:b/>
      <w:bCs/>
      <w:kern w:val="2"/>
      <w:sz w:val="32"/>
      <w:szCs w:val="44"/>
    </w:rPr>
  </w:style>
  <w:style w:type="paragraph" w:customStyle="1" w:styleId="146">
    <w:name w:val="1级标题"/>
    <w:basedOn w:val="3"/>
    <w:link w:val="145"/>
    <w:qFormat/>
    <w:uiPriority w:val="0"/>
    <w:pPr>
      <w:pageBreakBefore/>
      <w:adjustRightInd w:val="0"/>
      <w:snapToGrid w:val="0"/>
      <w:spacing w:line="360" w:lineRule="auto"/>
      <w:jc w:val="center"/>
    </w:pPr>
    <w:rPr>
      <w:rFonts w:ascii="Times New Roman" w:hAnsi="Times New Roman"/>
      <w:bCs/>
      <w:kern w:val="2"/>
      <w:sz w:val="32"/>
      <w:szCs w:val="44"/>
      <w:lang w:val="en-US"/>
    </w:rPr>
  </w:style>
  <w:style w:type="character" w:customStyle="1" w:styleId="147">
    <w:name w:val="标准样式 Char"/>
    <w:link w:val="148"/>
    <w:qFormat/>
    <w:locked/>
    <w:uiPriority w:val="99"/>
    <w:rPr>
      <w:sz w:val="28"/>
    </w:rPr>
  </w:style>
  <w:style w:type="paragraph" w:customStyle="1" w:styleId="148">
    <w:name w:val="标准样式"/>
    <w:basedOn w:val="1"/>
    <w:link w:val="147"/>
    <w:qFormat/>
    <w:uiPriority w:val="99"/>
    <w:pPr>
      <w:spacing w:line="600" w:lineRule="exact"/>
      <w:ind w:firstLine="567"/>
    </w:pPr>
    <w:rPr>
      <w:rFonts w:ascii="Calibri" w:hAnsi="Calibri" w:eastAsia="宋体" w:cs="Times New Roman"/>
      <w:kern w:val="0"/>
      <w:sz w:val="28"/>
      <w:szCs w:val="20"/>
    </w:rPr>
  </w:style>
  <w:style w:type="character" w:customStyle="1" w:styleId="149">
    <w:name w:val="正文1 Char"/>
    <w:link w:val="150"/>
    <w:qFormat/>
    <w:uiPriority w:val="0"/>
    <w:rPr>
      <w:rFonts w:ascii="宋体" w:hAnsi="宋体"/>
      <w:snapToGrid w:val="0"/>
      <w:kern w:val="28"/>
      <w:sz w:val="28"/>
      <w:szCs w:val="28"/>
    </w:rPr>
  </w:style>
  <w:style w:type="paragraph" w:customStyle="1" w:styleId="150">
    <w:name w:val="正文1"/>
    <w:basedOn w:val="1"/>
    <w:link w:val="149"/>
    <w:qFormat/>
    <w:uiPriority w:val="0"/>
    <w:pPr>
      <w:adjustRightInd w:val="0"/>
      <w:snapToGrid w:val="0"/>
      <w:spacing w:line="360" w:lineRule="auto"/>
      <w:ind w:firstLine="560" w:firstLineChars="200"/>
    </w:pPr>
    <w:rPr>
      <w:rFonts w:ascii="宋体" w:hAnsi="宋体" w:eastAsia="宋体" w:cs="Times New Roman"/>
      <w:snapToGrid w:val="0"/>
      <w:kern w:val="28"/>
      <w:sz w:val="28"/>
      <w:szCs w:val="28"/>
    </w:rPr>
  </w:style>
  <w:style w:type="character" w:customStyle="1" w:styleId="151">
    <w:name w:val="批注文字 Char1"/>
    <w:semiHidden/>
    <w:qFormat/>
    <w:uiPriority w:val="0"/>
    <w:rPr>
      <w:rFonts w:ascii="Times New Roman" w:hAnsi="Times New Roman" w:eastAsia="宋体" w:cs="Times New Roman"/>
      <w:szCs w:val="24"/>
    </w:rPr>
  </w:style>
  <w:style w:type="character" w:customStyle="1" w:styleId="152">
    <w:name w:val="标题 1 Char1"/>
    <w:qFormat/>
    <w:uiPriority w:val="0"/>
    <w:rPr>
      <w:b/>
      <w:bCs/>
      <w:kern w:val="44"/>
      <w:sz w:val="44"/>
      <w:szCs w:val="44"/>
    </w:rPr>
  </w:style>
  <w:style w:type="character" w:customStyle="1" w:styleId="153">
    <w:name w:val="文档结构图 Char1"/>
    <w:semiHidden/>
    <w:qFormat/>
    <w:uiPriority w:val="0"/>
    <w:rPr>
      <w:rFonts w:ascii="宋体" w:hAnsi="Times New Roman" w:eastAsia="宋体" w:cs="Times New Roman"/>
      <w:sz w:val="18"/>
      <w:szCs w:val="18"/>
    </w:rPr>
  </w:style>
  <w:style w:type="character" w:customStyle="1" w:styleId="154">
    <w:name w:val="纯文本 Char1"/>
    <w:semiHidden/>
    <w:qFormat/>
    <w:uiPriority w:val="99"/>
    <w:rPr>
      <w:rFonts w:ascii="宋体" w:hAnsi="Courier New" w:eastAsia="宋体" w:cs="Courier New"/>
      <w:szCs w:val="21"/>
    </w:rPr>
  </w:style>
  <w:style w:type="character" w:customStyle="1" w:styleId="155">
    <w:name w:val="Char Char11"/>
    <w:qFormat/>
    <w:locked/>
    <w:uiPriority w:val="0"/>
    <w:rPr>
      <w:rFonts w:hint="eastAsia" w:ascii="宋体" w:hAnsi="宋体" w:eastAsia="宋体"/>
      <w:spacing w:val="10"/>
      <w:kern w:val="24"/>
      <w:sz w:val="24"/>
      <w:szCs w:val="24"/>
      <w:lang w:val="en-US" w:eastAsia="zh-CN" w:bidi="ar-SA"/>
    </w:rPr>
  </w:style>
  <w:style w:type="character" w:customStyle="1" w:styleId="156">
    <w:name w:val="样式4 Char"/>
    <w:link w:val="157"/>
    <w:qFormat/>
    <w:uiPriority w:val="0"/>
    <w:rPr>
      <w:rFonts w:ascii="Times New Roman" w:hAnsi="Times New Roman"/>
      <w:b/>
      <w:sz w:val="24"/>
      <w:szCs w:val="26"/>
    </w:rPr>
  </w:style>
  <w:style w:type="paragraph" w:customStyle="1" w:styleId="157">
    <w:name w:val="样式4"/>
    <w:basedOn w:val="158"/>
    <w:link w:val="156"/>
    <w:qFormat/>
    <w:uiPriority w:val="0"/>
    <w:pPr>
      <w:tabs>
        <w:tab w:val="left" w:pos="0"/>
        <w:tab w:val="left" w:pos="142"/>
        <w:tab w:val="left" w:pos="426"/>
        <w:tab w:val="left" w:pos="568"/>
        <w:tab w:val="left" w:pos="3545"/>
      </w:tabs>
      <w:ind w:left="568"/>
    </w:pPr>
    <w:rPr>
      <w:rFonts w:cs="Times New Roman"/>
    </w:rPr>
  </w:style>
  <w:style w:type="paragraph" w:customStyle="1" w:styleId="158">
    <w:name w:val="Title 3"/>
    <w:basedOn w:val="5"/>
    <w:next w:val="1"/>
    <w:qFormat/>
    <w:uiPriority w:val="0"/>
    <w:pPr>
      <w:tabs>
        <w:tab w:val="left" w:pos="0"/>
        <w:tab w:val="left" w:pos="142"/>
        <w:tab w:val="left" w:pos="426"/>
        <w:tab w:val="left" w:pos="3545"/>
      </w:tabs>
      <w:spacing w:before="240" w:after="120" w:line="400" w:lineRule="exact"/>
      <w:ind w:left="426"/>
      <w:jc w:val="left"/>
    </w:pPr>
    <w:rPr>
      <w:rFonts w:cs="Arial"/>
      <w:bCs w:val="0"/>
      <w:sz w:val="24"/>
      <w:szCs w:val="26"/>
    </w:rPr>
  </w:style>
  <w:style w:type="character" w:customStyle="1" w:styleId="159">
    <w:name w:val="正文粗 Char"/>
    <w:qFormat/>
    <w:uiPriority w:val="0"/>
    <w:rPr>
      <w:rFonts w:eastAsia="宋体"/>
      <w:b/>
      <w:sz w:val="24"/>
      <w:lang w:val="en-US" w:eastAsia="zh-CN" w:bidi="ar-SA"/>
    </w:rPr>
  </w:style>
  <w:style w:type="character" w:customStyle="1" w:styleId="160">
    <w:name w:val="apple-converted-space"/>
    <w:basedOn w:val="48"/>
    <w:qFormat/>
    <w:uiPriority w:val="0"/>
  </w:style>
  <w:style w:type="character" w:customStyle="1" w:styleId="161">
    <w:name w:val="正文缩进 Char1"/>
    <w:qFormat/>
    <w:locked/>
    <w:uiPriority w:val="0"/>
    <w:rPr>
      <w:sz w:val="24"/>
    </w:rPr>
  </w:style>
  <w:style w:type="character" w:customStyle="1" w:styleId="162">
    <w:name w:val="2标题 Char"/>
    <w:link w:val="163"/>
    <w:qFormat/>
    <w:uiPriority w:val="0"/>
    <w:rPr>
      <w:rFonts w:ascii="宋体" w:hAnsi="宋体"/>
      <w:b/>
      <w:snapToGrid w:val="0"/>
      <w:kern w:val="2"/>
      <w:sz w:val="28"/>
      <w:szCs w:val="28"/>
    </w:rPr>
  </w:style>
  <w:style w:type="paragraph" w:customStyle="1" w:styleId="163">
    <w:name w:val="2标题"/>
    <w:basedOn w:val="4"/>
    <w:link w:val="162"/>
    <w:qFormat/>
    <w:uiPriority w:val="0"/>
    <w:pPr>
      <w:keepNext w:val="0"/>
      <w:keepLines w:val="0"/>
      <w:adjustRightInd w:val="0"/>
      <w:snapToGrid w:val="0"/>
      <w:spacing w:before="0" w:after="0" w:line="360" w:lineRule="auto"/>
      <w:ind w:firstLine="562" w:firstLineChars="200"/>
    </w:pPr>
    <w:rPr>
      <w:rFonts w:ascii="宋体" w:hAnsi="宋体" w:eastAsia="宋体" w:cs="Times New Roman"/>
      <w:bCs w:val="0"/>
      <w:snapToGrid w:val="0"/>
      <w:sz w:val="28"/>
      <w:szCs w:val="28"/>
    </w:rPr>
  </w:style>
  <w:style w:type="character" w:customStyle="1" w:styleId="164">
    <w:name w:val="正文文本缩进 2 Char1"/>
    <w:semiHidden/>
    <w:qFormat/>
    <w:uiPriority w:val="0"/>
    <w:rPr>
      <w:rFonts w:ascii="Times New Roman" w:hAnsi="Times New Roman" w:eastAsia="宋体" w:cs="Times New Roman"/>
      <w:szCs w:val="24"/>
    </w:rPr>
  </w:style>
  <w:style w:type="character" w:customStyle="1" w:styleId="165">
    <w:name w:val="font11"/>
    <w:basedOn w:val="48"/>
    <w:qFormat/>
    <w:uiPriority w:val="0"/>
    <w:rPr>
      <w:rFonts w:hint="eastAsia" w:ascii="宋体" w:hAnsi="宋体" w:eastAsia="宋体" w:cs="宋体"/>
      <w:color w:val="000000"/>
      <w:sz w:val="20"/>
      <w:szCs w:val="20"/>
      <w:u w:val="none"/>
    </w:rPr>
  </w:style>
  <w:style w:type="paragraph" w:customStyle="1" w:styleId="166">
    <w:name w:val="正文格式"/>
    <w:basedOn w:val="1"/>
    <w:qFormat/>
    <w:uiPriority w:val="0"/>
    <w:pPr>
      <w:spacing w:line="440" w:lineRule="exact"/>
      <w:ind w:firstLine="200" w:firstLineChars="200"/>
    </w:pPr>
    <w:rPr>
      <w:rFonts w:ascii="Times New Roman" w:hAnsi="Times New Roman" w:eastAsia="宋体" w:cs="Times New Roman"/>
      <w:b/>
      <w:sz w:val="24"/>
    </w:rPr>
  </w:style>
  <w:style w:type="paragraph" w:customStyle="1" w:styleId="167">
    <w:name w:val="Adresse"/>
    <w:basedOn w:val="1"/>
    <w:qFormat/>
    <w:uiPriority w:val="0"/>
    <w:pPr>
      <w:widowControl/>
      <w:spacing w:line="240" w:lineRule="atLeast"/>
      <w:jc w:val="left"/>
    </w:pPr>
    <w:rPr>
      <w:rFonts w:ascii="Arial" w:hAnsi="Arial" w:eastAsia="华文细黑" w:cs="Times New Roman"/>
      <w:kern w:val="0"/>
      <w:sz w:val="20"/>
      <w:szCs w:val="20"/>
    </w:rPr>
  </w:style>
  <w:style w:type="paragraph" w:customStyle="1" w:styleId="168">
    <w:name w:val="正文（焦）"/>
    <w:basedOn w:val="21"/>
    <w:qFormat/>
    <w:uiPriority w:val="0"/>
    <w:pPr>
      <w:adjustRightInd w:val="0"/>
      <w:spacing w:after="0" w:line="360" w:lineRule="auto"/>
      <w:ind w:left="0" w:leftChars="0" w:firstLine="200" w:firstLineChars="200"/>
    </w:pPr>
    <w:rPr>
      <w:rFonts w:ascii="宋体" w:hAnsi="宋体"/>
      <w:sz w:val="28"/>
      <w:szCs w:val="28"/>
    </w:rPr>
  </w:style>
  <w:style w:type="paragraph" w:customStyle="1" w:styleId="169">
    <w:name w:val="样式 标题 2 + 首行缩进:  2 字符 行距: 固定值 37 磅"/>
    <w:basedOn w:val="4"/>
    <w:qFormat/>
    <w:uiPriority w:val="0"/>
    <w:pPr>
      <w:spacing w:before="100" w:beforeAutospacing="1" w:after="100" w:afterAutospacing="1" w:line="740" w:lineRule="exact"/>
      <w:ind w:firstLine="562" w:firstLineChars="200"/>
      <w:jc w:val="left"/>
    </w:pPr>
    <w:rPr>
      <w:rFonts w:ascii="Times New Roman" w:hAnsi="Times New Roman" w:eastAsia="黑体" w:cs="Times New Roman"/>
      <w:kern w:val="0"/>
      <w:sz w:val="28"/>
      <w:szCs w:val="20"/>
    </w:rPr>
  </w:style>
  <w:style w:type="paragraph" w:customStyle="1" w:styleId="170">
    <w:name w:val="1A表格样式"/>
    <w:basedOn w:val="1"/>
    <w:qFormat/>
    <w:uiPriority w:val="0"/>
    <w:pPr>
      <w:adjustRightInd w:val="0"/>
      <w:snapToGrid w:val="0"/>
      <w:jc w:val="center"/>
    </w:pPr>
    <w:rPr>
      <w:rFonts w:ascii="宋体" w:hAnsi="宋体" w:eastAsia="宋体" w:cs="Times New Roman"/>
      <w:iCs/>
      <w:kern w:val="0"/>
      <w:sz w:val="21"/>
      <w:szCs w:val="21"/>
    </w:rPr>
  </w:style>
  <w:style w:type="paragraph" w:customStyle="1" w:styleId="171">
    <w:name w:val="表格"/>
    <w:basedOn w:val="1"/>
    <w:qFormat/>
    <w:uiPriority w:val="0"/>
    <w:pPr>
      <w:spacing w:before="50" w:after="50"/>
      <w:jc w:val="center"/>
    </w:pPr>
    <w:rPr>
      <w:rFonts w:ascii="宋体" w:hAnsi="Times New Roman" w:eastAsia="宋体" w:cs="Times New Roman"/>
      <w:sz w:val="21"/>
      <w:szCs w:val="20"/>
    </w:rPr>
  </w:style>
  <w:style w:type="paragraph" w:customStyle="1" w:styleId="172">
    <w:name w:val="Title 2"/>
    <w:basedOn w:val="4"/>
    <w:next w:val="1"/>
    <w:qFormat/>
    <w:uiPriority w:val="0"/>
    <w:pPr>
      <w:keepLines w:val="0"/>
      <w:tabs>
        <w:tab w:val="left" w:pos="0"/>
        <w:tab w:val="left" w:pos="993"/>
      </w:tabs>
      <w:spacing w:before="300" w:after="120" w:line="400" w:lineRule="exact"/>
      <w:ind w:left="993"/>
    </w:pPr>
    <w:rPr>
      <w:rFonts w:ascii="宋体" w:hAnsi="宋体" w:eastAsia="宋体" w:cs="Arial"/>
      <w:bCs w:val="0"/>
      <w:kern w:val="0"/>
      <w:sz w:val="28"/>
      <w:szCs w:val="22"/>
    </w:rPr>
  </w:style>
  <w:style w:type="paragraph" w:customStyle="1" w:styleId="173">
    <w:name w:val="一号 加粗"/>
    <w:basedOn w:val="1"/>
    <w:qFormat/>
    <w:uiPriority w:val="0"/>
    <w:pPr>
      <w:adjustRightInd w:val="0"/>
      <w:snapToGrid w:val="0"/>
      <w:spacing w:line="360" w:lineRule="auto"/>
      <w:jc w:val="center"/>
    </w:pPr>
    <w:rPr>
      <w:rFonts w:ascii="宋体" w:hAnsi="宋体" w:eastAsia="宋体" w:cs="宋体"/>
      <w:b/>
      <w:bCs/>
      <w:color w:val="000000"/>
      <w:kern w:val="0"/>
      <w:sz w:val="52"/>
      <w:szCs w:val="20"/>
    </w:rPr>
  </w:style>
  <w:style w:type="paragraph" w:customStyle="1" w:styleId="174">
    <w:name w:val="样式 样式 样式 (符号) 宋体 14 磅 行距: 1.5 倍行距 首行缩进:  2 字符 + 首行缩进:  2 字符 + 首行..."/>
    <w:basedOn w:val="1"/>
    <w:qFormat/>
    <w:uiPriority w:val="0"/>
    <w:pPr>
      <w:spacing w:line="400" w:lineRule="exact"/>
      <w:ind w:firstLine="200" w:firstLineChars="200"/>
    </w:pPr>
    <w:rPr>
      <w:rFonts w:ascii="Times New Roman" w:hAnsi="宋体" w:eastAsia="宋体" w:cs="宋体"/>
      <w:sz w:val="24"/>
      <w:szCs w:val="20"/>
    </w:rPr>
  </w:style>
  <w:style w:type="paragraph" w:customStyle="1" w:styleId="175">
    <w:name w:val="Title 5"/>
    <w:basedOn w:val="7"/>
    <w:next w:val="1"/>
    <w:qFormat/>
    <w:uiPriority w:val="0"/>
    <w:pPr>
      <w:widowControl/>
      <w:tabs>
        <w:tab w:val="left" w:pos="0"/>
        <w:tab w:val="left" w:pos="1008"/>
      </w:tabs>
      <w:spacing w:before="240" w:after="240" w:line="240" w:lineRule="auto"/>
      <w:jc w:val="left"/>
    </w:pPr>
    <w:rPr>
      <w:rFonts w:ascii="Arial" w:hAnsi="Arial" w:eastAsia="华文细黑"/>
      <w:b w:val="0"/>
      <w:bCs w:val="0"/>
      <w:kern w:val="0"/>
      <w:sz w:val="20"/>
      <w:szCs w:val="26"/>
    </w:rPr>
  </w:style>
  <w:style w:type="paragraph" w:customStyle="1" w:styleId="176">
    <w:name w:val="表内字"/>
    <w:qFormat/>
    <w:uiPriority w:val="0"/>
    <w:pPr>
      <w:spacing w:line="320" w:lineRule="exact"/>
      <w:jc w:val="center"/>
    </w:pPr>
    <w:rPr>
      <w:rFonts w:ascii="Times New Roman" w:hAnsi="Times New Roman" w:eastAsia="宋体" w:cs="Times New Roman"/>
      <w:kern w:val="2"/>
      <w:sz w:val="21"/>
      <w:lang w:val="en-US" w:eastAsia="zh-CN" w:bidi="ar-SA"/>
    </w:rPr>
  </w:style>
  <w:style w:type="paragraph" w:customStyle="1" w:styleId="177">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78">
    <w:name w:val="Default Char Char"/>
    <w:link w:val="2"/>
    <w:qFormat/>
    <w:uiPriority w:val="0"/>
    <w:rPr>
      <w:rFonts w:ascii="仿宋_GB2312" w:eastAsia="仿宋_GB2312" w:cs="仿宋_GB2312"/>
      <w:color w:val="000000"/>
      <w:sz w:val="24"/>
      <w:szCs w:val="24"/>
    </w:rPr>
  </w:style>
  <w:style w:type="paragraph" w:customStyle="1" w:styleId="179">
    <w:name w:val="样式 标题 1H1一级标题(章)一级标题l1第一章1.书名标题 1 Char Char Char Char Ch...5"/>
    <w:basedOn w:val="3"/>
    <w:qFormat/>
    <w:uiPriority w:val="0"/>
    <w:pPr>
      <w:spacing w:before="340" w:beforeLines="50" w:after="330" w:afterLines="50" w:line="360" w:lineRule="auto"/>
      <w:jc w:val="center"/>
    </w:pPr>
    <w:rPr>
      <w:rFonts w:ascii="Times New Roman" w:hAnsi="Times New Roman" w:eastAsia="黑体"/>
      <w:bCs/>
      <w:spacing w:val="-4"/>
      <w:kern w:val="2"/>
      <w:sz w:val="32"/>
      <w:szCs w:val="32"/>
      <w:lang w:val="en-US"/>
    </w:rPr>
  </w:style>
  <w:style w:type="paragraph" w:customStyle="1" w:styleId="180">
    <w:name w:val="正文(首行缩进)"/>
    <w:basedOn w:val="1"/>
    <w:qFormat/>
    <w:uiPriority w:val="0"/>
    <w:pPr>
      <w:tabs>
        <w:tab w:val="left" w:pos="4584"/>
      </w:tabs>
      <w:adjustRightInd w:val="0"/>
      <w:spacing w:beforeLines="50" w:line="560" w:lineRule="exact"/>
      <w:ind w:firstLine="600" w:firstLineChars="200"/>
    </w:pPr>
    <w:rPr>
      <w:rFonts w:ascii="宋体" w:hAnsi="宋体" w:eastAsia="宋体" w:cs="Times New Roman"/>
      <w:snapToGrid w:val="0"/>
      <w:spacing w:val="10"/>
      <w:kern w:val="0"/>
      <w:sz w:val="28"/>
      <w:szCs w:val="20"/>
    </w:rPr>
  </w:style>
  <w:style w:type="paragraph" w:customStyle="1" w:styleId="181">
    <w:name w:val="WPSOffice手动目录 1"/>
    <w:qFormat/>
    <w:uiPriority w:val="0"/>
    <w:rPr>
      <w:rFonts w:ascii="Times New Roman" w:hAnsi="Times New Roman" w:eastAsia="宋体" w:cs="Times New Roman"/>
      <w:lang w:val="en-US" w:eastAsia="zh-CN" w:bidi="ar-SA"/>
    </w:rPr>
  </w:style>
  <w:style w:type="paragraph" w:customStyle="1" w:styleId="182">
    <w:name w:val="表题"/>
    <w:basedOn w:val="1"/>
    <w:next w:val="1"/>
    <w:qFormat/>
    <w:uiPriority w:val="0"/>
    <w:pPr>
      <w:widowControl/>
      <w:overflowPunct w:val="0"/>
      <w:autoSpaceDE w:val="0"/>
      <w:autoSpaceDN w:val="0"/>
      <w:adjustRightInd w:val="0"/>
      <w:spacing w:before="120" w:after="60" w:line="360" w:lineRule="auto"/>
      <w:jc w:val="center"/>
      <w:textAlignment w:val="baseline"/>
    </w:pPr>
    <w:rPr>
      <w:rFonts w:ascii="Times New Roman" w:hAnsi="Times New Roman" w:eastAsia="宋体" w:cs="Times New Roman"/>
      <w:b/>
      <w:kern w:val="0"/>
      <w:sz w:val="21"/>
      <w:szCs w:val="20"/>
      <w:lang w:val="en-GB"/>
    </w:rPr>
  </w:style>
  <w:style w:type="paragraph" w:customStyle="1" w:styleId="183">
    <w:name w:val="xl40"/>
    <w:basedOn w:val="1"/>
    <w:qFormat/>
    <w:uiPriority w:val="0"/>
    <w:pPr>
      <w:widowControl/>
      <w:pBdr>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84">
    <w:name w:val="p0"/>
    <w:basedOn w:val="1"/>
    <w:qFormat/>
    <w:uiPriority w:val="0"/>
    <w:pPr>
      <w:widowControl/>
      <w:ind w:firstLine="420"/>
      <w:jc w:val="left"/>
    </w:pPr>
    <w:rPr>
      <w:rFonts w:ascii="Times New Roman" w:hAnsi="Times New Roman" w:eastAsia="宋体" w:cs="Times New Roman"/>
      <w:kern w:val="0"/>
      <w:sz w:val="20"/>
      <w:szCs w:val="20"/>
    </w:rPr>
  </w:style>
  <w:style w:type="paragraph" w:customStyle="1" w:styleId="185">
    <w:name w:val="Title 1"/>
    <w:basedOn w:val="3"/>
    <w:next w:val="1"/>
    <w:qFormat/>
    <w:uiPriority w:val="0"/>
    <w:pPr>
      <w:pageBreakBefore/>
      <w:tabs>
        <w:tab w:val="left" w:pos="0"/>
        <w:tab w:val="left" w:pos="3545"/>
      </w:tabs>
      <w:spacing w:before="480" w:after="360" w:line="240" w:lineRule="auto"/>
      <w:ind w:left="3545"/>
      <w:jc w:val="center"/>
    </w:pPr>
    <w:rPr>
      <w:rFonts w:ascii="Times New Roman" w:hAnsi="Times New Roman" w:cs="Arial"/>
      <w:kern w:val="0"/>
      <w:sz w:val="32"/>
      <w:szCs w:val="20"/>
      <w:lang w:val="en-US"/>
    </w:rPr>
  </w:style>
  <w:style w:type="paragraph" w:customStyle="1" w:styleId="186">
    <w:name w:val="附录标识"/>
    <w:basedOn w:val="1"/>
    <w:qFormat/>
    <w:uiPriority w:val="0"/>
    <w:pPr>
      <w:widowControl/>
      <w:shd w:val="clear" w:color="FFFFFF" w:fill="FFFFFF"/>
      <w:tabs>
        <w:tab w:val="left" w:pos="420"/>
        <w:tab w:val="left" w:pos="6405"/>
      </w:tabs>
      <w:spacing w:before="640" w:after="200"/>
      <w:ind w:left="420" w:hanging="420"/>
      <w:jc w:val="center"/>
      <w:outlineLvl w:val="0"/>
    </w:pPr>
    <w:rPr>
      <w:rFonts w:ascii="黑体" w:hAnsi="Times New Roman" w:eastAsia="黑体" w:cs="Times New Roman"/>
      <w:kern w:val="0"/>
      <w:sz w:val="21"/>
      <w:szCs w:val="20"/>
    </w:rPr>
  </w:style>
  <w:style w:type="paragraph" w:customStyle="1" w:styleId="187">
    <w:name w:val="p18"/>
    <w:basedOn w:val="1"/>
    <w:qFormat/>
    <w:uiPriority w:val="0"/>
    <w:pPr>
      <w:widowControl/>
    </w:pPr>
    <w:rPr>
      <w:rFonts w:ascii="宋体" w:hAnsi="宋体" w:eastAsia="宋体" w:cs="宋体"/>
      <w:kern w:val="0"/>
      <w:sz w:val="21"/>
      <w:szCs w:val="21"/>
    </w:rPr>
  </w:style>
  <w:style w:type="paragraph" w:customStyle="1" w:styleId="188">
    <w:name w:val="表内单行"/>
    <w:basedOn w:val="1"/>
    <w:qFormat/>
    <w:uiPriority w:val="0"/>
    <w:pPr>
      <w:adjustRightInd w:val="0"/>
      <w:snapToGrid w:val="0"/>
      <w:jc w:val="center"/>
    </w:pPr>
    <w:rPr>
      <w:rFonts w:hint="eastAsia" w:ascii="宋体" w:hAnsi="宋体" w:eastAsia="宋体" w:cs="Times New Roman"/>
      <w:color w:val="000000"/>
      <w:sz w:val="21"/>
      <w:szCs w:val="20"/>
    </w:rPr>
  </w:style>
  <w:style w:type="paragraph" w:customStyle="1" w:styleId="189">
    <w:name w:val="样式 四号"/>
    <w:basedOn w:val="1"/>
    <w:qFormat/>
    <w:uiPriority w:val="0"/>
    <w:pPr>
      <w:ind w:firstLine="560" w:firstLineChars="200"/>
    </w:pPr>
    <w:rPr>
      <w:rFonts w:ascii="Times New Roman" w:hAnsi="Times New Roman" w:eastAsia="宋体" w:cs="宋体"/>
      <w:sz w:val="28"/>
      <w:szCs w:val="20"/>
    </w:rPr>
  </w:style>
  <w:style w:type="paragraph" w:customStyle="1" w:styleId="190">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lang w:eastAsia="en-US"/>
    </w:rPr>
  </w:style>
  <w:style w:type="paragraph" w:customStyle="1" w:styleId="191">
    <w:name w:val="[내용] 1."/>
    <w:basedOn w:val="1"/>
    <w:qFormat/>
    <w:uiPriority w:val="0"/>
    <w:pPr>
      <w:wordWrap w:val="0"/>
      <w:adjustRightInd w:val="0"/>
      <w:spacing w:after="120" w:line="360" w:lineRule="atLeast"/>
      <w:ind w:left="1135" w:right="284" w:hanging="284"/>
      <w:jc w:val="left"/>
      <w:textAlignment w:val="baseline"/>
    </w:pPr>
    <w:rPr>
      <w:rFonts w:ascii="Times New Roman" w:hAnsi="Times New Roman" w:eastAsia="BatangChe" w:cs="Times New Roman"/>
      <w:color w:val="000000"/>
      <w:kern w:val="0"/>
      <w:sz w:val="22"/>
      <w:szCs w:val="20"/>
      <w:lang w:eastAsia="ko-KR"/>
    </w:rPr>
  </w:style>
  <w:style w:type="paragraph" w:customStyle="1" w:styleId="192">
    <w:name w:val="样式 标题 3三级标题h3th标题 3条标题 3 Char + 小四 段前: 0 磅 段后: 0 磅 行距: 1...1"/>
    <w:basedOn w:val="5"/>
    <w:qFormat/>
    <w:uiPriority w:val="0"/>
    <w:pPr>
      <w:spacing w:before="0" w:after="0" w:line="360" w:lineRule="auto"/>
    </w:pPr>
    <w:rPr>
      <w:rFonts w:eastAsia="楷体_GB2312" w:cs="宋体"/>
      <w:sz w:val="24"/>
      <w:szCs w:val="20"/>
    </w:rPr>
  </w:style>
  <w:style w:type="paragraph" w:customStyle="1" w:styleId="193">
    <w:name w:val="Title 4"/>
    <w:basedOn w:val="6"/>
    <w:next w:val="1"/>
    <w:qFormat/>
    <w:uiPriority w:val="0"/>
    <w:pPr>
      <w:widowControl/>
      <w:tabs>
        <w:tab w:val="left" w:pos="0"/>
        <w:tab w:val="left" w:pos="1418"/>
        <w:tab w:val="left" w:pos="3545"/>
      </w:tabs>
      <w:spacing w:before="120" w:after="0" w:line="400" w:lineRule="exact"/>
      <w:jc w:val="left"/>
    </w:pPr>
    <w:rPr>
      <w:rFonts w:ascii="宋体" w:hAnsi="宋体" w:eastAsia="宋体" w:cs="Arial"/>
      <w:b w:val="0"/>
      <w:sz w:val="24"/>
      <w:szCs w:val="24"/>
    </w:rPr>
  </w:style>
  <w:style w:type="paragraph" w:customStyle="1" w:styleId="194">
    <w:name w:val="美高4号居中"/>
    <w:basedOn w:val="1"/>
    <w:qFormat/>
    <w:uiPriority w:val="0"/>
    <w:pPr>
      <w:adjustRightInd w:val="0"/>
      <w:snapToGrid w:val="0"/>
      <w:spacing w:line="360" w:lineRule="auto"/>
      <w:jc w:val="center"/>
    </w:pPr>
    <w:rPr>
      <w:rFonts w:ascii="宋体" w:hAnsi="宋体" w:eastAsia="宋体" w:cs="宋体"/>
      <w:color w:val="000000"/>
      <w:kern w:val="0"/>
      <w:sz w:val="28"/>
      <w:szCs w:val="20"/>
    </w:rPr>
  </w:style>
  <w:style w:type="paragraph" w:customStyle="1" w:styleId="195">
    <w:name w:val="Char Char Char Char1"/>
    <w:basedOn w:val="1"/>
    <w:next w:val="1"/>
    <w:qFormat/>
    <w:uiPriority w:val="0"/>
    <w:pPr>
      <w:spacing w:line="360" w:lineRule="auto"/>
      <w:ind w:firstLine="200" w:firstLineChars="200"/>
    </w:pPr>
    <w:rPr>
      <w:rFonts w:ascii="Times New Roman" w:hAnsi="Times New Roman" w:eastAsia="宋体" w:cs="Times New Roman"/>
      <w:sz w:val="21"/>
    </w:rPr>
  </w:style>
  <w:style w:type="paragraph" w:customStyle="1" w:styleId="196">
    <w:name w:val="zw"/>
    <w:basedOn w:val="1"/>
    <w:qFormat/>
    <w:uiPriority w:val="0"/>
    <w:pPr>
      <w:widowControl/>
      <w:spacing w:before="100" w:beforeAutospacing="1" w:after="100" w:afterAutospacing="1" w:line="440" w:lineRule="atLeast"/>
      <w:jc w:val="left"/>
    </w:pPr>
    <w:rPr>
      <w:rFonts w:ascii="宋体" w:hAnsi="宋体" w:eastAsia="宋体" w:cs="宋体"/>
      <w:kern w:val="0"/>
      <w:sz w:val="22"/>
      <w:szCs w:val="22"/>
    </w:rPr>
  </w:style>
  <w:style w:type="paragraph" w:customStyle="1" w:styleId="197">
    <w:name w:val="样式 样式 标题 2二级标题标题 lxb2二级标题 Char标题 2 Char1标题 2 Char Char标题 2 Ch......2"/>
    <w:basedOn w:val="1"/>
    <w:qFormat/>
    <w:uiPriority w:val="0"/>
    <w:pPr>
      <w:keepNext/>
      <w:keepLines/>
      <w:spacing w:line="360" w:lineRule="auto"/>
      <w:outlineLvl w:val="1"/>
    </w:pPr>
    <w:rPr>
      <w:rFonts w:ascii="Times New Roman" w:hAnsi="Times New Roman" w:eastAsia="黑体" w:cs="宋体"/>
      <w:b/>
      <w:bCs/>
      <w:spacing w:val="-2"/>
      <w:sz w:val="24"/>
      <w:szCs w:val="20"/>
    </w:rPr>
  </w:style>
  <w:style w:type="paragraph" w:customStyle="1" w:styleId="19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99">
    <w:name w:val="1A李加洪"/>
    <w:basedOn w:val="1"/>
    <w:qFormat/>
    <w:uiPriority w:val="0"/>
    <w:pPr>
      <w:adjustRightInd w:val="0"/>
      <w:snapToGrid w:val="0"/>
      <w:spacing w:line="360" w:lineRule="auto"/>
      <w:ind w:firstLine="560" w:firstLineChars="200"/>
    </w:pPr>
    <w:rPr>
      <w:rFonts w:ascii="宋体" w:hAnsi="宋体" w:eastAsia="宋体" w:cs="宋体"/>
      <w:sz w:val="28"/>
      <w:szCs w:val="28"/>
    </w:rPr>
  </w:style>
  <w:style w:type="paragraph" w:customStyle="1" w:styleId="20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201">
    <w:name w:val="样式 左 首行缩进:  1.01 厘米"/>
    <w:basedOn w:val="1"/>
    <w:qFormat/>
    <w:uiPriority w:val="0"/>
    <w:pPr>
      <w:adjustRightInd w:val="0"/>
      <w:snapToGrid w:val="0"/>
      <w:spacing w:line="460" w:lineRule="exact"/>
      <w:ind w:firstLine="200" w:firstLineChars="200"/>
    </w:pPr>
    <w:rPr>
      <w:rFonts w:ascii="Times New Roman" w:hAnsi="Times New Roman" w:eastAsia="宋体" w:cs="宋体"/>
      <w:sz w:val="26"/>
      <w:szCs w:val="26"/>
    </w:rPr>
  </w:style>
  <w:style w:type="paragraph" w:customStyle="1" w:styleId="202">
    <w:name w:val="TOC 标题1"/>
    <w:basedOn w:val="3"/>
    <w:next w:val="1"/>
    <w:qFormat/>
    <w:uiPriority w:val="39"/>
    <w:pPr>
      <w:widowControl/>
      <w:spacing w:before="480" w:line="276" w:lineRule="auto"/>
      <w:jc w:val="left"/>
      <w:outlineLvl w:val="9"/>
    </w:pPr>
    <w:rPr>
      <w:rFonts w:ascii="Cambria" w:hAnsi="Cambria"/>
      <w:bCs/>
      <w:color w:val="365F91"/>
      <w:kern w:val="0"/>
      <w:sz w:val="28"/>
      <w:szCs w:val="28"/>
      <w:lang w:val="en-US"/>
    </w:rPr>
  </w:style>
  <w:style w:type="paragraph" w:customStyle="1" w:styleId="203">
    <w:name w:val="Char Char Char Char Char Char Char"/>
    <w:basedOn w:val="1"/>
    <w:qFormat/>
    <w:uiPriority w:val="0"/>
    <w:rPr>
      <w:rFonts w:ascii="Times New Roman" w:hAnsi="Times New Roman" w:eastAsia="宋体" w:cs="Times New Roman"/>
      <w:sz w:val="21"/>
    </w:rPr>
  </w:style>
  <w:style w:type="paragraph" w:customStyle="1" w:styleId="204">
    <w:name w:val="正文 首行缩进:  2 字符"/>
    <w:basedOn w:val="1"/>
    <w:qFormat/>
    <w:uiPriority w:val="0"/>
    <w:pPr>
      <w:adjustRightInd w:val="0"/>
      <w:snapToGrid w:val="0"/>
      <w:spacing w:line="360" w:lineRule="auto"/>
      <w:ind w:firstLine="420" w:firstLineChars="200"/>
    </w:pPr>
    <w:rPr>
      <w:rFonts w:ascii="宋体" w:hAnsi="宋体" w:eastAsia="宋体" w:cs="Times New Roman"/>
      <w:sz w:val="28"/>
      <w:szCs w:val="20"/>
    </w:rPr>
  </w:style>
  <w:style w:type="paragraph" w:customStyle="1" w:styleId="205">
    <w:name w:val="Char"/>
    <w:basedOn w:val="1"/>
    <w:qFormat/>
    <w:uiPriority w:val="0"/>
    <w:rPr>
      <w:rFonts w:ascii="Times New Roman" w:hAnsi="Times New Roman" w:eastAsia="宋体" w:cs="Times New Roman"/>
      <w:sz w:val="21"/>
      <w:szCs w:val="21"/>
    </w:rPr>
  </w:style>
  <w:style w:type="paragraph" w:styleId="206">
    <w:name w:val="List Paragraph"/>
    <w:basedOn w:val="1"/>
    <w:qFormat/>
    <w:uiPriority w:val="34"/>
    <w:pPr>
      <w:ind w:firstLine="420" w:firstLineChars="200"/>
    </w:pPr>
    <w:rPr>
      <w:rFonts w:ascii="Times New Roman" w:hAnsi="Times New Roman" w:eastAsia="宋体" w:cs="Times New Roman"/>
      <w:sz w:val="21"/>
    </w:rPr>
  </w:style>
  <w:style w:type="paragraph" w:customStyle="1" w:styleId="207">
    <w:name w:val="正文宋体 四号 + 首行缩进:  2 字符 + 首行缩进:  2 字符 + 首行缩进:  2 字符 + ..."/>
    <w:basedOn w:val="1"/>
    <w:qFormat/>
    <w:uiPriority w:val="0"/>
    <w:pPr>
      <w:keepNext/>
      <w:widowControl/>
      <w:autoSpaceDE w:val="0"/>
      <w:autoSpaceDN w:val="0"/>
      <w:spacing w:line="560" w:lineRule="exact"/>
      <w:ind w:firstLine="200" w:firstLineChars="200"/>
      <w:textAlignment w:val="baseline"/>
    </w:pPr>
    <w:rPr>
      <w:rFonts w:ascii="宋体" w:hAnsi="宋体" w:eastAsia="宋体" w:cs="宋体"/>
      <w:sz w:val="28"/>
      <w:szCs w:val="20"/>
    </w:rPr>
  </w:style>
  <w:style w:type="paragraph" w:customStyle="1" w:styleId="208">
    <w:name w:val="xl36"/>
    <w:basedOn w:val="1"/>
    <w:qFormat/>
    <w:uiPriority w:val="0"/>
    <w:pPr>
      <w:widowControl/>
      <w:pBdr>
        <w:left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 w:val="24"/>
    </w:rPr>
  </w:style>
  <w:style w:type="table" w:customStyle="1" w:styleId="209">
    <w:name w:val="网格型3"/>
    <w:basedOn w:val="55"/>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10">
    <w:name w:val="样式 标题 1 + 居中"/>
    <w:basedOn w:val="3"/>
    <w:next w:val="15"/>
    <w:qFormat/>
    <w:uiPriority w:val="0"/>
    <w:pPr>
      <w:adjustRightInd w:val="0"/>
      <w:snapToGrid w:val="0"/>
      <w:spacing w:after="240" w:line="360" w:lineRule="auto"/>
      <w:jc w:val="center"/>
    </w:pPr>
    <w:rPr>
      <w:rFonts w:ascii="宋体" w:hAnsi="宋体" w:eastAsia="黑体" w:cs="宋体"/>
      <w:bCs/>
      <w:sz w:val="30"/>
      <w:szCs w:val="20"/>
      <w:lang w:val="en-US"/>
    </w:rPr>
  </w:style>
  <w:style w:type="paragraph" w:customStyle="1" w:styleId="211">
    <w:name w:val="缩进正文"/>
    <w:basedOn w:val="21"/>
    <w:qFormat/>
    <w:uiPriority w:val="0"/>
    <w:pPr>
      <w:adjustRightInd w:val="0"/>
      <w:snapToGrid w:val="0"/>
      <w:spacing w:after="0" w:line="300" w:lineRule="auto"/>
      <w:ind w:left="0" w:leftChars="0" w:firstLine="200" w:firstLineChars="200"/>
    </w:pPr>
    <w:rPr>
      <w:rFonts w:ascii="宋体" w:hAnsi="宋体"/>
      <w:kern w:val="2"/>
      <w:sz w:val="21"/>
      <w:szCs w:val="20"/>
    </w:rPr>
  </w:style>
  <w:style w:type="paragraph" w:customStyle="1" w:styleId="212">
    <w:name w:val="xl59"/>
    <w:basedOn w:val="1"/>
    <w:qFormat/>
    <w:uiPriority w:val="0"/>
    <w:pPr>
      <w:widowControl/>
      <w:pBdr>
        <w:bottom w:val="single" w:color="auto" w:sz="8" w:space="0"/>
        <w:right w:val="single" w:color="000000" w:sz="8" w:space="0"/>
      </w:pBdr>
      <w:spacing w:before="100" w:beforeAutospacing="1" w:after="100" w:afterAutospacing="1"/>
      <w:textAlignment w:val="top"/>
    </w:pPr>
    <w:rPr>
      <w:rFonts w:ascii="Arial Unicode MS" w:hAnsi="Arial Unicode MS" w:eastAsia="Arial Unicode MS" w:cs="Courier New"/>
      <w:kern w:val="0"/>
      <w:sz w:val="21"/>
      <w:szCs w:val="21"/>
    </w:rPr>
  </w:style>
  <w:style w:type="paragraph" w:customStyle="1" w:styleId="213">
    <w:name w:val="目录"/>
    <w:basedOn w:val="1"/>
    <w:qFormat/>
    <w:uiPriority w:val="0"/>
    <w:pPr>
      <w:adjustRightInd w:val="0"/>
      <w:snapToGrid w:val="0"/>
      <w:spacing w:line="360" w:lineRule="auto"/>
      <w:jc w:val="center"/>
    </w:pPr>
    <w:rPr>
      <w:rFonts w:ascii="宋体" w:hAnsi="宋体" w:eastAsia="宋体" w:cs="Times New Roman"/>
      <w:b/>
      <w:sz w:val="24"/>
    </w:rPr>
  </w:style>
  <w:style w:type="paragraph" w:customStyle="1" w:styleId="214">
    <w:name w:val="格式正文"/>
    <w:basedOn w:val="1"/>
    <w:qFormat/>
    <w:uiPriority w:val="0"/>
    <w:pPr>
      <w:ind w:firstLine="560" w:firstLineChars="200"/>
    </w:pPr>
    <w:rPr>
      <w:rFonts w:ascii="宋体" w:hAnsi="宋体" w:eastAsia="宋体" w:cs="Times New Roman"/>
      <w:kern w:val="24"/>
      <w:sz w:val="21"/>
      <w:szCs w:val="21"/>
    </w:rPr>
  </w:style>
  <w:style w:type="paragraph" w:customStyle="1" w:styleId="215">
    <w:name w:val="样式134"/>
    <w:basedOn w:val="1"/>
    <w:qFormat/>
    <w:uiPriority w:val="0"/>
    <w:rPr>
      <w:rFonts w:ascii="宋体" w:hAnsi="宋体" w:eastAsia="宋体" w:cs="Times New Roman"/>
      <w:sz w:val="21"/>
    </w:rPr>
  </w:style>
  <w:style w:type="paragraph" w:customStyle="1" w:styleId="216">
    <w:name w:val="xl25"/>
    <w:basedOn w:val="1"/>
    <w:qFormat/>
    <w:uiPriority w:val="0"/>
    <w:pPr>
      <w:widowControl/>
      <w:spacing w:before="100" w:beforeAutospacing="1" w:after="100" w:afterAutospacing="1"/>
      <w:jc w:val="center"/>
    </w:pPr>
    <w:rPr>
      <w:rFonts w:ascii="Arial Unicode MS" w:hAnsi="Arial Unicode MS" w:eastAsia="Arial Unicode MS" w:cs="Times New Roman"/>
      <w:kern w:val="0"/>
      <w:sz w:val="24"/>
    </w:rPr>
  </w:style>
  <w:style w:type="paragraph" w:customStyle="1" w:styleId="217">
    <w:name w:val="font31"/>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18">
    <w:name w:val="节标题"/>
    <w:basedOn w:val="1"/>
    <w:next w:val="1"/>
    <w:qFormat/>
    <w:uiPriority w:val="0"/>
    <w:pPr>
      <w:widowControl/>
      <w:spacing w:line="289" w:lineRule="atLeast"/>
      <w:jc w:val="center"/>
      <w:textAlignment w:val="baseline"/>
    </w:pPr>
    <w:rPr>
      <w:rFonts w:ascii="宋体" w:hAnsi="宋体" w:eastAsia="宋体" w:cs="Times New Roman"/>
      <w:color w:val="000000"/>
      <w:kern w:val="0"/>
      <w:sz w:val="21"/>
      <w:szCs w:val="20"/>
      <w:u w:color="000000"/>
    </w:rPr>
  </w:style>
  <w:style w:type="paragraph" w:customStyle="1" w:styleId="219">
    <w:name w:val="表"/>
    <w:basedOn w:val="1"/>
    <w:qFormat/>
    <w:uiPriority w:val="0"/>
    <w:pPr>
      <w:spacing w:line="300" w:lineRule="auto"/>
    </w:pPr>
    <w:rPr>
      <w:rFonts w:ascii="宋体" w:hAnsi="宋体" w:eastAsia="仿宋_GB2312" w:cs="Times New Roman"/>
      <w:bCs/>
      <w:sz w:val="24"/>
    </w:rPr>
  </w:style>
  <w:style w:type="paragraph" w:customStyle="1" w:styleId="220">
    <w:name w:val="Char1 Char Char Char Char Char Char Char Char Char Char Char Char"/>
    <w:basedOn w:val="1"/>
    <w:qFormat/>
    <w:uiPriority w:val="0"/>
    <w:pPr>
      <w:spacing w:beforeLines="100" w:afterLines="50" w:line="600" w:lineRule="exact"/>
      <w:ind w:firstLine="200" w:firstLineChars="200"/>
    </w:pPr>
    <w:rPr>
      <w:rFonts w:ascii="宋体" w:hAnsi="宋体" w:eastAsia="黑体" w:cs="Times New Roman"/>
      <w:sz w:val="21"/>
    </w:rPr>
  </w:style>
  <w:style w:type="character" w:customStyle="1" w:styleId="221">
    <w:name w:val="Char Char7"/>
    <w:qFormat/>
    <w:uiPriority w:val="0"/>
    <w:rPr>
      <w:rFonts w:eastAsia="宋体"/>
      <w:kern w:val="2"/>
      <w:sz w:val="18"/>
      <w:szCs w:val="18"/>
      <w:lang w:val="en-US" w:eastAsia="zh-CN" w:bidi="ar-SA"/>
    </w:rPr>
  </w:style>
  <w:style w:type="character" w:customStyle="1" w:styleId="222">
    <w:name w:val="页眉00 Char Char"/>
    <w:qFormat/>
    <w:uiPriority w:val="0"/>
    <w:rPr>
      <w:rFonts w:eastAsia="宋体"/>
      <w:kern w:val="2"/>
      <w:sz w:val="18"/>
      <w:szCs w:val="18"/>
      <w:lang w:val="en-US" w:eastAsia="zh-CN" w:bidi="ar-SA"/>
    </w:rPr>
  </w:style>
  <w:style w:type="paragraph" w:customStyle="1" w:styleId="223">
    <w:name w:val="Char Char3 Char Char Char Char"/>
    <w:basedOn w:val="1"/>
    <w:qFormat/>
    <w:uiPriority w:val="0"/>
    <w:pPr>
      <w:widowControl/>
      <w:adjustRightInd w:val="0"/>
      <w:snapToGrid w:val="0"/>
      <w:spacing w:before="156" w:beforeLines="50" w:after="160" w:line="240" w:lineRule="exact"/>
      <w:ind w:firstLine="480" w:firstLineChars="200"/>
      <w:jc w:val="left"/>
    </w:pPr>
    <w:rPr>
      <w:rFonts w:ascii="宋体" w:hAnsi="宋体" w:eastAsia="宋体" w:cs="Times New Roman"/>
      <w:kern w:val="0"/>
      <w:sz w:val="24"/>
      <w:szCs w:val="20"/>
    </w:rPr>
  </w:style>
  <w:style w:type="character" w:customStyle="1" w:styleId="224">
    <w:name w:val="正文（首行缩进两字） Char Char Char Char Char Char Char Char Char Char Char Char Char Char Char Char Char Char Char Char Char"/>
    <w:qFormat/>
    <w:uiPriority w:val="0"/>
    <w:rPr>
      <w:rFonts w:eastAsia="宋体"/>
      <w:kern w:val="2"/>
      <w:sz w:val="28"/>
      <w:szCs w:val="24"/>
      <w:lang w:val="en-US" w:eastAsia="zh-CN" w:bidi="ar-SA"/>
    </w:rPr>
  </w:style>
  <w:style w:type="character" w:customStyle="1" w:styleId="225">
    <w:name w:val="text"/>
    <w:qFormat/>
    <w:uiPriority w:val="0"/>
  </w:style>
  <w:style w:type="paragraph" w:customStyle="1" w:styleId="226">
    <w:name w:val="！正文"/>
    <w:basedOn w:val="1"/>
    <w:link w:val="227"/>
    <w:qFormat/>
    <w:uiPriority w:val="0"/>
    <w:pPr>
      <w:adjustRightInd w:val="0"/>
      <w:snapToGrid w:val="0"/>
      <w:spacing w:line="360" w:lineRule="auto"/>
      <w:ind w:firstLine="560" w:firstLineChars="200"/>
    </w:pPr>
    <w:rPr>
      <w:rFonts w:ascii="宋体" w:hAnsi="宋体" w:eastAsia="宋体" w:cs="Times New Roman"/>
      <w:bCs/>
      <w:color w:val="000000"/>
      <w:kern w:val="0"/>
      <w:sz w:val="21"/>
      <w:szCs w:val="28"/>
      <w:lang w:val="zh-CN"/>
    </w:rPr>
  </w:style>
  <w:style w:type="character" w:customStyle="1" w:styleId="227">
    <w:name w:val="！正文 Char"/>
    <w:link w:val="226"/>
    <w:qFormat/>
    <w:uiPriority w:val="0"/>
    <w:rPr>
      <w:rFonts w:ascii="宋体" w:hAnsi="宋体"/>
      <w:bCs/>
      <w:color w:val="000000"/>
      <w:sz w:val="21"/>
      <w:szCs w:val="28"/>
      <w:lang w:val="zh-CN"/>
    </w:rPr>
  </w:style>
  <w:style w:type="paragraph" w:customStyle="1" w:styleId="228">
    <w:name w:val="Char1"/>
    <w:basedOn w:val="1"/>
    <w:qFormat/>
    <w:uiPriority w:val="0"/>
    <w:rPr>
      <w:rFonts w:ascii="宋体" w:hAnsi="宋体" w:eastAsia="宋体" w:cs="Times New Roman"/>
      <w:sz w:val="21"/>
    </w:rPr>
  </w:style>
  <w:style w:type="paragraph" w:customStyle="1" w:styleId="229">
    <w:name w:val="方框"/>
    <w:basedOn w:val="1"/>
    <w:qFormat/>
    <w:uiPriority w:val="0"/>
    <w:pPr>
      <w:widowControl/>
      <w:spacing w:line="240" w:lineRule="atLeast"/>
    </w:pPr>
    <w:rPr>
      <w:rFonts w:ascii="宋体" w:hAnsi="宋体" w:eastAsia="宋体" w:cs="Times New Roman"/>
      <w:kern w:val="0"/>
      <w:sz w:val="24"/>
      <w:szCs w:val="20"/>
    </w:rPr>
  </w:style>
  <w:style w:type="paragraph" w:customStyle="1" w:styleId="230">
    <w:name w:val="样式9"/>
    <w:basedOn w:val="1"/>
    <w:qFormat/>
    <w:uiPriority w:val="0"/>
    <w:rPr>
      <w:rFonts w:ascii="宋体" w:hAnsi="宋体" w:eastAsia="宋体" w:cs="Times New Roman"/>
      <w:sz w:val="21"/>
    </w:rPr>
  </w:style>
  <w:style w:type="character" w:customStyle="1" w:styleId="231">
    <w:name w:val="biaoti-61"/>
    <w:qFormat/>
    <w:uiPriority w:val="0"/>
    <w:rPr>
      <w:b/>
      <w:bCs/>
      <w:color w:val="000066"/>
      <w:sz w:val="25"/>
      <w:szCs w:val="25"/>
    </w:rPr>
  </w:style>
  <w:style w:type="character" w:customStyle="1" w:styleId="232">
    <w:name w:val="注释标题 Char1"/>
    <w:semiHidden/>
    <w:qFormat/>
    <w:uiPriority w:val="99"/>
    <w:rPr>
      <w:kern w:val="2"/>
      <w:sz w:val="21"/>
      <w:szCs w:val="24"/>
    </w:rPr>
  </w:style>
  <w:style w:type="character" w:customStyle="1" w:styleId="233">
    <w:name w:val="报告正文 Char Char"/>
    <w:qFormat/>
    <w:uiPriority w:val="0"/>
    <w:rPr>
      <w:rFonts w:ascii="Times New Roman" w:hAnsi="Times New Roman"/>
      <w:sz w:val="21"/>
      <w:szCs w:val="21"/>
    </w:rPr>
  </w:style>
  <w:style w:type="paragraph" w:customStyle="1" w:styleId="234">
    <w:name w:val="样式16"/>
    <w:basedOn w:val="1"/>
    <w:next w:val="1"/>
    <w:qFormat/>
    <w:uiPriority w:val="0"/>
    <w:pPr>
      <w:spacing w:line="420" w:lineRule="exact"/>
      <w:ind w:firstLine="200" w:firstLineChars="200"/>
    </w:pPr>
    <w:rPr>
      <w:rFonts w:ascii="宋体" w:hAnsi="宋体" w:eastAsia="宋体" w:cs="Times New Roman"/>
      <w:spacing w:val="20"/>
      <w:sz w:val="24"/>
      <w:szCs w:val="20"/>
    </w:rPr>
  </w:style>
  <w:style w:type="paragraph" w:customStyle="1" w:styleId="235">
    <w:name w:val="默认段落字体 Para Char Char Char Char"/>
    <w:basedOn w:val="1"/>
    <w:link w:val="236"/>
    <w:qFormat/>
    <w:uiPriority w:val="0"/>
    <w:rPr>
      <w:rFonts w:ascii="宋体" w:hAnsi="宋体" w:eastAsia="宋体" w:cs="Times New Roman"/>
      <w:sz w:val="21"/>
    </w:rPr>
  </w:style>
  <w:style w:type="character" w:customStyle="1" w:styleId="236">
    <w:name w:val="默认段落字体 Para Char Char Char Char Char Char"/>
    <w:link w:val="235"/>
    <w:qFormat/>
    <w:uiPriority w:val="0"/>
    <w:rPr>
      <w:rFonts w:ascii="宋体" w:hAnsi="宋体"/>
      <w:kern w:val="2"/>
      <w:sz w:val="21"/>
      <w:szCs w:val="24"/>
    </w:rPr>
  </w:style>
  <w:style w:type="character" w:customStyle="1" w:styleId="237">
    <w:name w:val="表内格式 Char1"/>
    <w:link w:val="238"/>
    <w:qFormat/>
    <w:uiPriority w:val="0"/>
    <w:rPr>
      <w:kern w:val="2"/>
      <w:sz w:val="18"/>
    </w:rPr>
  </w:style>
  <w:style w:type="paragraph" w:customStyle="1" w:styleId="238">
    <w:name w:val="表内格式"/>
    <w:basedOn w:val="1"/>
    <w:link w:val="237"/>
    <w:qFormat/>
    <w:uiPriority w:val="0"/>
    <w:pPr>
      <w:jc w:val="center"/>
    </w:pPr>
    <w:rPr>
      <w:rFonts w:ascii="Calibri" w:hAnsi="Calibri" w:eastAsia="宋体" w:cs="Times New Roman"/>
      <w:sz w:val="18"/>
      <w:szCs w:val="20"/>
    </w:rPr>
  </w:style>
  <w:style w:type="character" w:customStyle="1" w:styleId="239">
    <w:name w:val="1现评正文 Char"/>
    <w:link w:val="240"/>
    <w:qFormat/>
    <w:uiPriority w:val="0"/>
    <w:rPr>
      <w:rFonts w:eastAsia="仿宋_GB2312"/>
      <w:sz w:val="28"/>
      <w:szCs w:val="24"/>
    </w:rPr>
  </w:style>
  <w:style w:type="paragraph" w:customStyle="1" w:styleId="240">
    <w:name w:val="1现评正文"/>
    <w:basedOn w:val="1"/>
    <w:link w:val="239"/>
    <w:qFormat/>
    <w:uiPriority w:val="0"/>
    <w:pPr>
      <w:widowControl/>
      <w:spacing w:line="484" w:lineRule="exact"/>
      <w:ind w:firstLine="200" w:firstLineChars="200"/>
    </w:pPr>
    <w:rPr>
      <w:rFonts w:ascii="Calibri" w:hAnsi="Calibri" w:eastAsia="仿宋_GB2312" w:cs="Times New Roman"/>
      <w:kern w:val="0"/>
      <w:sz w:val="28"/>
    </w:rPr>
  </w:style>
  <w:style w:type="paragraph" w:customStyle="1" w:styleId="241">
    <w:name w:val="1表格1"/>
    <w:basedOn w:val="1"/>
    <w:qFormat/>
    <w:uiPriority w:val="0"/>
    <w:pPr>
      <w:jc w:val="center"/>
    </w:pPr>
    <w:rPr>
      <w:rFonts w:ascii="Times New Roman" w:hAnsi="Times New Roman" w:eastAsia="仿宋_GB2312" w:cs="Times New Roman"/>
      <w:snapToGrid w:val="0"/>
      <w:sz w:val="21"/>
      <w:szCs w:val="21"/>
    </w:rPr>
  </w:style>
  <w:style w:type="paragraph" w:customStyle="1" w:styleId="24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243">
    <w:name w:val="样式 标题 6 + 五号"/>
    <w:basedOn w:val="1"/>
    <w:qFormat/>
    <w:uiPriority w:val="0"/>
    <w:pPr>
      <w:tabs>
        <w:tab w:val="left" w:pos="360"/>
      </w:tabs>
    </w:pPr>
    <w:rPr>
      <w:rFonts w:ascii="Times New Roman" w:hAnsi="Times New Roman" w:eastAsia="宋体" w:cs="Times New Roman"/>
      <w:sz w:val="21"/>
    </w:rPr>
  </w:style>
  <w:style w:type="paragraph" w:customStyle="1" w:styleId="244">
    <w:name w:val="列出段落1"/>
    <w:basedOn w:val="1"/>
    <w:qFormat/>
    <w:uiPriority w:val="0"/>
    <w:pPr>
      <w:ind w:firstLine="420" w:firstLineChars="200"/>
    </w:pPr>
    <w:rPr>
      <w:rFonts w:ascii="Calibri" w:hAnsi="Calibri" w:eastAsia="宋体" w:cs="Times New Roman"/>
      <w:sz w:val="21"/>
      <w:szCs w:val="22"/>
    </w:rPr>
  </w:style>
  <w:style w:type="character" w:customStyle="1" w:styleId="245">
    <w:name w:val="表头 Char"/>
    <w:link w:val="246"/>
    <w:qFormat/>
    <w:uiPriority w:val="0"/>
    <w:rPr>
      <w:rFonts w:ascii="黑体" w:hAnsi="宋体" w:eastAsia="黑体"/>
      <w:color w:val="000000"/>
      <w:kern w:val="2"/>
      <w:sz w:val="24"/>
      <w:szCs w:val="24"/>
    </w:rPr>
  </w:style>
  <w:style w:type="paragraph" w:customStyle="1" w:styleId="246">
    <w:name w:val="表头"/>
    <w:basedOn w:val="1"/>
    <w:link w:val="245"/>
    <w:qFormat/>
    <w:uiPriority w:val="0"/>
    <w:pPr>
      <w:adjustRightInd w:val="0"/>
      <w:snapToGrid w:val="0"/>
      <w:spacing w:line="520" w:lineRule="exact"/>
      <w:ind w:firstLine="198"/>
      <w:jc w:val="center"/>
    </w:pPr>
    <w:rPr>
      <w:rFonts w:ascii="黑体" w:hAnsi="宋体" w:eastAsia="黑体" w:cs="Times New Roman"/>
      <w:color w:val="000000"/>
      <w:sz w:val="24"/>
    </w:rPr>
  </w:style>
  <w:style w:type="paragraph" w:customStyle="1" w:styleId="247">
    <w:name w:val="表中文字"/>
    <w:basedOn w:val="38"/>
    <w:next w:val="1"/>
    <w:qFormat/>
    <w:uiPriority w:val="0"/>
    <w:pPr>
      <w:spacing w:line="360" w:lineRule="exact"/>
    </w:pPr>
    <w:rPr>
      <w:b/>
      <w:szCs w:val="24"/>
    </w:rPr>
  </w:style>
  <w:style w:type="paragraph" w:customStyle="1" w:styleId="248">
    <w:name w:val="CS表格正文"/>
    <w:basedOn w:val="1"/>
    <w:qFormat/>
    <w:uiPriority w:val="0"/>
    <w:pPr>
      <w:adjustRightInd w:val="0"/>
      <w:snapToGrid w:val="0"/>
    </w:pPr>
    <w:rPr>
      <w:rFonts w:ascii="Times New Roman" w:hAnsi="Times New Roman" w:eastAsia="宋体" w:cs="Times New Roman"/>
      <w:kern w:val="0"/>
      <w:sz w:val="21"/>
      <w:szCs w:val="20"/>
    </w:rPr>
  </w:style>
  <w:style w:type="paragraph" w:customStyle="1" w:styleId="249">
    <w:name w:val="t表格文字左齐"/>
    <w:basedOn w:val="1"/>
    <w:qFormat/>
    <w:uiPriority w:val="0"/>
    <w:rPr>
      <w:rFonts w:ascii="Times New Roman" w:hAnsi="Times New Roman" w:eastAsia="宋体" w:cs="Times New Roman"/>
      <w:sz w:val="21"/>
      <w:szCs w:val="21"/>
    </w:rPr>
  </w:style>
  <w:style w:type="paragraph" w:customStyle="1" w:styleId="250">
    <w:name w:val="b表格"/>
    <w:basedOn w:val="1"/>
    <w:qFormat/>
    <w:uiPriority w:val="99"/>
    <w:pPr>
      <w:jc w:val="center"/>
    </w:pPr>
    <w:rPr>
      <w:rFonts w:ascii="宋体" w:hAnsi="宋体" w:eastAsia="宋体" w:cs="Arial"/>
      <w:sz w:val="21"/>
      <w:szCs w:val="21"/>
    </w:rPr>
  </w:style>
  <w:style w:type="paragraph" w:customStyle="1" w:styleId="251">
    <w:name w:val="CS表标题"/>
    <w:basedOn w:val="16"/>
    <w:qFormat/>
    <w:uiPriority w:val="0"/>
    <w:pPr>
      <w:adjustRightInd w:val="0"/>
      <w:snapToGrid w:val="0"/>
      <w:spacing w:after="0"/>
      <w:jc w:val="center"/>
    </w:pPr>
    <w:rPr>
      <w:rFonts w:ascii="Arial" w:eastAsia="黑体"/>
      <w:kern w:val="0"/>
      <w:sz w:val="24"/>
      <w:szCs w:val="21"/>
    </w:rPr>
  </w:style>
  <w:style w:type="paragraph" w:customStyle="1" w:styleId="252">
    <w:name w:val="样式3 表格内容"/>
    <w:basedOn w:val="1"/>
    <w:semiHidden/>
    <w:qFormat/>
    <w:uiPriority w:val="0"/>
    <w:pPr>
      <w:adjustRightInd w:val="0"/>
      <w:snapToGrid w:val="0"/>
    </w:pPr>
    <w:rPr>
      <w:rFonts w:ascii="Times New Roman" w:hAnsi="Times New Roman" w:eastAsia="宋体" w:cs="Times New Roman"/>
      <w:sz w:val="21"/>
      <w:szCs w:val="21"/>
    </w:rPr>
  </w:style>
  <w:style w:type="paragraph" w:customStyle="1" w:styleId="253">
    <w:name w:val="CS正文"/>
    <w:basedOn w:val="1"/>
    <w:qFormat/>
    <w:uiPriority w:val="0"/>
    <w:pPr>
      <w:adjustRightInd w:val="0"/>
      <w:snapToGrid w:val="0"/>
      <w:spacing w:line="360" w:lineRule="auto"/>
      <w:ind w:firstLine="200" w:firstLineChars="200"/>
    </w:pPr>
    <w:rPr>
      <w:rFonts w:ascii="Times New Roman" w:hAnsi="Times New Roman" w:eastAsia="宋体" w:cs="Times New Roman"/>
      <w:kern w:val="0"/>
      <w:sz w:val="28"/>
      <w:szCs w:val="20"/>
    </w:rPr>
  </w:style>
  <w:style w:type="character" w:customStyle="1" w:styleId="254">
    <w:name w:val="图表标题，AP Char"/>
    <w:qFormat/>
    <w:uiPriority w:val="0"/>
    <w:rPr>
      <w:rFonts w:ascii="Arial" w:hAnsi="Arial" w:eastAsia="黑体"/>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18.GIF"/><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51</Pages>
  <Words>20415</Words>
  <Characters>22888</Characters>
  <Lines>181</Lines>
  <Paragraphs>51</Paragraphs>
  <TotalTime>3</TotalTime>
  <ScaleCrop>false</ScaleCrop>
  <LinksUpToDate>false</LinksUpToDate>
  <CharactersWithSpaces>23134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2019-03-20T06:06:00Z</dcterms:created>
  <dc:creator>luomz</dc:creator>
  <cp:lastModifiedBy>Administrator</cp:lastModifiedBy>
  <cp:lastPrinted>2019-03-25T01:41:00Z</cp:lastPrinted>
  <dcterms:modified xsi:type="dcterms:W3CDTF">2023-04-27T02:43:20Z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FBF935CC3EED44A790FF23B0961697A4</vt:lpwstr>
  </property>
</Properties>
</file>