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重庆市江北区人民政府</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关于印发江北区最低生活保障条件</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认定办法（修订）的通知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江北府发〔2023〕27号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《江北区最低生活保障条件认定办法（修订）》已经区政府</w:t>
      </w:r>
      <w:r>
        <w:rPr>
          <w:rFonts w:hint="default" w:ascii="Times New Roman" w:hAnsi="Times New Roman" w:eastAsia="方正仿宋_GBK" w:cs="Times New Roman"/>
          <w:kern w:val="0"/>
          <w:sz w:val="32"/>
          <w:szCs w:val="32"/>
          <w:shd w:val="clear" w:color="auto" w:fill="FFFFFF"/>
          <w:lang w:val="en-US" w:eastAsia="zh-CN" w:bidi="ar-SA"/>
        </w:rPr>
        <w:t>2023年第60次</w:t>
      </w:r>
      <w:r>
        <w:rPr>
          <w:rFonts w:hint="eastAsia" w:ascii="方正仿宋_GBK" w:hAnsi="方正仿宋_GBK" w:eastAsia="方正仿宋_GBK" w:cs="方正仿宋_GBK"/>
          <w:kern w:val="0"/>
          <w:sz w:val="32"/>
          <w:szCs w:val="32"/>
          <w:shd w:val="clear" w:color="auto" w:fill="FFFFFF"/>
          <w:lang w:val="en-US" w:eastAsia="zh-CN" w:bidi="ar-SA"/>
        </w:rPr>
        <w:t>常务会议审议通过，现印发给你们，请认真贯彻执行。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重庆市江北区人民政府</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5635" w:firstLineChars="1761"/>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w:t>
      </w:r>
      <w:r>
        <w:rPr>
          <w:rFonts w:hint="eastAsia" w:ascii="方正仿宋_GBK" w:hAnsi="方正仿宋_GBK" w:eastAsia="方正仿宋_GBK" w:cs="方正仿宋_GBK"/>
          <w:kern w:val="0"/>
          <w:sz w:val="32"/>
          <w:szCs w:val="32"/>
          <w:shd w:val="clear" w:color="auto" w:fill="FFFFFF"/>
          <w:lang w:val="en-US" w:eastAsia="zh-CN" w:bidi="ar-SA"/>
        </w:rPr>
        <w:t>年</w:t>
      </w:r>
      <w:r>
        <w:rPr>
          <w:rFonts w:hint="default" w:ascii="Times New Roman" w:hAnsi="Times New Roman" w:eastAsia="方正仿宋_GBK" w:cs="Times New Roman"/>
          <w:kern w:val="0"/>
          <w:sz w:val="32"/>
          <w:szCs w:val="32"/>
          <w:shd w:val="clear" w:color="auto" w:fill="FFFFFF"/>
          <w:lang w:val="en-US" w:eastAsia="zh-CN" w:bidi="ar-SA"/>
        </w:rPr>
        <w:t>11</w:t>
      </w:r>
      <w:r>
        <w:rPr>
          <w:rFonts w:hint="eastAsia" w:ascii="方正仿宋_GBK" w:hAnsi="方正仿宋_GBK" w:eastAsia="方正仿宋_GBK" w:cs="方正仿宋_GBK"/>
          <w:kern w:val="0"/>
          <w:sz w:val="32"/>
          <w:szCs w:val="32"/>
          <w:shd w:val="clear" w:color="auto" w:fill="FFFFFF"/>
          <w:lang w:val="en-US" w:eastAsia="zh-CN" w:bidi="ar-SA"/>
        </w:rPr>
        <w:t>月</w:t>
      </w: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日</w:t>
      </w:r>
      <w: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pPr>
      <w:r>
        <w:rPr>
          <w:rFonts w:hint="eastAsia" w:ascii="方正小标宋_GBK" w:hAnsi="方正小标宋_GBK" w:eastAsia="方正小标宋_GBK" w:cs="方正小标宋_GBK"/>
          <w:kern w:val="0"/>
          <w:sz w:val="44"/>
          <w:szCs w:val="44"/>
          <w:shd w:val="clear" w:color="auto" w:fill="FFFFFF"/>
          <w:lang w:val="en-US" w:eastAsia="zh-CN" w:bidi="ar-SA"/>
        </w:rPr>
        <w:t>江北区最低生活保障条件认定办法</w:t>
      </w:r>
    </w:p>
    <w:p>
      <w:pPr>
        <w:keepNext w:val="0"/>
        <w:keepLines w:val="0"/>
        <w:pageBreakBefore w:val="0"/>
        <w:kinsoku/>
        <w:overflowPunct/>
        <w:topLinePunct w:val="0"/>
        <w:bidi w:val="0"/>
        <w:spacing w:line="600" w:lineRule="atLeast"/>
        <w:ind w:left="0" w:leftChars="0" w:right="0" w:rightChars="0"/>
        <w:jc w:val="center"/>
        <w:textAlignment w:val="auto"/>
        <w:rPr>
          <w:rFonts w:eastAsia="方正仿宋_GBK"/>
          <w:sz w:val="32"/>
          <w:szCs w:val="32"/>
        </w:rPr>
      </w:pPr>
      <w:r>
        <w:rPr>
          <w:rFonts w:eastAsia="方正仿宋_GBK"/>
          <w:sz w:val="32"/>
          <w:szCs w:val="32"/>
        </w:rPr>
        <w:t>（修订）</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eastAsia="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以习近平新时代中国特色社会主义思想为指导，全面贯彻党的二十大精神，按照兜底线、保基本、救急难、可持续的总体思路，落实社会救助扩围增效工作要求，进一步明确最低生活保障条件，公平公正公开认定保障对象，依据《社会救助暂行办法》《中共中央办公厅 国务院办公厅印发〈关于改革完善社会救助制度的意见〉的通知》《重庆市城乡居民最低生活保障条例》《重庆市人民政府办公厅关于印发重庆市最低生活保障条件认定办法（修订）的通知》（渝府办发</w:t>
      </w:r>
      <w:r>
        <w:rPr>
          <w:rFonts w:hint="default" w:ascii="Times New Roman" w:hAnsi="Times New Roman" w:eastAsia="方正仿宋_GBK" w:cs="Times New Roman"/>
          <w:kern w:val="0"/>
          <w:sz w:val="32"/>
          <w:szCs w:val="32"/>
          <w:shd w:val="clear" w:color="auto" w:fill="FFFFFF"/>
          <w:lang w:val="en-US" w:eastAsia="zh-CN" w:bidi="ar-SA"/>
        </w:rPr>
        <w:t>〔2022〕128号</w:t>
      </w:r>
      <w:r>
        <w:rPr>
          <w:rFonts w:hint="eastAsia" w:ascii="方正仿宋_GBK" w:hAnsi="方正仿宋_GBK" w:eastAsia="方正仿宋_GBK" w:cs="方正仿宋_GBK"/>
          <w:kern w:val="0"/>
          <w:sz w:val="32"/>
          <w:szCs w:val="32"/>
          <w:shd w:val="clear" w:color="auto" w:fill="FFFFFF"/>
          <w:lang w:val="en-US" w:eastAsia="zh-CN" w:bidi="ar-SA"/>
        </w:rPr>
        <w:t>）等有关法律法规、政策，结合我区实际，制定本办法。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最低生活保障条件是指居民家庭申请最低生活保障的具体条件，包括家庭成员、家庭收入、家庭财产、家庭消费支出</w:t>
      </w:r>
      <w:r>
        <w:rPr>
          <w:rFonts w:hint="default" w:ascii="Times New Roman" w:hAnsi="Times New Roman" w:eastAsia="方正仿宋_GBK" w:cs="Times New Roman"/>
          <w:kern w:val="0"/>
          <w:sz w:val="32"/>
          <w:szCs w:val="32"/>
          <w:shd w:val="clear" w:color="auto" w:fill="FFFFFF"/>
          <w:lang w:val="en-US" w:eastAsia="zh-CN" w:bidi="ar-SA"/>
        </w:rPr>
        <w:t>4</w:t>
      </w:r>
      <w:r>
        <w:rPr>
          <w:rFonts w:hint="eastAsia" w:ascii="方正仿宋_GBK" w:hAnsi="方正仿宋_GBK" w:eastAsia="方正仿宋_GBK" w:cs="方正仿宋_GBK"/>
          <w:kern w:val="0"/>
          <w:sz w:val="32"/>
          <w:szCs w:val="32"/>
          <w:shd w:val="clear" w:color="auto" w:fill="FFFFFF"/>
          <w:lang w:val="en-US" w:eastAsia="zh-CN" w:bidi="ar-SA"/>
        </w:rPr>
        <w:t>个方面。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本办法主要用于认定居民家庭是否具备获得最低生活保障的资格条件。由区民政局负责全区最低生活保障的综合管理、指导、审核确认监督工作；区财政局负责加强资金保障，提高资金使用效益；区医保局、区教委、区住房城乡建委、区应急局、区人力社保局等部门和各镇街各司其职，履行救助职责，形成齐抓共管、整体推进的最低生活保障工作格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eastAsia="方正黑体_GBK"/>
          <w:sz w:val="32"/>
          <w:szCs w:val="32"/>
        </w:rPr>
        <w:t>第二章 家庭成员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第四条  </w:t>
      </w:r>
      <w:r>
        <w:rPr>
          <w:rFonts w:hint="eastAsia" w:ascii="方正仿宋_GBK" w:hAnsi="方正仿宋_GBK" w:eastAsia="方正仿宋_GBK" w:cs="方正仿宋_GBK"/>
          <w:kern w:val="0"/>
          <w:sz w:val="32"/>
          <w:szCs w:val="32"/>
          <w:shd w:val="clear" w:color="auto" w:fill="FFFFFF"/>
          <w:lang w:val="en-US" w:eastAsia="zh-CN" w:bidi="ar-SA"/>
        </w:rPr>
        <w:t>申请最低生活保障的申请人应具有区户籍，其家庭成员应当是具有法定赡养、扶养、抚养义务关系的共同生活家庭成员。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第五条  </w:t>
      </w:r>
      <w:r>
        <w:rPr>
          <w:rFonts w:eastAsia="方正仿宋_GBK"/>
          <w:sz w:val="32"/>
          <w:szCs w:val="32"/>
        </w:rPr>
        <w:t>共同生活的家庭成员包括：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（一）配偶。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（二）未成年子女。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（三）已成年但不能独立生活的子女，包括在校接受全日制本科及以下学历教育的子女。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eastAsia="方正仿宋_GBK"/>
          <w:sz w:val="32"/>
          <w:szCs w:val="32"/>
        </w:rPr>
        <w:t>（四）其他具有法定赡养、扶养、抚养义务关系并长期共同居住的人员。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第六条  </w:t>
      </w:r>
      <w:r>
        <w:rPr>
          <w:rFonts w:eastAsia="方正仿宋_GBK"/>
          <w:sz w:val="32"/>
          <w:szCs w:val="32"/>
        </w:rPr>
        <w:t>特殊情形的共同生活家庭成员认定：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（一）连续</w:t>
      </w:r>
      <w:r>
        <w:rPr>
          <w:rFonts w:hint="default" w:ascii="Times New Roman" w:hAnsi="Times New Roman" w:eastAsia="方正仿宋_GBK" w:cs="Times New Roman"/>
          <w:b w:val="0"/>
          <w:bCs w:val="0"/>
          <w:sz w:val="32"/>
          <w:szCs w:val="32"/>
        </w:rPr>
        <w:t>3</w:t>
      </w:r>
      <w:r>
        <w:rPr>
          <w:rFonts w:eastAsia="方正仿宋_GBK"/>
          <w:sz w:val="32"/>
          <w:szCs w:val="32"/>
        </w:rPr>
        <w:t>年以上</w:t>
      </w:r>
      <w:r>
        <w:rPr>
          <w:rFonts w:eastAsia="方正仿宋_GBK"/>
          <w:szCs w:val="32"/>
        </w:rPr>
        <w:t>（</w:t>
      </w:r>
      <w:r>
        <w:rPr>
          <w:rFonts w:eastAsia="方正仿宋_GBK"/>
          <w:sz w:val="32"/>
          <w:szCs w:val="32"/>
        </w:rPr>
        <w:t>含</w:t>
      </w:r>
      <w:r>
        <w:rPr>
          <w:rFonts w:hint="default" w:ascii="Times New Roman" w:hAnsi="Times New Roman" w:eastAsia="方正仿宋_GBK" w:cs="Times New Roman"/>
          <w:b w:val="0"/>
          <w:bCs w:val="0"/>
          <w:sz w:val="32"/>
          <w:szCs w:val="32"/>
        </w:rPr>
        <w:t>3</w:t>
      </w:r>
      <w:r>
        <w:rPr>
          <w:rFonts w:eastAsia="方正仿宋_GBK"/>
          <w:sz w:val="32"/>
          <w:szCs w:val="32"/>
        </w:rPr>
        <w:t>年</w:t>
      </w:r>
      <w:r>
        <w:rPr>
          <w:rFonts w:eastAsia="方正仿宋_GBK"/>
          <w:szCs w:val="32"/>
        </w:rPr>
        <w:t>）</w:t>
      </w:r>
      <w:r>
        <w:rPr>
          <w:rFonts w:eastAsia="方正仿宋_GBK"/>
          <w:sz w:val="32"/>
          <w:szCs w:val="32"/>
        </w:rPr>
        <w:t>脱离家庭独立生活的宗教教职人员，在监狱内服刑、在戒毒所强制隔离戒毒人员或者宣告失踪的人员，不计入共同生活的家庭成员。</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（二）回到家庭生活的刑满释放、监外执行、保外就医人员，计入共同生活的家庭成员。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第七条  </w:t>
      </w:r>
      <w:r>
        <w:rPr>
          <w:rFonts w:eastAsia="方正仿宋_GBK"/>
          <w:sz w:val="32"/>
          <w:szCs w:val="32"/>
        </w:rPr>
        <w:t>符合下列情形之一的人员，可以单独提出申请：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（一）最低生活保障边缘家庭中持有中华人民共和国残疾人证的一级、二级重度残疾人和三级智力残疾人、三级精神残疾人。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（二）最低生活保障边缘家庭中患有当地有关部门认定的重特大疾病的人员。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（三）脱离家庭、在宗教场所居住</w:t>
      </w:r>
      <w:r>
        <w:rPr>
          <w:rFonts w:hint="default" w:ascii="Times New Roman" w:hAnsi="Times New Roman" w:eastAsia="方正仿宋_GBK" w:cs="Times New Roman"/>
          <w:sz w:val="32"/>
          <w:szCs w:val="32"/>
        </w:rPr>
        <w:t>3</w:t>
      </w:r>
      <w:r>
        <w:rPr>
          <w:rFonts w:eastAsia="方正仿宋_GBK"/>
          <w:sz w:val="32"/>
          <w:szCs w:val="32"/>
        </w:rPr>
        <w:t>年以上</w:t>
      </w:r>
      <w:r>
        <w:rPr>
          <w:szCs w:val="32"/>
        </w:rPr>
        <w:t>（</w:t>
      </w:r>
      <w:r>
        <w:rPr>
          <w:rFonts w:eastAsia="方正仿宋_GBK"/>
          <w:sz w:val="32"/>
          <w:szCs w:val="32"/>
        </w:rPr>
        <w:t>含</w:t>
      </w:r>
      <w:r>
        <w:rPr>
          <w:rFonts w:hint="default" w:ascii="Times New Roman" w:hAnsi="Times New Roman" w:eastAsia="方正仿宋_GBK" w:cs="Times New Roman"/>
          <w:sz w:val="32"/>
          <w:szCs w:val="32"/>
        </w:rPr>
        <w:t>3</w:t>
      </w:r>
      <w:r>
        <w:rPr>
          <w:rFonts w:eastAsia="方正仿宋_GBK"/>
          <w:sz w:val="32"/>
          <w:szCs w:val="32"/>
        </w:rPr>
        <w:t>年</w:t>
      </w:r>
      <w:r>
        <w:rPr>
          <w:szCs w:val="32"/>
        </w:rPr>
        <w:t>）</w:t>
      </w:r>
      <w:r>
        <w:rPr>
          <w:rFonts w:eastAsia="方正仿宋_GBK"/>
          <w:sz w:val="32"/>
          <w:szCs w:val="32"/>
        </w:rPr>
        <w:t>的生活困难宗教教职人员。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（四）家庭月人均收入在当地最低生活保障标准</w:t>
      </w:r>
      <w:r>
        <w:rPr>
          <w:rFonts w:hint="default" w:ascii="Times New Roman" w:hAnsi="Times New Roman" w:eastAsia="方正仿宋_GBK" w:cs="Times New Roman"/>
          <w:sz w:val="32"/>
          <w:szCs w:val="32"/>
        </w:rPr>
        <w:t>3</w:t>
      </w:r>
      <w:r>
        <w:rPr>
          <w:rFonts w:eastAsia="方正仿宋_GBK"/>
          <w:sz w:val="32"/>
          <w:szCs w:val="32"/>
        </w:rPr>
        <w:t>倍以内，靠父母、兄弟姐妹供养，已成年且丧失劳动能力的残疾人或者身患重特大疾病长期卧床不起的人员。</w:t>
      </w:r>
    </w:p>
    <w:p>
      <w:pPr>
        <w:keepNext w:val="0"/>
        <w:keepLines w:val="0"/>
        <w:pageBreakBefore w:val="0"/>
        <w:kinsoku/>
        <w:wordWrap/>
        <w:overflowPunct/>
        <w:topLinePunct w:val="0"/>
        <w:autoSpaceDE/>
        <w:autoSpaceDN/>
        <w:bidi w:val="0"/>
        <w:adjustRightInd/>
        <w:spacing w:line="600" w:lineRule="exact"/>
        <w:jc w:val="center"/>
        <w:textAlignment w:val="auto"/>
      </w:pPr>
      <w:r>
        <w:rPr>
          <w:rFonts w:eastAsia="方正黑体_GBK"/>
          <w:sz w:val="32"/>
          <w:szCs w:val="32"/>
        </w:rPr>
        <w:t>第三章 家庭收入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第八条  </w:t>
      </w:r>
      <w:r>
        <w:rPr>
          <w:rFonts w:eastAsia="方正仿宋_GBK"/>
          <w:sz w:val="32"/>
          <w:szCs w:val="32"/>
        </w:rPr>
        <w:t>家庭收入指共同生活的家庭成员在规定期限内获得的全部现金及实物收入。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eastAsia="方正仿宋_GBK"/>
          <w:sz w:val="32"/>
          <w:szCs w:val="32"/>
        </w:rPr>
        <w:t>获得最低生活保障，家庭月人均收入应当低于最低 生活保障标准。家庭月人均收入，按照申请人家庭月收入总额除以核定的家庭人口数确定。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第十条  </w:t>
      </w:r>
      <w:r>
        <w:rPr>
          <w:rFonts w:eastAsia="方正仿宋_GBK"/>
          <w:sz w:val="32"/>
          <w:szCs w:val="32"/>
        </w:rPr>
        <w:t>家庭收入主要包括：</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楷体_GBK"/>
          <w:sz w:val="32"/>
          <w:szCs w:val="32"/>
        </w:rPr>
        <w:t>（一）工资性收入。</w:t>
      </w:r>
      <w:r>
        <w:rPr>
          <w:rFonts w:eastAsia="方正仿宋_GBK"/>
          <w:sz w:val="32"/>
          <w:szCs w:val="32"/>
        </w:rPr>
        <w:t>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稳定就业或长期在外务工人员的工资性收入，按用人单位劳资部门出具的收入证明计算，也可根据社会保险、个人所得税缴纳情况计算；不能提供收入证明或无法通过社会保险、个人所得税缴纳情况测算的，参照本市统计部门公布的上年度同行业就业人员平均工资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灵活就业人员劳务收入，参照本市统计部门公布的上年度同行业就业人员平均工资标准，按实际务工月数或天数据实计算。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工资性收入可适当扣除必要的就业成本，江北区家庭成员就业成本的标准，以家庭实际参加工作人员工资性收入的</w:t>
      </w:r>
      <w:r>
        <w:rPr>
          <w:rFonts w:hint="default" w:ascii="Times New Roman" w:hAnsi="Times New Roman" w:eastAsia="方正仿宋_GBK" w:cs="Times New Roman"/>
          <w:sz w:val="32"/>
          <w:szCs w:val="32"/>
        </w:rPr>
        <w:t>25%</w:t>
      </w:r>
      <w:r>
        <w:rPr>
          <w:rFonts w:eastAsia="方正仿宋_GBK"/>
          <w:sz w:val="32"/>
          <w:szCs w:val="32"/>
        </w:rPr>
        <w:t>为基数扣除就业成本。</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 xml:space="preserve"> </w:t>
      </w:r>
      <w:r>
        <w:rPr>
          <w:rFonts w:eastAsia="方正楷体_GBK"/>
          <w:sz w:val="32"/>
          <w:szCs w:val="32"/>
        </w:rPr>
        <w:t>（二）经营净收入。</w:t>
      </w:r>
      <w:r>
        <w:rPr>
          <w:rFonts w:eastAsia="方正仿宋_GBK"/>
          <w:sz w:val="32"/>
          <w:szCs w:val="32"/>
        </w:rPr>
        <w:t>经营净收入指从事生产经营及有偿服务活动所获得全部经营收入扣除经营费用、生产性固定资产折旧和生产税等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种植、养殖、采集及加工等农林牧渔业</w:t>
      </w:r>
      <w:r>
        <w:rPr>
          <w:rFonts w:hint="eastAsia" w:eastAsia="方正仿宋_GBK"/>
          <w:sz w:val="32"/>
          <w:szCs w:val="32"/>
        </w:rPr>
        <w:t>（</w:t>
      </w:r>
      <w:r>
        <w:rPr>
          <w:rFonts w:eastAsia="方正仿宋_GBK"/>
          <w:sz w:val="32"/>
          <w:szCs w:val="32"/>
        </w:rPr>
        <w:t>规模化种植、养殖除外</w:t>
      </w:r>
      <w:r>
        <w:rPr>
          <w:rFonts w:hint="eastAsia" w:eastAsia="方正仿宋_GBK"/>
          <w:sz w:val="32"/>
          <w:szCs w:val="32"/>
        </w:rPr>
        <w:t>）</w:t>
      </w:r>
      <w:r>
        <w:rPr>
          <w:rFonts w:eastAsia="方正仿宋_GBK"/>
          <w:sz w:val="32"/>
          <w:szCs w:val="32"/>
        </w:rPr>
        <w:t>收入，可以按照区统计局公布的农村常住居民人均可支配收入为核算基数，根据家庭成员劳动力系数指标折算核定（见附件）。</w:t>
      </w:r>
    </w:p>
    <w:p>
      <w:pPr>
        <w:keepNext w:val="0"/>
        <w:keepLines w:val="0"/>
        <w:pageBreakBefore w:val="0"/>
        <w:kinsoku/>
        <w:wordWrap/>
        <w:overflowPunct/>
        <w:topLinePunct w:val="0"/>
        <w:autoSpaceDE/>
        <w:autoSpaceDN/>
        <w:bidi w:val="0"/>
        <w:adjustRightInd/>
        <w:spacing w:line="600" w:lineRule="exact"/>
        <w:ind w:firstLine="320" w:firstLineChars="100"/>
        <w:textAlignment w:val="auto"/>
        <w:rPr>
          <w:rFonts w:eastAsia="方正仿宋_GBK"/>
          <w:sz w:val="32"/>
          <w:szCs w:val="32"/>
        </w:rPr>
      </w:pPr>
      <w:r>
        <w:rPr>
          <w:rFonts w:eastAsia="方正仿宋_GBK"/>
          <w:sz w:val="32"/>
          <w:szCs w:val="32"/>
        </w:rPr>
        <w:t xml:space="preserve"> </w:t>
      </w:r>
      <w:r>
        <w:rPr>
          <w:rFonts w:eastAsia="方正楷体_GBK"/>
          <w:sz w:val="32"/>
          <w:szCs w:val="32"/>
        </w:rPr>
        <w:t>（三）财产净收入。</w:t>
      </w:r>
      <w:r>
        <w:rPr>
          <w:rFonts w:eastAsia="方正仿宋_GBK"/>
          <w:sz w:val="32"/>
          <w:szCs w:val="32"/>
        </w:rPr>
        <w:t>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转租承包土地经营权、出租或者出让房产以及其他不动产收入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出让、租赁等收入，参照双方签订的相关合法有效合同计算； 个人不能提供相关合同或合同确定的收入明显低于市场平均收益的，参照当地同类资产出让、租赁的平均价格计算。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储蓄存款利息、有价证券红利、储蓄性保险投资以及其他股息和红利等按照金融机构提供的信息计算，集体财产收入分红等按集体出具的分配记录计算。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土地、林地承包经营权流转收入按有关规定据实计算。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楷体_GBK"/>
          <w:sz w:val="32"/>
          <w:szCs w:val="32"/>
        </w:rPr>
        <w:t>（四）转移净收入。</w:t>
      </w:r>
      <w:r>
        <w:rPr>
          <w:rFonts w:eastAsia="方正仿宋_GBK"/>
          <w:sz w:val="32"/>
          <w:szCs w:val="32"/>
        </w:rPr>
        <w:t>转移净收入指转移性收入扣减转移性支 出之后的收入。其中，转移性收入指国家、机关企事业单位、社会组织对居民的各种经常性转移支付和居民之间的经常性收入转移，包括赡养费、扶养费、抚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赡养、扶养、抚养费，有离婚协议书、法院调解书、判决书的，按文书确定的金额认定；无文书确定的，每位被赡养、扶养、 抚养人的赡养、扶养、抚养费收入按义务人家庭月人均收入减去最低生活保障标准后余额的</w:t>
      </w:r>
      <w:r>
        <w:rPr>
          <w:rFonts w:hint="default" w:ascii="Times New Roman" w:hAnsi="Times New Roman" w:eastAsia="方正仿宋_GBK" w:cs="Times New Roman"/>
          <w:sz w:val="32"/>
          <w:szCs w:val="32"/>
        </w:rPr>
        <w:t>20%</w:t>
      </w:r>
      <w:r>
        <w:rPr>
          <w:rFonts w:eastAsia="方正仿宋_GBK"/>
          <w:sz w:val="32"/>
          <w:szCs w:val="32"/>
        </w:rPr>
        <w:t>计算。</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法定赡养、扶养、抚养义务人有下列情形的，视为暂无赡养、扶养、抚养能力，不计算赡养、扶养、抚养费：</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1</w:t>
      </w:r>
      <w:r>
        <w:rPr>
          <w:rFonts w:hint="default" w:ascii="Times New Roman" w:hAnsi="Times New Roman" w:cs="Times New Roman"/>
          <w:szCs w:val="32"/>
        </w:rPr>
        <w:t>．</w:t>
      </w:r>
      <w:r>
        <w:rPr>
          <w:rFonts w:eastAsia="方正仿宋_GBK"/>
          <w:sz w:val="32"/>
          <w:szCs w:val="32"/>
        </w:rPr>
        <w:t>特困供养人员；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2</w:t>
      </w:r>
      <w:r>
        <w:rPr>
          <w:rFonts w:hint="default" w:ascii="Times New Roman" w:hAnsi="Times New Roman" w:cs="Times New Roman"/>
          <w:szCs w:val="32"/>
        </w:rPr>
        <w:t>．</w:t>
      </w:r>
      <w:r>
        <w:rPr>
          <w:rFonts w:eastAsia="方正仿宋_GBK"/>
          <w:sz w:val="32"/>
          <w:szCs w:val="32"/>
        </w:rPr>
        <w:t>最低生活保障家庭人员及最低生活保障边缘家庭人员；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default" w:ascii="Times New Roman" w:hAnsi="Times New Roman" w:eastAsia="方正仿宋_GBK" w:cs="Times New Roman"/>
          <w:sz w:val="32"/>
          <w:szCs w:val="32"/>
        </w:rPr>
        <w:t>3</w:t>
      </w:r>
      <w:r>
        <w:rPr>
          <w:rFonts w:hint="default" w:ascii="Times New Roman" w:hAnsi="Times New Roman" w:cs="Times New Roman"/>
          <w:szCs w:val="32"/>
        </w:rPr>
        <w:t>．</w:t>
      </w:r>
      <w:r>
        <w:rPr>
          <w:rFonts w:eastAsia="方正仿宋_GBK"/>
          <w:sz w:val="32"/>
          <w:szCs w:val="32"/>
        </w:rPr>
        <w:t>家庭中有重特大疾病患者、重度残疾人，造成家庭支出过大，实际生活困难的。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eastAsia="方正仿宋_GBK"/>
          <w:sz w:val="32"/>
          <w:szCs w:val="32"/>
        </w:rPr>
        <w:t>不应当计入家庭收入的项目包括：</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国家规定的优待抚恤金、计划生育奖励与扶助金、奖学金、见义勇为等奖励性补助；老党员定期补助，经济困难的高龄失能老年人养老服务补贴，家庭经济困难学生助学金及生活补助，精简退职职工定期定量救济金、困难残疾人生活补贴、重度残疾人护理补贴、老年津贴。</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（二）政府发放的各类社会救助款物，低保金、特困金、孤儿生活保障金除外。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（三）</w:t>
      </w:r>
      <w:r>
        <w:rPr>
          <w:rFonts w:hint="eastAsia" w:eastAsia="方正仿宋_GBK"/>
          <w:sz w:val="32"/>
          <w:szCs w:val="32"/>
          <w:lang w:eastAsia="zh-CN"/>
        </w:rPr>
        <w:t>“</w:t>
      </w:r>
      <w:r>
        <w:rPr>
          <w:rFonts w:eastAsia="方正仿宋_GBK"/>
          <w:sz w:val="32"/>
          <w:szCs w:val="32"/>
        </w:rPr>
        <w:t>十四五</w:t>
      </w:r>
      <w:r>
        <w:rPr>
          <w:rFonts w:hint="eastAsia" w:eastAsia="方正仿宋_GBK"/>
          <w:sz w:val="32"/>
          <w:szCs w:val="32"/>
          <w:lang w:eastAsia="zh-CN"/>
        </w:rPr>
        <w:t>”</w:t>
      </w:r>
      <w:r>
        <w:rPr>
          <w:rFonts w:eastAsia="方正仿宋_GBK"/>
          <w:sz w:val="32"/>
          <w:szCs w:val="32"/>
        </w:rPr>
        <w:t>期间中央确定的城乡居民基本养老保险基础养老金。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（四）因重大疾病、重大灾害出卖唯一住房的销售款。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（五）参加村（社区）组织的临时性公益性服务劳动所得的奖励。</w:t>
      </w:r>
    </w:p>
    <w:p>
      <w:pPr>
        <w:keepNext w:val="0"/>
        <w:keepLines w:val="0"/>
        <w:pageBreakBefore w:val="0"/>
        <w:kinsoku/>
        <w:wordWrap/>
        <w:overflowPunct/>
        <w:topLinePunct w:val="0"/>
        <w:autoSpaceDE/>
        <w:autoSpaceDN/>
        <w:bidi w:val="0"/>
        <w:adjustRightInd/>
        <w:spacing w:line="600" w:lineRule="exact"/>
        <w:ind w:firstLine="640"/>
        <w:textAlignment w:val="auto"/>
        <w:rPr>
          <w:rFonts w:eastAsia="方正仿宋_GBK"/>
          <w:sz w:val="32"/>
          <w:szCs w:val="32"/>
        </w:rPr>
      </w:pPr>
      <w:r>
        <w:rPr>
          <w:rFonts w:eastAsia="方正仿宋_GBK"/>
          <w:sz w:val="32"/>
          <w:szCs w:val="32"/>
        </w:rPr>
        <w:t>共同生活的家庭成员因残疾、因患重病、因学等增加的刚性支出、必要的就业成本等，在核算家庭收入时可按规定适当扣减，并按如下方式进行核算</w:t>
      </w:r>
      <w:r>
        <w:rPr>
          <w:rFonts w:hint="eastAsia" w:eastAsia="方正仿宋_GBK"/>
          <w:sz w:val="32"/>
          <w:szCs w:val="32"/>
          <w:lang w:eastAsia="zh-CN"/>
        </w:rPr>
        <w:t>：</w:t>
      </w:r>
      <w:r>
        <w:rPr>
          <w:rFonts w:eastAsia="方正仿宋_GBK"/>
          <w:sz w:val="32"/>
          <w:szCs w:val="32"/>
        </w:rPr>
        <w:t>其在申请前</w:t>
      </w:r>
      <w:r>
        <w:rPr>
          <w:rFonts w:hint="default" w:ascii="Times New Roman" w:hAnsi="Times New Roman" w:eastAsia="方正仿宋_GBK" w:cs="Times New Roman"/>
          <w:sz w:val="32"/>
          <w:szCs w:val="32"/>
        </w:rPr>
        <w:t>1</w:t>
      </w:r>
      <w:r>
        <w:rPr>
          <w:rFonts w:eastAsia="方正仿宋_GBK"/>
          <w:sz w:val="32"/>
          <w:szCs w:val="32"/>
        </w:rPr>
        <w:t>年内，以家庭实际参加工作的人员工资性收入的</w:t>
      </w:r>
      <w:r>
        <w:rPr>
          <w:rFonts w:hint="default" w:ascii="Times New Roman" w:hAnsi="Times New Roman" w:eastAsia="方正仿宋_GBK" w:cs="Times New Roman"/>
          <w:sz w:val="32"/>
          <w:szCs w:val="32"/>
        </w:rPr>
        <w:t>25%</w:t>
      </w:r>
      <w:r>
        <w:rPr>
          <w:rFonts w:eastAsia="方正仿宋_GBK"/>
          <w:sz w:val="32"/>
          <w:szCs w:val="32"/>
        </w:rPr>
        <w:t>为基数抵扣就业成本，再抵扣同期刚性支出后，剩余部分月人均收入符合最低生活保障相关认定条件的纳入最低生活保障。</w:t>
      </w:r>
    </w:p>
    <w:p>
      <w:pPr>
        <w:keepNext w:val="0"/>
        <w:keepLines w:val="0"/>
        <w:pageBreakBefore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第四章 家庭财产</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第十二条  </w:t>
      </w:r>
      <w:r>
        <w:rPr>
          <w:rFonts w:eastAsia="方正仿宋_GBK"/>
          <w:sz w:val="32"/>
          <w:szCs w:val="32"/>
        </w:rPr>
        <w:t>家庭财产是指共同生活的家庭成员拥有的全部动 产和不动产。动产主要包括银行存款、证券、基金、商业保险、债权、互联网金融资产以及车辆等。不动产主要包括房屋、林木等定着物。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第十三条  </w:t>
      </w:r>
      <w:r>
        <w:rPr>
          <w:rFonts w:eastAsia="方正仿宋_GBK"/>
          <w:sz w:val="32"/>
          <w:szCs w:val="32"/>
        </w:rPr>
        <w:t>家庭财产状况有下列情形之一的，视为不符合最低生活保障认定条件：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（一）银行存款、证券、基金、商业保险、债权、互联网金融资产等人均总值，超过全市城市最低生活保障标准的</w:t>
      </w:r>
      <w:r>
        <w:rPr>
          <w:rFonts w:hint="default" w:ascii="Times New Roman" w:hAnsi="Times New Roman" w:eastAsia="方正仿宋_GBK" w:cs="Times New Roman"/>
          <w:sz w:val="32"/>
          <w:szCs w:val="32"/>
        </w:rPr>
        <w:t>24</w:t>
      </w:r>
      <w:r>
        <w:rPr>
          <w:rFonts w:eastAsia="方正仿宋_GBK"/>
          <w:sz w:val="32"/>
          <w:szCs w:val="32"/>
        </w:rPr>
        <w:t>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（二）拥有</w:t>
      </w:r>
      <w:r>
        <w:rPr>
          <w:rFonts w:hint="default" w:ascii="Times New Roman" w:hAnsi="Times New Roman" w:eastAsia="方正仿宋_GBK" w:cs="Times New Roman"/>
          <w:sz w:val="32"/>
          <w:szCs w:val="32"/>
        </w:rPr>
        <w:t>2</w:t>
      </w:r>
      <w:r>
        <w:rPr>
          <w:rFonts w:eastAsia="方正仿宋_GBK"/>
          <w:sz w:val="32"/>
          <w:szCs w:val="32"/>
        </w:rPr>
        <w:t>套及以上住房（不含</w:t>
      </w:r>
      <w:r>
        <w:rPr>
          <w:rFonts w:hint="default" w:ascii="Times New Roman" w:hAnsi="Times New Roman" w:eastAsia="方正仿宋_GBK" w:cs="Times New Roman"/>
          <w:sz w:val="32"/>
          <w:szCs w:val="32"/>
        </w:rPr>
        <w:t>C</w:t>
      </w:r>
      <w:r>
        <w:rPr>
          <w:rFonts w:eastAsia="方正仿宋_GBK"/>
          <w:sz w:val="32"/>
          <w:szCs w:val="32"/>
        </w:rPr>
        <w:t>、</w:t>
      </w:r>
      <w:r>
        <w:rPr>
          <w:rFonts w:hint="default" w:ascii="Times New Roman" w:hAnsi="Times New Roman" w:eastAsia="方正仿宋_GBK" w:cs="Times New Roman"/>
          <w:sz w:val="32"/>
          <w:szCs w:val="32"/>
        </w:rPr>
        <w:t>D</w:t>
      </w:r>
      <w:r>
        <w:rPr>
          <w:rFonts w:eastAsia="方正仿宋_GBK"/>
          <w:sz w:val="32"/>
          <w:szCs w:val="32"/>
        </w:rPr>
        <w:t>级危房），且人均拥有建筑面积超过最低住房保障标准</w:t>
      </w:r>
      <w:r>
        <w:rPr>
          <w:rFonts w:hint="default" w:ascii="Times New Roman" w:hAnsi="Times New Roman" w:eastAsia="方正仿宋_GBK" w:cs="Times New Roman"/>
          <w:sz w:val="32"/>
          <w:szCs w:val="32"/>
        </w:rPr>
        <w:t>3</w:t>
      </w:r>
      <w:r>
        <w:rPr>
          <w:rFonts w:eastAsia="方正仿宋_GBK"/>
          <w:sz w:val="32"/>
          <w:szCs w:val="32"/>
        </w:rPr>
        <w:t>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color w:val="FF0000"/>
          <w:sz w:val="32"/>
          <w:szCs w:val="32"/>
        </w:rPr>
      </w:pPr>
      <w:r>
        <w:rPr>
          <w:rFonts w:eastAsia="方正仿宋_GBK"/>
          <w:sz w:val="32"/>
          <w:szCs w:val="32"/>
        </w:rPr>
        <w:t>（三）拥有出租或自营的商业门面、店铺、办公楼、厂房、酒店式公寓等非居住类房屋。</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（四）拥有机动车辆（享受燃油补贴的残疾人机动轮椅车、普通两轮摩托车除外）、船舶、工程机械以及大型农机具等。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（五）主动放弃合法收益（因向国家捐赠个人财产导致基本生活困难的除外）。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对于维持家庭生产生活的必需财产，可以在认定家庭财产状况时予以豁免。</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eastAsia="方正仿宋_GBK"/>
          <w:sz w:val="32"/>
          <w:szCs w:val="32"/>
        </w:rPr>
        <w:t>家庭财产采取实名认定，根据有关部门和管理单位的登记信息和实际拥有情况确认。</w:t>
      </w:r>
    </w:p>
    <w:p>
      <w:pPr>
        <w:keepNext w:val="0"/>
        <w:keepLines w:val="0"/>
        <w:pageBreakBefore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第五章 家庭消费支出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第十五条  </w:t>
      </w:r>
      <w:r>
        <w:rPr>
          <w:rFonts w:eastAsia="方正仿宋_GBK"/>
          <w:sz w:val="32"/>
          <w:szCs w:val="32"/>
        </w:rPr>
        <w:t>家庭消费支出是指共同生活的家庭成员在一定时期内的消费支出情况和实际生活状况。家庭消费支出根据调查核实情况认定。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第十六条  </w:t>
      </w:r>
      <w:r>
        <w:rPr>
          <w:rFonts w:eastAsia="方正仿宋_GBK"/>
          <w:sz w:val="32"/>
          <w:szCs w:val="32"/>
        </w:rPr>
        <w:t>家庭消费支出有下列情形之一的，不能获得最低生活保障：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w:t>
      </w:r>
      <w:r>
        <w:rPr>
          <w:rFonts w:hint="default" w:ascii="Times New Roman" w:hAnsi="Times New Roman" w:eastAsia="方正仿宋_GBK" w:cs="Times New Roman"/>
          <w:sz w:val="32"/>
          <w:szCs w:val="32"/>
        </w:rPr>
        <w:t>3</w:t>
      </w:r>
      <w:r>
        <w:rPr>
          <w:rFonts w:eastAsia="方正仿宋_GBK"/>
          <w:sz w:val="32"/>
          <w:szCs w:val="32"/>
        </w:rPr>
        <w:t>年内修建自有住房、按揭或全款购买商品房（不含因灾重建、排危、国家基础设施建设拆迁房屋等唯一住房）或高标准装修住房；家庭发生重大变故，造成家庭基本生活困难的除外。</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color w:val="FF0000"/>
          <w:sz w:val="32"/>
          <w:szCs w:val="32"/>
        </w:rPr>
      </w:pPr>
      <w:r>
        <w:rPr>
          <w:rFonts w:eastAsia="方正仿宋_GBK"/>
          <w:sz w:val="32"/>
          <w:szCs w:val="32"/>
        </w:rPr>
        <w:t>（二）有非公派出国留学、义务教育、学前教育阶段缴纳超过低保标准</w:t>
      </w:r>
      <w:r>
        <w:rPr>
          <w:rFonts w:hint="default" w:ascii="Times New Roman" w:hAnsi="Times New Roman" w:eastAsia="方正仿宋_GBK" w:cs="Times New Roman"/>
          <w:sz w:val="32"/>
          <w:szCs w:val="32"/>
        </w:rPr>
        <w:t>12</w:t>
      </w:r>
      <w:r>
        <w:rPr>
          <w:rFonts w:eastAsia="方正仿宋_GBK"/>
          <w:sz w:val="32"/>
          <w:szCs w:val="32"/>
        </w:rPr>
        <w:t>倍（含）以上学费（每人每年）在民办学校读书的。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（三）近</w:t>
      </w:r>
      <w:r>
        <w:rPr>
          <w:rFonts w:hint="default" w:ascii="Times New Roman" w:hAnsi="Times New Roman" w:eastAsia="方正仿宋_GBK" w:cs="Times New Roman"/>
          <w:sz w:val="32"/>
          <w:szCs w:val="32"/>
        </w:rPr>
        <w:t>1</w:t>
      </w:r>
      <w:r>
        <w:rPr>
          <w:rFonts w:eastAsia="方正仿宋_GBK"/>
          <w:sz w:val="32"/>
          <w:szCs w:val="32"/>
        </w:rPr>
        <w:t>年内自费出国旅游的。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（四）自费购买商业保险，每人每年缴纳保险费用在低保标准</w:t>
      </w:r>
      <w:r>
        <w:rPr>
          <w:rFonts w:hint="default" w:ascii="Times New Roman" w:hAnsi="Times New Roman" w:eastAsia="方正仿宋_GBK" w:cs="Times New Roman"/>
          <w:sz w:val="32"/>
          <w:szCs w:val="32"/>
        </w:rPr>
        <w:t>12</w:t>
      </w:r>
      <w:r>
        <w:rPr>
          <w:rFonts w:eastAsia="方正仿宋_GBK"/>
          <w:sz w:val="32"/>
          <w:szCs w:val="32"/>
        </w:rPr>
        <w:t>倍（含）以上的。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对以单位身份参加城镇职工养老保险的居民，其收入作为判断是否纳入最低生活保障的依据；对以个人身份参加城镇职工养老保险的居民，参保情况不再作为其不予纳入最低生活保障的依据。</w:t>
      </w:r>
    </w:p>
    <w:p>
      <w:pPr>
        <w:keepNext w:val="0"/>
        <w:keepLines w:val="0"/>
        <w:pageBreakBefore w:val="0"/>
        <w:kinsoku/>
        <w:wordWrap/>
        <w:overflowPunct/>
        <w:topLinePunct w:val="0"/>
        <w:autoSpaceDE/>
        <w:autoSpaceDN/>
        <w:bidi w:val="0"/>
        <w:adjustRightInd/>
        <w:spacing w:line="600" w:lineRule="exact"/>
        <w:jc w:val="center"/>
        <w:textAlignment w:val="auto"/>
        <w:rPr>
          <w:rFonts w:eastAsia="方正黑体_GBK"/>
          <w:sz w:val="32"/>
          <w:szCs w:val="32"/>
        </w:rPr>
      </w:pPr>
      <w:r>
        <w:rPr>
          <w:rFonts w:eastAsia="方正黑体_GBK"/>
          <w:sz w:val="32"/>
          <w:szCs w:val="32"/>
        </w:rPr>
        <w:t>第六章　其他项目</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第十七条  </w:t>
      </w:r>
      <w:r>
        <w:rPr>
          <w:rFonts w:eastAsia="方正仿宋_GBK"/>
          <w:sz w:val="32"/>
          <w:szCs w:val="32"/>
        </w:rPr>
        <w:t>最低生活保障对象有以下情形之一的，停发或者减发最低生活保障金：</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eastAsia="方正仿宋_GBK"/>
          <w:sz w:val="32"/>
          <w:szCs w:val="32"/>
        </w:rPr>
        <w:t>（一）无正当理由，连续三次拒绝接受与其健康状况、劳动能力相适应的工作的。</w:t>
      </w:r>
    </w:p>
    <w:p>
      <w:pPr>
        <w:keepNext w:val="0"/>
        <w:keepLines w:val="0"/>
        <w:pageBreakBefore w:val="0"/>
        <w:widowControl/>
        <w:kinsoku/>
        <w:wordWrap/>
        <w:overflowPunct/>
        <w:topLinePunct w:val="0"/>
        <w:autoSpaceDE/>
        <w:autoSpaceDN/>
        <w:bidi w:val="0"/>
        <w:adjustRightInd/>
        <w:spacing w:line="600" w:lineRule="exact"/>
        <w:ind w:firstLine="640"/>
        <w:textAlignment w:val="auto"/>
        <w:rPr>
          <w:rFonts w:eastAsia="方正仿宋_GBK"/>
          <w:color w:val="000000"/>
          <w:kern w:val="0"/>
          <w:sz w:val="32"/>
          <w:szCs w:val="32"/>
        </w:rPr>
      </w:pPr>
      <w:r>
        <w:rPr>
          <w:rFonts w:eastAsia="方正仿宋_GBK"/>
          <w:sz w:val="32"/>
          <w:szCs w:val="32"/>
        </w:rPr>
        <w:t>（二）</w:t>
      </w:r>
      <w:r>
        <w:rPr>
          <w:rFonts w:eastAsia="方正仿宋_GBK"/>
          <w:color w:val="000000"/>
          <w:sz w:val="32"/>
          <w:szCs w:val="32"/>
        </w:rPr>
        <w:t>不配合最低生活保障工作人员对其家庭的人口、收入、财产、消费支出等情况进行核查的。</w:t>
      </w:r>
    </w:p>
    <w:p>
      <w:pPr>
        <w:keepNext w:val="0"/>
        <w:keepLines w:val="0"/>
        <w:pageBreakBefore w:val="0"/>
        <w:kinsoku/>
        <w:wordWrap/>
        <w:overflowPunct/>
        <w:topLinePunct w:val="0"/>
        <w:autoSpaceDE/>
        <w:autoSpaceDN/>
        <w:bidi w:val="0"/>
        <w:adjustRightInd/>
        <w:spacing w:line="600" w:lineRule="exact"/>
        <w:ind w:firstLine="640"/>
        <w:textAlignment w:val="auto"/>
        <w:rPr>
          <w:rFonts w:eastAsia="方正仿宋_GBK"/>
          <w:sz w:val="32"/>
          <w:szCs w:val="32"/>
        </w:rPr>
      </w:pPr>
      <w:r>
        <w:rPr>
          <w:rFonts w:eastAsia="方正仿宋_GBK"/>
          <w:sz w:val="32"/>
          <w:szCs w:val="32"/>
        </w:rPr>
        <w:t>（三）提供虚假证明，或其家庭成员收入发生变化后不及时申报，瞒报骗保的。</w:t>
      </w:r>
    </w:p>
    <w:p>
      <w:pPr>
        <w:keepNext w:val="0"/>
        <w:keepLines w:val="0"/>
        <w:pageBreakBefore w:val="0"/>
        <w:kinsoku/>
        <w:wordWrap/>
        <w:overflowPunct/>
        <w:topLinePunct w:val="0"/>
        <w:autoSpaceDE/>
        <w:autoSpaceDN/>
        <w:bidi w:val="0"/>
        <w:adjustRightInd/>
        <w:spacing w:line="600" w:lineRule="exact"/>
        <w:ind w:firstLine="640"/>
        <w:textAlignment w:val="auto"/>
        <w:rPr>
          <w:rFonts w:eastAsia="方正仿宋_GBK"/>
          <w:color w:val="000000"/>
          <w:sz w:val="32"/>
          <w:szCs w:val="32"/>
        </w:rPr>
      </w:pPr>
      <w:r>
        <w:rPr>
          <w:rFonts w:eastAsia="方正仿宋_GBK"/>
          <w:sz w:val="32"/>
          <w:szCs w:val="32"/>
        </w:rPr>
        <w:t>（四）</w:t>
      </w:r>
      <w:r>
        <w:rPr>
          <w:rFonts w:eastAsia="方正仿宋_GBK"/>
          <w:color w:val="000000"/>
          <w:sz w:val="32"/>
          <w:szCs w:val="32"/>
        </w:rPr>
        <w:t>无正当理由拒不参加公益性社区服务劳动的（公益性活动频次及内容由各街镇安排确定）。</w:t>
      </w:r>
    </w:p>
    <w:p>
      <w:pPr>
        <w:keepNext w:val="0"/>
        <w:keepLines w:val="0"/>
        <w:pageBreakBefore w:val="0"/>
        <w:kinsoku/>
        <w:wordWrap/>
        <w:overflowPunct/>
        <w:topLinePunct w:val="0"/>
        <w:autoSpaceDE/>
        <w:autoSpaceDN/>
        <w:bidi w:val="0"/>
        <w:adjustRightInd/>
        <w:spacing w:line="600" w:lineRule="exact"/>
        <w:ind w:firstLine="640"/>
        <w:jc w:val="center"/>
        <w:textAlignment w:val="auto"/>
        <w:rPr>
          <w:rFonts w:eastAsia="方正黑体_GBK"/>
          <w:sz w:val="32"/>
          <w:szCs w:val="32"/>
        </w:rPr>
      </w:pPr>
      <w:r>
        <w:rPr>
          <w:rFonts w:eastAsia="方正黑体_GBK"/>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第十八条</w:t>
      </w:r>
      <w:r>
        <w:rPr>
          <w:rFonts w:hint="eastAsia" w:ascii="方正仿宋_GBK" w:hAnsi="方正仿宋_GBK" w:eastAsia="方正仿宋_GBK" w:cs="方正仿宋_GBK"/>
          <w:kern w:val="0"/>
          <w:sz w:val="32"/>
          <w:szCs w:val="32"/>
          <w:shd w:val="clear" w:color="auto" w:fill="FFFFFF"/>
          <w:lang w:val="en-US" w:eastAsia="zh-CN" w:bidi="ar-SA"/>
        </w:rPr>
        <w:t xml:space="preserve">  本办法自印发之日起施行。《重庆市江北区人民政府关于印发江北区最低生活保障条件认定办法的通知》（江北府</w:t>
      </w:r>
      <w:r>
        <w:rPr>
          <w:rFonts w:hint="default" w:ascii="Times New Roman" w:hAnsi="Times New Roman" w:eastAsia="方正仿宋_GBK" w:cs="Times New Roman"/>
          <w:kern w:val="0"/>
          <w:sz w:val="32"/>
          <w:szCs w:val="32"/>
          <w:shd w:val="clear" w:color="auto" w:fill="FFFFFF"/>
          <w:lang w:val="en-US" w:eastAsia="zh-CN" w:bidi="ar-SA"/>
        </w:rPr>
        <w:t>〔2018〕55号）</w:t>
      </w:r>
      <w:r>
        <w:rPr>
          <w:rFonts w:hint="eastAsia" w:ascii="方正仿宋_GBK" w:hAnsi="方正仿宋_GBK" w:eastAsia="方正仿宋_GBK" w:cs="方正仿宋_GBK"/>
          <w:kern w:val="0"/>
          <w:sz w:val="32"/>
          <w:szCs w:val="32"/>
          <w:shd w:val="clear" w:color="auto" w:fill="FFFFFF"/>
          <w:lang w:val="en-US" w:eastAsia="zh-CN" w:bidi="ar-SA"/>
        </w:rPr>
        <w:t>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附件：江北区农村低保家庭从事种植、养殖、采集及加工等</w:t>
      </w:r>
    </w:p>
    <w:p>
      <w:pPr>
        <w:keepNext w:val="0"/>
        <w:keepLines w:val="0"/>
        <w:pageBreakBefore w:val="0"/>
        <w:kinsoku/>
        <w:wordWrap/>
        <w:overflowPunct/>
        <w:topLinePunct w:val="0"/>
        <w:autoSpaceDE/>
        <w:autoSpaceDN/>
        <w:bidi w:val="0"/>
        <w:adjustRightInd/>
        <w:spacing w:line="600" w:lineRule="exact"/>
        <w:ind w:left="1478" w:leftChars="704" w:firstLine="0" w:firstLine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农林牧渔业生产人员劳动力系数计算表</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widowControl/>
        <w:spacing w:line="560" w:lineRule="exact"/>
        <w:jc w:val="left"/>
        <w:rPr>
          <w:rFonts w:eastAsia="方正黑体_GBK"/>
          <w:kern w:val="0"/>
          <w:szCs w:val="32"/>
        </w:rPr>
      </w:pPr>
      <w:r>
        <w:rPr>
          <w:rFonts w:eastAsia="方正黑体_GBK"/>
          <w:kern w:val="0"/>
          <w:sz w:val="32"/>
          <w:szCs w:val="32"/>
        </w:rPr>
        <w:t>附件</w:t>
      </w:r>
    </w:p>
    <w:p>
      <w:pPr>
        <w:widowControl/>
        <w:spacing w:line="560" w:lineRule="exact"/>
        <w:ind w:firstLine="88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江北区农村低保家庭从事种植、养殖、采集及加工等农林牧渔业生产人员劳动力系数计算表</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562" w:firstLineChars="200"/>
        <w:textAlignment w:val="auto"/>
        <w:rPr>
          <w:rFonts w:ascii="Times New Roman" w:hAnsi="Times New Roman" w:cs="Times New Roman"/>
        </w:rPr>
      </w:pPr>
    </w:p>
    <w:tbl>
      <w:tblPr>
        <w:tblStyle w:val="7"/>
        <w:tblW w:w="15180" w:type="dxa"/>
        <w:jc w:val="center"/>
        <w:tblLayout w:type="fixed"/>
        <w:tblCellMar>
          <w:top w:w="0" w:type="dxa"/>
          <w:left w:w="108" w:type="dxa"/>
          <w:bottom w:w="0" w:type="dxa"/>
          <w:right w:w="108" w:type="dxa"/>
        </w:tblCellMar>
      </w:tblPr>
      <w:tblGrid>
        <w:gridCol w:w="6370"/>
        <w:gridCol w:w="1581"/>
        <w:gridCol w:w="1731"/>
        <w:gridCol w:w="1731"/>
        <w:gridCol w:w="3767"/>
      </w:tblGrid>
      <w:tr>
        <w:tblPrEx>
          <w:tblCellMar>
            <w:top w:w="0" w:type="dxa"/>
            <w:left w:w="108" w:type="dxa"/>
            <w:bottom w:w="0" w:type="dxa"/>
            <w:right w:w="108" w:type="dxa"/>
          </w:tblCellMar>
        </w:tblPrEx>
        <w:trPr>
          <w:trHeight w:val="604" w:hRule="atLeast"/>
          <w:jc w:val="center"/>
        </w:trPr>
        <w:tc>
          <w:tcPr>
            <w:tcW w:w="6370" w:type="dxa"/>
            <w:tcBorders>
              <w:top w:val="single" w:color="auto" w:sz="4" w:space="0"/>
              <w:left w:val="single" w:color="auto" w:sz="4" w:space="0"/>
              <w:bottom w:val="nil"/>
              <w:right w:val="single" w:color="000000" w:sz="4" w:space="0"/>
            </w:tcBorders>
            <w:noWrap w:val="0"/>
            <w:vAlign w:val="center"/>
          </w:tcPr>
          <w:p>
            <w:pPr>
              <w:widowControl/>
              <w:spacing w:line="300" w:lineRule="exact"/>
              <w:ind w:firstLine="420"/>
              <w:jc w:val="center"/>
              <w:rPr>
                <w:rFonts w:ascii="Times New Roman" w:hAnsi="Times New Roman" w:eastAsia="方正黑体_GBK" w:cs="Times New Roman"/>
                <w:bCs/>
                <w:kern w:val="0"/>
                <w:sz w:val="21"/>
                <w:szCs w:val="21"/>
              </w:rPr>
            </w:pPr>
            <w:r>
              <w:rPr>
                <w:rFonts w:ascii="Times New Roman" w:hAnsi="Times New Roman" w:eastAsia="方正黑体_GBK" w:cs="Times New Roman"/>
                <w:bCs/>
                <w:kern w:val="0"/>
                <w:sz w:val="21"/>
                <w:szCs w:val="21"/>
              </w:rPr>
              <w:t>类别及等级</w:t>
            </w:r>
          </w:p>
        </w:tc>
        <w:tc>
          <w:tcPr>
            <w:tcW w:w="1581" w:type="dxa"/>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黑体_GBK" w:cs="Times New Roman"/>
                <w:bCs/>
                <w:kern w:val="0"/>
                <w:sz w:val="21"/>
                <w:szCs w:val="21"/>
              </w:rPr>
            </w:pPr>
            <w:r>
              <w:rPr>
                <w:rFonts w:ascii="Times New Roman" w:hAnsi="Times New Roman" w:eastAsia="方正黑体_GBK" w:cs="Times New Roman"/>
                <w:bCs/>
                <w:kern w:val="0"/>
                <w:sz w:val="21"/>
                <w:szCs w:val="21"/>
              </w:rPr>
              <w:t>16-45周岁</w:t>
            </w:r>
          </w:p>
        </w:tc>
        <w:tc>
          <w:tcPr>
            <w:tcW w:w="1731" w:type="dxa"/>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黑体_GBK" w:cs="Times New Roman"/>
                <w:bCs/>
                <w:kern w:val="0"/>
                <w:sz w:val="21"/>
                <w:szCs w:val="21"/>
              </w:rPr>
            </w:pPr>
            <w:r>
              <w:rPr>
                <w:rFonts w:ascii="Times New Roman" w:hAnsi="Times New Roman" w:eastAsia="方正黑体_GBK" w:cs="Times New Roman"/>
                <w:bCs/>
                <w:kern w:val="0"/>
                <w:sz w:val="21"/>
                <w:szCs w:val="21"/>
              </w:rPr>
              <w:t>45-55周岁</w:t>
            </w:r>
          </w:p>
        </w:tc>
        <w:tc>
          <w:tcPr>
            <w:tcW w:w="1731" w:type="dxa"/>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黑体_GBK" w:cs="Times New Roman"/>
                <w:bCs/>
                <w:kern w:val="0"/>
                <w:sz w:val="21"/>
                <w:szCs w:val="21"/>
              </w:rPr>
            </w:pPr>
            <w:r>
              <w:rPr>
                <w:rFonts w:ascii="Times New Roman" w:hAnsi="Times New Roman" w:eastAsia="方正黑体_GBK" w:cs="Times New Roman"/>
                <w:bCs/>
                <w:kern w:val="0"/>
                <w:sz w:val="21"/>
                <w:szCs w:val="21"/>
              </w:rPr>
              <w:t>55-60周岁</w:t>
            </w:r>
          </w:p>
        </w:tc>
        <w:tc>
          <w:tcPr>
            <w:tcW w:w="3767" w:type="dxa"/>
            <w:tcBorders>
              <w:top w:val="single" w:color="auto" w:sz="4" w:space="0"/>
              <w:left w:val="nil"/>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黑体_GBK" w:cs="Times New Roman"/>
                <w:bCs/>
                <w:kern w:val="0"/>
                <w:sz w:val="21"/>
                <w:szCs w:val="21"/>
              </w:rPr>
            </w:pPr>
            <w:r>
              <w:rPr>
                <w:rFonts w:ascii="Times New Roman" w:hAnsi="Times New Roman" w:eastAsia="方正黑体_GBK" w:cs="Times New Roman"/>
                <w:bCs/>
                <w:kern w:val="0"/>
                <w:sz w:val="21"/>
                <w:szCs w:val="21"/>
              </w:rPr>
              <w:t>16周岁以下人员、在校学生及60周岁以上老人</w:t>
            </w:r>
          </w:p>
        </w:tc>
      </w:tr>
      <w:tr>
        <w:tblPrEx>
          <w:tblCellMar>
            <w:top w:w="0" w:type="dxa"/>
            <w:left w:w="108" w:type="dxa"/>
            <w:bottom w:w="0" w:type="dxa"/>
            <w:right w:w="108" w:type="dxa"/>
          </w:tblCellMar>
        </w:tblPrEx>
        <w:trPr>
          <w:trHeight w:val="396" w:hRule="atLeast"/>
          <w:jc w:val="center"/>
        </w:trPr>
        <w:tc>
          <w:tcPr>
            <w:tcW w:w="63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健全人</w:t>
            </w:r>
          </w:p>
        </w:tc>
        <w:tc>
          <w:tcPr>
            <w:tcW w:w="158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1</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0.8</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0.4</w:t>
            </w:r>
          </w:p>
        </w:tc>
        <w:tc>
          <w:tcPr>
            <w:tcW w:w="3767" w:type="dxa"/>
            <w:tcBorders>
              <w:top w:val="nil"/>
              <w:left w:val="nil"/>
              <w:bottom w:val="single" w:color="000000" w:sz="4" w:space="0"/>
              <w:right w:val="single" w:color="auto"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r>
      <w:tr>
        <w:tblPrEx>
          <w:tblCellMar>
            <w:top w:w="0" w:type="dxa"/>
            <w:left w:w="108" w:type="dxa"/>
            <w:bottom w:w="0" w:type="dxa"/>
            <w:right w:w="108" w:type="dxa"/>
          </w:tblCellMar>
        </w:tblPrEx>
        <w:trPr>
          <w:trHeight w:val="415" w:hRule="atLeast"/>
          <w:jc w:val="center"/>
        </w:trPr>
        <w:tc>
          <w:tcPr>
            <w:tcW w:w="63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一般残疾人员</w:t>
            </w:r>
          </w:p>
        </w:tc>
        <w:tc>
          <w:tcPr>
            <w:tcW w:w="158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0.5</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0.3</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c>
          <w:tcPr>
            <w:tcW w:w="3767" w:type="dxa"/>
            <w:tcBorders>
              <w:top w:val="nil"/>
              <w:left w:val="nil"/>
              <w:bottom w:val="single" w:color="000000" w:sz="4" w:space="0"/>
              <w:right w:val="single" w:color="auto"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r>
      <w:tr>
        <w:tblPrEx>
          <w:tblCellMar>
            <w:top w:w="0" w:type="dxa"/>
            <w:left w:w="108" w:type="dxa"/>
            <w:bottom w:w="0" w:type="dxa"/>
            <w:right w:w="108" w:type="dxa"/>
          </w:tblCellMar>
        </w:tblPrEx>
        <w:trPr>
          <w:trHeight w:val="416" w:hRule="atLeast"/>
          <w:jc w:val="center"/>
        </w:trPr>
        <w:tc>
          <w:tcPr>
            <w:tcW w:w="63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一、二级残疾，以及三级智力、精神残疾人员；患重病或特殊疾病且完全丧失劳动能力人员</w:t>
            </w:r>
          </w:p>
        </w:tc>
        <w:tc>
          <w:tcPr>
            <w:tcW w:w="158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c>
          <w:tcPr>
            <w:tcW w:w="1731" w:type="dxa"/>
            <w:tcBorders>
              <w:top w:val="nil"/>
              <w:left w:val="nil"/>
              <w:bottom w:val="single" w:color="000000" w:sz="4" w:space="0"/>
              <w:right w:val="single" w:color="000000"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c>
          <w:tcPr>
            <w:tcW w:w="3767" w:type="dxa"/>
            <w:tcBorders>
              <w:top w:val="nil"/>
              <w:left w:val="nil"/>
              <w:bottom w:val="single" w:color="000000" w:sz="4" w:space="0"/>
              <w:right w:val="single" w:color="auto"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r>
      <w:tr>
        <w:tblPrEx>
          <w:tblCellMar>
            <w:top w:w="0" w:type="dxa"/>
            <w:left w:w="108" w:type="dxa"/>
            <w:bottom w:w="0" w:type="dxa"/>
            <w:right w:w="108" w:type="dxa"/>
          </w:tblCellMar>
        </w:tblPrEx>
        <w:trPr>
          <w:trHeight w:val="675" w:hRule="atLeast"/>
          <w:jc w:val="center"/>
        </w:trPr>
        <w:tc>
          <w:tcPr>
            <w:tcW w:w="6370" w:type="dxa"/>
            <w:tcBorders>
              <w:top w:val="single" w:color="000000" w:sz="4" w:space="0"/>
              <w:left w:val="single" w:color="auto" w:sz="4" w:space="0"/>
              <w:bottom w:val="single" w:color="000000" w:sz="6" w:space="0"/>
              <w:right w:val="single" w:color="000000" w:sz="6" w:space="0"/>
            </w:tcBorders>
            <w:noWrap w:val="0"/>
            <w:vAlign w:val="center"/>
          </w:tcPr>
          <w:p>
            <w:pPr>
              <w:widowControl/>
              <w:spacing w:line="300" w:lineRule="exact"/>
              <w:ind w:firstLine="420"/>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有1名需要照顾的智力、精神残疾以及完全丧失劳动能力的重残、重病人员家庭；或有未成年人的单亲</w:t>
            </w:r>
            <w:bookmarkStart w:id="0" w:name="_GoBack"/>
            <w:bookmarkEnd w:id="0"/>
            <w:r>
              <w:rPr>
                <w:rFonts w:ascii="Times New Roman" w:hAnsi="Times New Roman" w:eastAsia="方正仿宋_GBK" w:cs="Times New Roman"/>
                <w:bCs/>
                <w:kern w:val="0"/>
                <w:sz w:val="21"/>
                <w:szCs w:val="21"/>
              </w:rPr>
              <w:t xml:space="preserve">家庭； </w:t>
            </w:r>
          </w:p>
        </w:tc>
        <w:tc>
          <w:tcPr>
            <w:tcW w:w="8810" w:type="dxa"/>
            <w:gridSpan w:val="4"/>
            <w:tcBorders>
              <w:top w:val="single" w:color="000000" w:sz="4" w:space="0"/>
              <w:left w:val="single" w:color="000000" w:sz="6" w:space="0"/>
              <w:bottom w:val="single" w:color="000000" w:sz="6" w:space="0"/>
              <w:right w:val="single" w:color="auto"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家庭劳动力系数扣减0.5</w:t>
            </w:r>
          </w:p>
        </w:tc>
      </w:tr>
      <w:tr>
        <w:tblPrEx>
          <w:tblCellMar>
            <w:top w:w="0" w:type="dxa"/>
            <w:left w:w="108" w:type="dxa"/>
            <w:bottom w:w="0" w:type="dxa"/>
            <w:right w:w="108" w:type="dxa"/>
          </w:tblCellMar>
        </w:tblPrEx>
        <w:trPr>
          <w:trHeight w:val="499" w:hRule="atLeast"/>
          <w:jc w:val="center"/>
        </w:trPr>
        <w:tc>
          <w:tcPr>
            <w:tcW w:w="6370" w:type="dxa"/>
            <w:tcBorders>
              <w:top w:val="single" w:color="000000" w:sz="6" w:space="0"/>
              <w:left w:val="single" w:color="auto" w:sz="4" w:space="0"/>
              <w:bottom w:val="single" w:color="000000" w:sz="6" w:space="0"/>
              <w:right w:val="single" w:color="000000" w:sz="6" w:space="0"/>
            </w:tcBorders>
            <w:noWrap w:val="0"/>
            <w:vAlign w:val="center"/>
          </w:tcPr>
          <w:p>
            <w:pPr>
              <w:widowControl/>
              <w:spacing w:line="300" w:lineRule="exact"/>
              <w:ind w:firstLine="420"/>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有2名以上（含2名）需要照顾的完全丧失劳动能力的重残、重病人员家庭</w:t>
            </w:r>
          </w:p>
        </w:tc>
        <w:tc>
          <w:tcPr>
            <w:tcW w:w="8810" w:type="dxa"/>
            <w:gridSpan w:val="4"/>
            <w:tcBorders>
              <w:top w:val="single" w:color="000000" w:sz="6" w:space="0"/>
              <w:left w:val="single" w:color="000000" w:sz="6" w:space="0"/>
              <w:bottom w:val="single" w:color="000000" w:sz="6" w:space="0"/>
              <w:right w:val="single" w:color="auto" w:sz="4" w:space="0"/>
            </w:tcBorders>
            <w:noWrap w:val="0"/>
            <w:vAlign w:val="center"/>
          </w:tcPr>
          <w:p>
            <w:pPr>
              <w:widowControl/>
              <w:spacing w:line="300" w:lineRule="exact"/>
              <w:ind w:firstLine="420"/>
              <w:jc w:val="center"/>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0</w:t>
            </w:r>
          </w:p>
        </w:tc>
      </w:tr>
      <w:tr>
        <w:tblPrEx>
          <w:tblCellMar>
            <w:top w:w="0" w:type="dxa"/>
            <w:left w:w="108" w:type="dxa"/>
            <w:bottom w:w="0" w:type="dxa"/>
            <w:right w:w="108" w:type="dxa"/>
          </w:tblCellMar>
        </w:tblPrEx>
        <w:trPr>
          <w:trHeight w:val="1372" w:hRule="atLeast"/>
          <w:jc w:val="center"/>
        </w:trPr>
        <w:tc>
          <w:tcPr>
            <w:tcW w:w="15180" w:type="dxa"/>
            <w:gridSpan w:val="5"/>
            <w:tcBorders>
              <w:top w:val="single" w:color="000000" w:sz="6" w:space="0"/>
              <w:left w:val="single" w:color="auto" w:sz="4" w:space="0"/>
              <w:bottom w:val="single" w:color="auto" w:sz="4" w:space="0"/>
              <w:right w:val="single" w:color="auto" w:sz="4" w:space="0"/>
            </w:tcBorders>
            <w:noWrap w:val="0"/>
            <w:vAlign w:val="center"/>
          </w:tcPr>
          <w:p>
            <w:pPr>
              <w:widowControl/>
              <w:spacing w:line="300" w:lineRule="exact"/>
              <w:ind w:firstLine="420"/>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1.计算公式为：从事农业生产人员收入＝农村常住居民人均可支配收入×劳动力系数。</w:t>
            </w:r>
          </w:p>
          <w:p>
            <w:pPr>
              <w:widowControl/>
              <w:spacing w:line="300" w:lineRule="exact"/>
              <w:ind w:firstLine="420"/>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2.重病范围：按照《重庆市江北区健全重特大疾病医疗保险和救助制度的实施办法》（江北府办发〔2023〕24号）确定的26类特殊病种确定。</w:t>
            </w:r>
          </w:p>
          <w:p>
            <w:pPr>
              <w:widowControl/>
              <w:spacing w:line="300" w:lineRule="exact"/>
              <w:ind w:firstLine="420"/>
              <w:jc w:val="left"/>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 xml:space="preserve">3.特殊疾病范围：在江北区医保局办理了特病的对象（通过医保卡系统或特病就诊信息查询）。                                                                                                                                          </w:t>
            </w:r>
          </w:p>
          <w:p>
            <w:pPr>
              <w:widowControl/>
              <w:spacing w:line="300" w:lineRule="exact"/>
              <w:ind w:firstLine="420"/>
              <w:jc w:val="left"/>
              <w:rPr>
                <w:rFonts w:ascii="Times New Roman" w:hAnsi="Times New Roman" w:eastAsia="方正仿宋_GBK" w:cs="Times New Roman"/>
                <w:bCs/>
                <w:kern w:val="0"/>
                <w:sz w:val="21"/>
                <w:szCs w:val="21"/>
              </w:rPr>
            </w:pPr>
            <w:r>
              <w:rPr>
                <w:rFonts w:ascii="Times New Roman" w:hAnsi="Times New Roman" w:eastAsia="方正仿宋_GBK" w:cs="Times New Roman"/>
                <w:bCs/>
                <w:kern w:val="0"/>
                <w:sz w:val="21"/>
                <w:szCs w:val="21"/>
              </w:rPr>
              <w:t xml:space="preserve">4.当家庭劳动力系数扣减后出现负数时，按0系数计算。   </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28"/>
        <w:szCs w:val="44"/>
        <w:lang w:eastAsia="zh-Hans"/>
      </w:rPr>
      <w:t>重庆市江北区人民政府办公室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123825</wp:posOffset>
              </wp:positionV>
              <wp:extent cx="8769350" cy="1651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69350"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9.75pt;height:1.3pt;width:690.5pt;z-index:251663360;mso-width-relative:page;mso-height-relative:page;" filled="f" stroked="t" coordsize="21600,21600" o:gfxdata="UEsDBAoAAAAAAIdO4kAAAAAAAAAAAAAAAAAEAAAAZHJzL1BLAwQUAAAACACHTuJA8MRCwdkAAAAJ&#10;AQAADwAAAGRycy9kb3ducmV2LnhtbE2PS0/DMBCE70j8B2uRuFSt8xCQhjiVStQDByRayt2Nt0nU&#10;eB3F7otfz/YEx50ZzX5TLC62FyccfedIQTyLQCDVznTUKNh+raYZCB80Gd07QgVX9LAo7+8KnRt3&#10;pjWeNqERXEI+1wraEIZcSl+3aLWfuQGJvb0brQ58jo00oz5zue1lEkXP0uqO+EOrB3xrsT5sjlZB&#10;tawm6/fse1IvPw7VdfVDn9k2VerxIY5eQQS8hL8w3PAZHUpm2rkjGS96BdOUpwTW508gbn76krGy&#10;U5AkMciykP8XlL9QSwMEFAAAAAgAh07iQAM1n3X0AQAAwgMAAA4AAABkcnMvZTJvRG9jLnhtbK1T&#10;vW7bMBDeC/QdCO61JBd2E8FyhhjJErQG+rPTFCkR4B94jGW/RF+gQLd26ti9b9PkMXKkVLdNlwzl&#10;QBzvjt/x++64ujgYTfYigHK2odWspERY7lplu4a+f3f14owSiMy2TDsrGnoUQC/Wz5+tBl+Lueud&#10;bkUgCGKhHnxD+xh9XRTAe2EYzJwXFoPSBcMiHkNXtIENiG50MS/LZTG40PrguABA72YM0gkxPAXQ&#10;Sam42Dh+a4SNI2oQmkWkBL3yQNf5tVIKHt9ICSIS3VBkGvOORdDepb1Yr1jdBeZ7xacnsKc84REn&#10;w5TFoieoDYuM3Ab1D5RRPDhwMs64M8VIJCuCLKrykTZve+ZF5oJSgz+JDv8Plr/ebwNRLU5CRYll&#10;Bjt+9+n7z49f7n98xv3u21eCEZRp8FBj9qXdhukEfhsS54MMhkit/AdEySogL3LIIh9PIotDJByd&#10;Z6+W5y8XqD/HWLVcVLkJxQiT4HyAeC2cIcloqFY2acBqtr+BiKUx9VdKclt3pbTOfdSWDA2d41og&#10;PMPhlDgUaBqPBMF2lDDd4dTzGDIkOK3adD0BQeh2lzqQPUuzUi6q83nijeX+Sku1Nwz6MS+Hxiky&#10;KuLH0MogxzKt6ba2CJLUG/VK1s61xyxj9mNrc5lpDNPs/HnOt39/v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MRCwdkAAAAJAQAADwAAAAAAAAABACAAAAAiAAAAZHJzL2Rvd25yZXYueG1sUEsB&#10;AhQAFAAAAAgAh07iQAM1n3X0AQAAwgMAAA4AAAAAAAAAAQAgAAAAKAEAAGRycy9lMm9Eb2MueG1s&#10;UEsFBgAAAAAGAAYAWQEAAI4F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重庆市江北区人民政府行政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452755</wp:posOffset>
              </wp:positionV>
              <wp:extent cx="8761730" cy="444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6173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5.65pt;height:0.35pt;width:689.9pt;z-index:251662336;mso-width-relative:page;mso-height-relative:page;" filled="f" stroked="t" coordsize="21600,21600" o:gfxdata="UEsDBAoAAAAAAIdO4kAAAAAAAAAAAAAAAAAEAAAAZHJzL1BLAwQUAAAACACHTuJARTFqcdUAAAAI&#10;AQAADwAAAGRycy9kb3ducmV2LnhtbE2PwU7DMBBE70j9B2srcWvtJIhCiFOJSJyAA225u7EbR7XX&#10;lu0m5e9xT3DcmdHsm2Z7tYZMKsTRIYdizYAo7J0cceBw2L+tnoDEJFAK41Bx+FERtu3irhG1dDN+&#10;qWmXBpJLMNaCg07J15TGXisr4tp5hdk7uWBFymcYqAxizuXW0JKxR2rFiPmDFl51WvXn3cVy6N59&#10;2enP/RzK1/gxTJXxp/M35/fLgr0ASeqa/sJww8/o0Gamo7ugjMRwWD3kIIdNUQG52dXmOSvHrJQM&#10;aNvQ/wPaX1BLAwQUAAAACACHTuJAmuzwsPUBAADAAwAADgAAAGRycy9lMm9Eb2MueG1srVPNbtQw&#10;EL4j8Q6W72yS/W+02R66KhcEKwEP4HWcxJL/5HE3uy/BCyBxgxNH7rxNy2MwdtIWyqUHfLDHM+PP&#10;830eby5PWpGj8CCtqWgxySkRhttamraiHz9cv1pTAoGZmilrREXPAujl9uWLTe9KMbWdVbXwBEEM&#10;lL2raBeCK7MMeCc0g4l1wmCwsV6zgFvfZrVnPaJrlU3zfJn11tfOWy4A0LsbgnRE9M8BtE0judhZ&#10;fqOFCQOqF4oFpASddEC3qdqmETy8axoQgaiKItOQZrwE7UOcs+2Gla1nrpN8LIE9p4QnnDSTBi99&#10;gNqxwMiNl/9Aacm9BduECbc6G4gkRZBFkT/R5n3HnEhcUGpwD6LD/4Plb497T2Rd0Sklhml88LvP&#10;P24/ff318wvOd9+/kWkUqXdQYu6V2ftxB27vI+NT43VckQs5VXRezGbrBcp7ruh6OV+vRo3FKRCO&#10;8fVqWaxmGOeYMJ/PFxE9e4RxHsJrYTWJRkWVNFEBVrLjGwhD6n1KdBt7LZVCPyuVIT3SwLFAdIat&#10;2WBLoKkd0gPTUsJUiz3Pg0+QYJWs4/F4Gnx7uFKeHFnslHxRXCTeWNlfafHuHYNuyEuhoYe0DPgt&#10;lNRIMY9j5KUM0ovqDXpF62Drc5Ix+fFhkwBjE8bO+XOfTj9+vO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TFqcdUAAAAIAQAADwAAAAAAAAABACAAAAAiAAAAZHJzL2Rvd25yZXYueG1sUEsBAhQA&#10;FAAAAAgAh07iQJrs8LD1AQAAwAMAAA4AAAAAAAAAAQAgAAAAJAEAAGRycy9lMm9Eb2MueG1sUEsF&#10;BgAAAAAGAAYAWQEAAIs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5BC1C29"/>
    <w:rsid w:val="186614FB"/>
    <w:rsid w:val="187168EA"/>
    <w:rsid w:val="196673CA"/>
    <w:rsid w:val="1CF734C9"/>
    <w:rsid w:val="1DEC284C"/>
    <w:rsid w:val="1E6523AC"/>
    <w:rsid w:val="22440422"/>
    <w:rsid w:val="22BB4BBB"/>
    <w:rsid w:val="25EB1AF4"/>
    <w:rsid w:val="2DD05FE1"/>
    <w:rsid w:val="2EAE3447"/>
    <w:rsid w:val="2EC17583"/>
    <w:rsid w:val="31A15F24"/>
    <w:rsid w:val="34F55607"/>
    <w:rsid w:val="36FB1DF0"/>
    <w:rsid w:val="395347B5"/>
    <w:rsid w:val="39A232A0"/>
    <w:rsid w:val="39E745AA"/>
    <w:rsid w:val="3B5A6BBB"/>
    <w:rsid w:val="3CA154E3"/>
    <w:rsid w:val="3EDA13A6"/>
    <w:rsid w:val="3FF56C14"/>
    <w:rsid w:val="417B75E9"/>
    <w:rsid w:val="42430A63"/>
    <w:rsid w:val="42F058B7"/>
    <w:rsid w:val="436109F6"/>
    <w:rsid w:val="441A38D4"/>
    <w:rsid w:val="4504239D"/>
    <w:rsid w:val="469D7C0F"/>
    <w:rsid w:val="4BC77339"/>
    <w:rsid w:val="4C9236C5"/>
    <w:rsid w:val="4E250A85"/>
    <w:rsid w:val="4FFD4925"/>
    <w:rsid w:val="505C172E"/>
    <w:rsid w:val="506405EA"/>
    <w:rsid w:val="509D187F"/>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5E356D"/>
    <w:rsid w:val="6B68303F"/>
    <w:rsid w:val="6D0E3F22"/>
    <w:rsid w:val="6FA01BFA"/>
    <w:rsid w:val="73447EB0"/>
    <w:rsid w:val="744E4660"/>
    <w:rsid w:val="753355A2"/>
    <w:rsid w:val="759F1C61"/>
    <w:rsid w:val="769F2DE8"/>
    <w:rsid w:val="76F80885"/>
    <w:rsid w:val="76FDEB7C"/>
    <w:rsid w:val="76FF5463"/>
    <w:rsid w:val="79C65162"/>
    <w:rsid w:val="79EE7E31"/>
    <w:rsid w:val="7C9011D9"/>
    <w:rsid w:val="7CF574A2"/>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_Style 29"/>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4479</Words>
  <Characters>4542</Characters>
  <Lines>1</Lines>
  <Paragraphs>1</Paragraphs>
  <TotalTime>0</TotalTime>
  <ScaleCrop>false</ScaleCrop>
  <LinksUpToDate>false</LinksUpToDate>
  <CharactersWithSpaces>4747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hp</cp:lastModifiedBy>
  <cp:lastPrinted>2022-06-06T16:09:00Z</cp:lastPrinted>
  <dcterms:modified xsi:type="dcterms:W3CDTF">2023-11-13T03:37:18Z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48C61CB29D3F4D9384F5922CF0F7FFB4</vt:lpwstr>
  </property>
</Properties>
</file>