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C29" w:rsidRDefault="00025C29">
      <w:pPr>
        <w:spacing w:line="600" w:lineRule="atLeast"/>
        <w:jc w:val="center"/>
        <w:rPr>
          <w:rFonts w:ascii="方正仿宋_GBK" w:eastAsia="方正仿宋_GBK" w:hAnsi="方正仿宋_GBK" w:cs="方正仿宋_GBK"/>
          <w:sz w:val="32"/>
          <w:szCs w:val="32"/>
        </w:rPr>
      </w:pPr>
    </w:p>
    <w:p w:rsidR="00025C29" w:rsidRDefault="004B5D46">
      <w:pPr>
        <w:spacing w:line="600" w:lineRule="atLeas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p>
    <w:p w:rsidR="00025C29" w:rsidRDefault="004B5D46">
      <w:pPr>
        <w:pStyle w:val="p0"/>
        <w:widowControl w:val="0"/>
        <w:spacing w:line="540" w:lineRule="exact"/>
        <w:jc w:val="center"/>
        <w:rPr>
          <w:rStyle w:val="ab"/>
          <w:rFonts w:ascii="方正小标宋_GBK" w:eastAsia="方正小标宋_GBK" w:hAnsi="方正小标宋_GBK" w:cs="方正小标宋_GBK"/>
          <w:b w:val="0"/>
          <w:kern w:val="2"/>
          <w:sz w:val="44"/>
          <w:szCs w:val="44"/>
          <w:shd w:val="clear" w:color="auto" w:fill="FFFFFF"/>
        </w:rPr>
      </w:pPr>
      <w:r>
        <w:rPr>
          <w:rStyle w:val="ab"/>
          <w:rFonts w:ascii="方正小标宋_GBK" w:eastAsia="方正小标宋_GBK" w:hAnsi="方正小标宋_GBK" w:cs="方正小标宋_GBK" w:hint="eastAsia"/>
          <w:b w:val="0"/>
          <w:kern w:val="2"/>
          <w:sz w:val="44"/>
          <w:szCs w:val="44"/>
          <w:shd w:val="clear" w:color="auto" w:fill="FFFFFF"/>
        </w:rPr>
        <w:t>重庆市江北区人民政府</w:t>
      </w:r>
    </w:p>
    <w:p w:rsidR="00025C29" w:rsidRDefault="004B5D46">
      <w:pPr>
        <w:pStyle w:val="p0"/>
        <w:widowControl w:val="0"/>
        <w:spacing w:line="540" w:lineRule="exact"/>
        <w:jc w:val="center"/>
        <w:rPr>
          <w:rStyle w:val="ab"/>
          <w:rFonts w:ascii="方正小标宋_GBK" w:eastAsia="方正小标宋_GBK" w:hAnsi="方正小标宋_GBK" w:cs="方正小标宋_GBK"/>
          <w:b w:val="0"/>
          <w:kern w:val="2"/>
          <w:sz w:val="44"/>
          <w:szCs w:val="44"/>
          <w:shd w:val="clear" w:color="auto" w:fill="FFFFFF"/>
        </w:rPr>
      </w:pPr>
      <w:r>
        <w:rPr>
          <w:rStyle w:val="ab"/>
          <w:rFonts w:ascii="方正小标宋_GBK" w:eastAsia="方正小标宋_GBK" w:hAnsi="方正小标宋_GBK" w:cs="方正小标宋_GBK" w:hint="eastAsia"/>
          <w:b w:val="0"/>
          <w:kern w:val="2"/>
          <w:sz w:val="44"/>
          <w:szCs w:val="44"/>
          <w:shd w:val="clear" w:color="auto" w:fill="FFFFFF"/>
        </w:rPr>
        <w:t>关于印发《江北区现代生产性服务业高质量</w:t>
      </w:r>
    </w:p>
    <w:p w:rsidR="00025C29" w:rsidRDefault="004B5D46">
      <w:pPr>
        <w:pStyle w:val="p0"/>
        <w:widowControl w:val="0"/>
        <w:spacing w:line="540" w:lineRule="exact"/>
        <w:jc w:val="center"/>
      </w:pPr>
      <w:r>
        <w:rPr>
          <w:rStyle w:val="ab"/>
          <w:rFonts w:ascii="方正小标宋_GBK" w:eastAsia="方正小标宋_GBK" w:hAnsi="方正小标宋_GBK" w:cs="方正小标宋_GBK" w:hint="eastAsia"/>
          <w:b w:val="0"/>
          <w:kern w:val="2"/>
          <w:sz w:val="44"/>
          <w:szCs w:val="44"/>
          <w:shd w:val="clear" w:color="auto" w:fill="FFFFFF"/>
        </w:rPr>
        <w:t>发展行动方案（</w:t>
      </w:r>
      <w:r>
        <w:rPr>
          <w:rStyle w:val="ab"/>
          <w:rFonts w:ascii="Times New Roman" w:eastAsia="方正小标宋_GBK" w:hAnsi="Times New Roman" w:cs="Times New Roman"/>
          <w:b w:val="0"/>
          <w:kern w:val="2"/>
          <w:sz w:val="44"/>
          <w:szCs w:val="44"/>
          <w:shd w:val="clear" w:color="auto" w:fill="FFFFFF"/>
        </w:rPr>
        <w:t>2024—2027</w:t>
      </w:r>
      <w:r>
        <w:rPr>
          <w:rStyle w:val="ab"/>
          <w:rFonts w:ascii="方正小标宋_GBK" w:eastAsia="方正小标宋_GBK" w:hAnsi="方正小标宋_GBK" w:cs="方正小标宋_GBK" w:hint="eastAsia"/>
          <w:b w:val="0"/>
          <w:kern w:val="2"/>
          <w:sz w:val="44"/>
          <w:szCs w:val="44"/>
          <w:shd w:val="clear" w:color="auto" w:fill="FFFFFF"/>
        </w:rPr>
        <w:t>年）》的通知</w:t>
      </w:r>
    </w:p>
    <w:p w:rsidR="00025C29" w:rsidRDefault="004B5D46">
      <w:pPr>
        <w:widowControl/>
        <w:spacing w:line="540" w:lineRule="exact"/>
        <w:jc w:val="center"/>
        <w:rPr>
          <w:rFonts w:ascii="Times New Roman" w:eastAsia="方正仿宋_GBK" w:hAnsi="Times New Roman" w:cs="Times New Roman"/>
          <w:sz w:val="44"/>
          <w:szCs w:val="44"/>
          <w:shd w:val="clear" w:color="auto" w:fill="FFFFFF"/>
        </w:rPr>
      </w:pPr>
      <w:r>
        <w:rPr>
          <w:rFonts w:ascii="Times New Roman" w:eastAsia="方正仿宋_GBK" w:hAnsi="Times New Roman" w:cs="Times New Roman" w:hint="eastAsia"/>
          <w:sz w:val="32"/>
          <w:szCs w:val="32"/>
        </w:rPr>
        <w:t>江北府发〔</w:t>
      </w:r>
      <w:r>
        <w:rPr>
          <w:rFonts w:ascii="Times New Roman" w:eastAsia="方正仿宋_GBK" w:hAnsi="Times New Roman" w:cs="Times New Roman" w:hint="eastAsia"/>
          <w:sz w:val="32"/>
          <w:szCs w:val="32"/>
        </w:rPr>
        <w:t>2024</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16</w:t>
      </w:r>
      <w:r>
        <w:rPr>
          <w:rFonts w:ascii="Times New Roman" w:eastAsia="方正仿宋_GBK" w:hAnsi="Times New Roman" w:cs="Times New Roman" w:hint="eastAsia"/>
          <w:sz w:val="32"/>
          <w:szCs w:val="32"/>
        </w:rPr>
        <w:t>号</w:t>
      </w:r>
    </w:p>
    <w:p w:rsidR="00025C29" w:rsidRDefault="00025C29">
      <w:pPr>
        <w:spacing w:line="600" w:lineRule="atLeast"/>
        <w:jc w:val="center"/>
        <w:rPr>
          <w:rFonts w:ascii="宋体" w:eastAsia="宋体" w:hAnsi="宋体" w:cs="宋体"/>
          <w:sz w:val="44"/>
          <w:szCs w:val="44"/>
          <w:shd w:val="clear" w:color="auto" w:fill="FFFFFF"/>
        </w:rPr>
      </w:pPr>
    </w:p>
    <w:p w:rsidR="00025C29" w:rsidRDefault="004B5D46">
      <w:pPr>
        <w:spacing w:line="600" w:lineRule="exact"/>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各镇人民政府、街道办事处，区政府各部门，有关单位：</w:t>
      </w:r>
    </w:p>
    <w:p w:rsidR="00025C29" w:rsidRDefault="004B5D46">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《江北区现代生产性服务业高质量发展行动方案（</w:t>
      </w:r>
      <w:r>
        <w:rPr>
          <w:rFonts w:ascii="Times New Roman" w:eastAsia="方正仿宋_GBK" w:hAnsi="Times New Roman" w:cs="Times New Roman"/>
          <w:kern w:val="0"/>
          <w:sz w:val="32"/>
          <w:szCs w:val="32"/>
          <w:shd w:val="clear" w:color="auto" w:fill="FFFFFF"/>
        </w:rPr>
        <w:t>2024—2027</w:t>
      </w:r>
      <w:r>
        <w:rPr>
          <w:rFonts w:ascii="Times New Roman" w:eastAsia="方正仿宋_GBK" w:hAnsi="Times New Roman" w:cs="Times New Roman"/>
          <w:kern w:val="0"/>
          <w:sz w:val="32"/>
          <w:szCs w:val="32"/>
          <w:shd w:val="clear" w:color="auto" w:fill="FFFFFF"/>
        </w:rPr>
        <w:t>年）》经十三届区委第</w:t>
      </w:r>
      <w:r>
        <w:rPr>
          <w:rFonts w:ascii="Times New Roman" w:eastAsia="方正仿宋_GBK" w:hAnsi="Times New Roman" w:cs="Times New Roman"/>
          <w:kern w:val="0"/>
          <w:sz w:val="32"/>
          <w:szCs w:val="32"/>
          <w:shd w:val="clear" w:color="auto" w:fill="FFFFFF"/>
        </w:rPr>
        <w:t>120</w:t>
      </w:r>
      <w:r>
        <w:rPr>
          <w:rFonts w:ascii="Times New Roman" w:eastAsia="方正仿宋_GBK" w:hAnsi="Times New Roman" w:cs="Times New Roman"/>
          <w:kern w:val="0"/>
          <w:sz w:val="32"/>
          <w:szCs w:val="32"/>
          <w:shd w:val="clear" w:color="auto" w:fill="FFFFFF"/>
        </w:rPr>
        <w:t>次常委会会议、十九届区政府第</w:t>
      </w:r>
      <w:r>
        <w:rPr>
          <w:rFonts w:ascii="Times New Roman" w:eastAsia="方正仿宋_GBK" w:hAnsi="Times New Roman" w:cs="Times New Roman"/>
          <w:kern w:val="0"/>
          <w:sz w:val="32"/>
          <w:szCs w:val="32"/>
          <w:shd w:val="clear" w:color="auto" w:fill="FFFFFF"/>
        </w:rPr>
        <w:t>95</w:t>
      </w:r>
      <w:r>
        <w:rPr>
          <w:rFonts w:ascii="Times New Roman" w:eastAsia="方正仿宋_GBK" w:hAnsi="Times New Roman" w:cs="Times New Roman"/>
          <w:kern w:val="0"/>
          <w:sz w:val="32"/>
          <w:szCs w:val="32"/>
          <w:shd w:val="clear" w:color="auto" w:fill="FFFFFF"/>
        </w:rPr>
        <w:t>次常务会议审议通过，现印发给你们，请遵照执行。</w:t>
      </w:r>
    </w:p>
    <w:p w:rsidR="00025C29" w:rsidRDefault="00025C29">
      <w:pPr>
        <w:spacing w:line="600" w:lineRule="exact"/>
        <w:ind w:firstLineChars="200" w:firstLine="640"/>
        <w:jc w:val="center"/>
        <w:rPr>
          <w:rFonts w:ascii="Times New Roman" w:eastAsia="方正仿宋_GBK" w:hAnsi="Times New Roman" w:cs="Times New Roman"/>
          <w:kern w:val="0"/>
          <w:sz w:val="32"/>
          <w:szCs w:val="32"/>
          <w:shd w:val="clear" w:color="auto" w:fill="FFFFFF"/>
        </w:rPr>
      </w:pPr>
    </w:p>
    <w:p w:rsidR="00025C29" w:rsidRDefault="004B5D46">
      <w:pPr>
        <w:wordWrap w:val="0"/>
        <w:spacing w:line="600" w:lineRule="exact"/>
        <w:ind w:firstLineChars="1250" w:firstLine="4000"/>
        <w:jc w:val="right"/>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重庆市江北区人民政府</w:t>
      </w:r>
      <w:r>
        <w:rPr>
          <w:rFonts w:ascii="Times New Roman" w:eastAsia="方正仿宋_GBK" w:hAnsi="Times New Roman" w:cs="Times New Roman"/>
          <w:kern w:val="0"/>
          <w:sz w:val="32"/>
          <w:szCs w:val="32"/>
          <w:shd w:val="clear" w:color="auto" w:fill="FFFFFF"/>
        </w:rPr>
        <w:t xml:space="preserve">   </w:t>
      </w:r>
    </w:p>
    <w:p w:rsidR="00025C29" w:rsidRDefault="004B5D46">
      <w:pPr>
        <w:spacing w:line="600" w:lineRule="exact"/>
        <w:ind w:firstLineChars="1761" w:firstLine="5635"/>
        <w:jc w:val="left"/>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2024</w:t>
      </w:r>
      <w:r>
        <w:rPr>
          <w:rFonts w:ascii="Times New Roman" w:eastAsia="方正仿宋_GBK" w:hAnsi="Times New Roman" w:cs="Times New Roman"/>
          <w:kern w:val="0"/>
          <w:sz w:val="32"/>
          <w:szCs w:val="32"/>
          <w:shd w:val="clear" w:color="auto" w:fill="FFFFFF"/>
        </w:rPr>
        <w:t>年</w:t>
      </w:r>
      <w:r>
        <w:rPr>
          <w:rFonts w:ascii="Times New Roman" w:eastAsia="方正仿宋_GBK" w:hAnsi="Times New Roman" w:cs="Times New Roman"/>
          <w:kern w:val="0"/>
          <w:sz w:val="32"/>
          <w:szCs w:val="32"/>
          <w:shd w:val="clear" w:color="auto" w:fill="FFFFFF"/>
        </w:rPr>
        <w:t>9</w:t>
      </w:r>
      <w:r>
        <w:rPr>
          <w:rFonts w:ascii="Times New Roman" w:eastAsia="方正仿宋_GBK" w:hAnsi="Times New Roman" w:cs="Times New Roman"/>
          <w:kern w:val="0"/>
          <w:sz w:val="32"/>
          <w:szCs w:val="32"/>
          <w:shd w:val="clear" w:color="auto" w:fill="FFFFFF"/>
        </w:rPr>
        <w:t>月</w:t>
      </w:r>
      <w:r>
        <w:rPr>
          <w:rFonts w:ascii="Times New Roman" w:eastAsia="方正仿宋_GBK" w:hAnsi="Times New Roman" w:cs="Times New Roman"/>
          <w:kern w:val="0"/>
          <w:sz w:val="32"/>
          <w:szCs w:val="32"/>
          <w:shd w:val="clear" w:color="auto" w:fill="FFFFFF"/>
        </w:rPr>
        <w:t>21</w:t>
      </w:r>
      <w:r>
        <w:rPr>
          <w:rFonts w:ascii="Times New Roman" w:eastAsia="方正仿宋_GBK" w:hAnsi="Times New Roman" w:cs="Times New Roman"/>
          <w:kern w:val="0"/>
          <w:sz w:val="32"/>
          <w:szCs w:val="32"/>
          <w:shd w:val="clear" w:color="auto" w:fill="FFFFFF"/>
        </w:rPr>
        <w:t>日</w:t>
      </w:r>
      <w:r>
        <w:rPr>
          <w:rFonts w:ascii="Times New Roman" w:hAnsi="Times New Roman" w:cs="Times New Roman"/>
        </w:rPr>
        <w:t xml:space="preserve"> </w:t>
      </w:r>
    </w:p>
    <w:p w:rsidR="00025C29" w:rsidRDefault="004B5D46">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（本文有删减）</w:t>
      </w:r>
    </w:p>
    <w:p w:rsidR="00025C29" w:rsidRDefault="00025C29">
      <w:pPr>
        <w:spacing w:line="600" w:lineRule="atLeast"/>
        <w:ind w:firstLineChars="200" w:firstLine="640"/>
        <w:rPr>
          <w:rFonts w:ascii="黑体" w:eastAsia="黑体" w:hAnsi="黑体" w:cs="黑体"/>
          <w:color w:val="333333"/>
          <w:sz w:val="32"/>
          <w:szCs w:val="32"/>
          <w:shd w:val="clear" w:color="auto" w:fill="FFFFFF"/>
        </w:rPr>
      </w:pPr>
    </w:p>
    <w:p w:rsidR="00025C29" w:rsidRDefault="00025C29">
      <w:pPr>
        <w:pStyle w:val="a9"/>
        <w:widowControl/>
        <w:shd w:val="clear" w:color="auto" w:fill="FFFFFF"/>
        <w:spacing w:line="600" w:lineRule="atLeast"/>
        <w:jc w:val="both"/>
        <w:rPr>
          <w:rFonts w:ascii="方正仿宋_GBK" w:eastAsia="方正仿宋_GBK" w:hAnsi="方正仿宋_GBK" w:cs="方正仿宋_GBK"/>
          <w:sz w:val="32"/>
          <w:szCs w:val="32"/>
          <w:shd w:val="clear" w:color="auto" w:fill="FFFFFF"/>
        </w:rPr>
      </w:pPr>
    </w:p>
    <w:p w:rsidR="00025C29" w:rsidRDefault="00025C29">
      <w:pPr>
        <w:spacing w:line="600" w:lineRule="atLeast"/>
        <w:jc w:val="center"/>
        <w:rPr>
          <w:rFonts w:ascii="方正小标宋_GBK" w:eastAsia="方正小标宋_GBK" w:hAnsi="方正小标宋_GBK" w:cs="方正小标宋_GBK"/>
          <w:kern w:val="0"/>
          <w:sz w:val="44"/>
          <w:szCs w:val="44"/>
          <w:shd w:val="clear" w:color="auto" w:fill="FFFFFF"/>
        </w:rPr>
      </w:pPr>
    </w:p>
    <w:p w:rsidR="00025C29" w:rsidRDefault="00025C29">
      <w:pPr>
        <w:spacing w:line="600" w:lineRule="atLeast"/>
        <w:jc w:val="center"/>
        <w:rPr>
          <w:rFonts w:ascii="方正小标宋_GBK" w:eastAsia="方正小标宋_GBK" w:hAnsi="方正小标宋_GBK" w:cs="方正小标宋_GBK"/>
          <w:kern w:val="0"/>
          <w:sz w:val="44"/>
          <w:szCs w:val="44"/>
          <w:shd w:val="clear" w:color="auto" w:fill="FFFFFF"/>
        </w:rPr>
      </w:pPr>
    </w:p>
    <w:p w:rsidR="00025C29" w:rsidRDefault="004B5D46">
      <w:pPr>
        <w:spacing w:line="540" w:lineRule="exact"/>
        <w:jc w:val="center"/>
        <w:rPr>
          <w:rFonts w:ascii="方正小标宋_GBK" w:eastAsia="方正小标宋_GBK" w:hAnsi="方正小标宋_GBK" w:cs="方正小标宋_GBK"/>
          <w:kern w:val="0"/>
          <w:sz w:val="44"/>
          <w:szCs w:val="44"/>
          <w:shd w:val="clear" w:color="auto" w:fill="FFFFFF"/>
        </w:rPr>
      </w:pPr>
      <w:r>
        <w:rPr>
          <w:rFonts w:ascii="Times New Roman" w:eastAsia="方正小标宋_GBK" w:hAnsi="Times New Roman" w:cs="Times New Roman"/>
          <w:bCs/>
          <w:color w:val="000000"/>
          <w:sz w:val="44"/>
          <w:szCs w:val="44"/>
        </w:rPr>
        <w:t>江北区现代生</w:t>
      </w:r>
      <w:r>
        <w:rPr>
          <w:rFonts w:ascii="方正小标宋_GBK" w:eastAsia="方正小标宋_GBK" w:hAnsi="方正小标宋_GBK" w:cs="方正小标宋_GBK" w:hint="eastAsia"/>
          <w:bCs/>
          <w:color w:val="000000"/>
          <w:sz w:val="44"/>
          <w:szCs w:val="44"/>
        </w:rPr>
        <w:t>产性服务业高质量发展行动方案</w:t>
      </w:r>
      <w:r>
        <w:rPr>
          <w:rFonts w:ascii="Times New Roman" w:eastAsia="方正小标宋_GBK" w:hAnsi="Times New Roman" w:cs="Times New Roman"/>
          <w:bCs/>
          <w:color w:val="000000"/>
          <w:sz w:val="44"/>
          <w:szCs w:val="44"/>
        </w:rPr>
        <w:t>（</w:t>
      </w:r>
      <w:r>
        <w:rPr>
          <w:rFonts w:ascii="Times New Roman" w:eastAsia="方正小标宋_GBK" w:hAnsi="Times New Roman" w:cs="Times New Roman"/>
          <w:bCs/>
          <w:color w:val="000000"/>
          <w:sz w:val="44"/>
          <w:szCs w:val="44"/>
        </w:rPr>
        <w:t>2024—2027</w:t>
      </w:r>
      <w:r>
        <w:rPr>
          <w:rFonts w:ascii="Times New Roman" w:eastAsia="方正小标宋_GBK" w:hAnsi="Times New Roman" w:cs="Times New Roman"/>
          <w:bCs/>
          <w:color w:val="000000"/>
          <w:sz w:val="44"/>
          <w:szCs w:val="44"/>
        </w:rPr>
        <w:t>年）</w:t>
      </w:r>
    </w:p>
    <w:p w:rsidR="00025C29" w:rsidRDefault="00025C29">
      <w:pPr>
        <w:spacing w:line="600" w:lineRule="atLeast"/>
        <w:jc w:val="center"/>
        <w:rPr>
          <w:rFonts w:ascii="方正仿宋_GBK" w:eastAsia="方正仿宋_GBK" w:hAnsi="方正仿宋_GBK" w:cs="方正仿宋_GBK"/>
          <w:kern w:val="0"/>
          <w:sz w:val="32"/>
          <w:szCs w:val="32"/>
          <w:shd w:val="clear" w:color="auto" w:fill="FFFFFF"/>
        </w:rPr>
      </w:pPr>
    </w:p>
    <w:p w:rsidR="00025C29" w:rsidRDefault="004B5D46">
      <w:pPr>
        <w:spacing w:line="60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t>为深入学习贯彻党的二十大和二十届二中、三中全会精神，全面贯彻落实习近平总书记视察重庆重要讲话重要指示精神，认真落实《重庆市加速推进现代生产性服务业高质量发展行动方案（</w:t>
      </w:r>
      <w:r>
        <w:rPr>
          <w:rFonts w:ascii="Times New Roman" w:eastAsia="方正仿宋_GBK" w:hAnsi="Times New Roman" w:cs="Times New Roman"/>
          <w:bCs/>
          <w:color w:val="000000"/>
          <w:sz w:val="32"/>
          <w:szCs w:val="32"/>
        </w:rPr>
        <w:t>2024—2027</w:t>
      </w:r>
      <w:r>
        <w:rPr>
          <w:rFonts w:ascii="Times New Roman" w:eastAsia="方正仿宋_GBK" w:hAnsi="Times New Roman" w:cs="Times New Roman"/>
          <w:bCs/>
          <w:color w:val="000000"/>
          <w:sz w:val="32"/>
          <w:szCs w:val="32"/>
        </w:rPr>
        <w:t>年）》文件精神，在全市当好</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五个先行示范</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，进一步加快生产性服务业高质量发展，促进现代服务业与先进制造业深度融合，构建优质高效的服务业新体系，特制定本方案。</w:t>
      </w:r>
    </w:p>
    <w:p w:rsidR="00025C29" w:rsidRDefault="004B5D46">
      <w:pPr>
        <w:numPr>
          <w:ilvl w:val="0"/>
          <w:numId w:val="1"/>
        </w:numPr>
        <w:spacing w:line="600" w:lineRule="exact"/>
        <w:ind w:firstLineChars="200" w:firstLine="640"/>
        <w:rPr>
          <w:rFonts w:ascii="Times New Roman" w:eastAsia="方正黑体_GBK" w:hAnsi="Times New Roman" w:cs="Times New Roman"/>
          <w:bCs/>
          <w:color w:val="000000"/>
          <w:sz w:val="32"/>
          <w:szCs w:val="32"/>
        </w:rPr>
      </w:pPr>
      <w:r>
        <w:rPr>
          <w:rFonts w:ascii="Times New Roman" w:eastAsia="方正黑体_GBK" w:hAnsi="Times New Roman" w:cs="Times New Roman"/>
          <w:bCs/>
          <w:color w:val="000000"/>
          <w:sz w:val="32"/>
          <w:szCs w:val="32"/>
        </w:rPr>
        <w:t>总体目标</w:t>
      </w:r>
    </w:p>
    <w:p w:rsidR="00025C29" w:rsidRDefault="004B5D46">
      <w:pPr>
        <w:numPr>
          <w:ilvl w:val="0"/>
          <w:numId w:val="2"/>
        </w:numPr>
        <w:spacing w:line="60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color w:val="000000"/>
          <w:sz w:val="32"/>
          <w:szCs w:val="32"/>
        </w:rPr>
        <w:t>围绕国家重大战略部署，以赋能重庆市</w:t>
      </w:r>
      <w:r>
        <w:rPr>
          <w:rFonts w:ascii="Times New Roman" w:eastAsia="方正仿宋_GBK" w:hAnsi="Times New Roman" w:cs="Times New Roman"/>
          <w:bCs/>
          <w:color w:val="000000"/>
          <w:sz w:val="32"/>
          <w:szCs w:val="32"/>
        </w:rPr>
        <w:t>“33618”</w:t>
      </w:r>
      <w:r>
        <w:rPr>
          <w:rFonts w:ascii="Times New Roman" w:eastAsia="方正仿宋_GBK" w:hAnsi="Times New Roman" w:cs="Times New Roman"/>
          <w:bCs/>
          <w:color w:val="000000"/>
          <w:sz w:val="32"/>
          <w:szCs w:val="32"/>
        </w:rPr>
        <w:t>和我区</w:t>
      </w:r>
      <w:r>
        <w:rPr>
          <w:rFonts w:ascii="Times New Roman" w:eastAsia="方正仿宋_GBK" w:hAnsi="Times New Roman" w:cs="Times New Roman"/>
          <w:bCs/>
          <w:color w:val="000000"/>
          <w:sz w:val="32"/>
          <w:szCs w:val="32"/>
        </w:rPr>
        <w:t>“22411”</w:t>
      </w:r>
      <w:r>
        <w:rPr>
          <w:rFonts w:ascii="Times New Roman" w:eastAsia="方正仿宋_GBK" w:hAnsi="Times New Roman" w:cs="Times New Roman"/>
          <w:bCs/>
          <w:color w:val="000000"/>
          <w:sz w:val="32"/>
          <w:szCs w:val="32"/>
        </w:rPr>
        <w:t>现代制造业集群体系为发展导向，推动生产性服务业向专业化和价值链高端延伸，提升品质化、数字化、</w:t>
      </w:r>
      <w:r>
        <w:rPr>
          <w:rFonts w:ascii="Times New Roman" w:eastAsia="方正仿宋_GBK" w:hAnsi="Times New Roman" w:cs="Times New Roman"/>
          <w:bCs/>
          <w:color w:val="000000"/>
          <w:sz w:val="32"/>
          <w:szCs w:val="32"/>
        </w:rPr>
        <w:t>融合化、绿色化、国际化水平，着力打造全市最高水平生产性服务业示范区。到</w:t>
      </w:r>
      <w:r>
        <w:rPr>
          <w:rFonts w:ascii="Times New Roman" w:eastAsia="方正仿宋_GBK" w:hAnsi="Times New Roman" w:cs="Times New Roman"/>
          <w:bCs/>
          <w:color w:val="000000"/>
          <w:sz w:val="32"/>
          <w:szCs w:val="32"/>
        </w:rPr>
        <w:t>2027</w:t>
      </w:r>
      <w:r>
        <w:rPr>
          <w:rFonts w:ascii="Times New Roman" w:eastAsia="方正仿宋_GBK" w:hAnsi="Times New Roman" w:cs="Times New Roman"/>
          <w:bCs/>
          <w:color w:val="000000"/>
          <w:sz w:val="32"/>
          <w:szCs w:val="32"/>
        </w:rPr>
        <w:t>年，全区生产性服务业占服务业增加值比重超过</w:t>
      </w:r>
      <w:r>
        <w:rPr>
          <w:rFonts w:ascii="Times New Roman" w:eastAsia="方正仿宋_GBK" w:hAnsi="Times New Roman" w:cs="Times New Roman"/>
          <w:bCs/>
          <w:color w:val="000000"/>
          <w:sz w:val="32"/>
          <w:szCs w:val="32"/>
        </w:rPr>
        <w:t>60%</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3</w:t>
      </w:r>
      <w:r>
        <w:rPr>
          <w:rFonts w:ascii="Times New Roman" w:eastAsia="方正仿宋_GBK" w:hAnsi="Times New Roman" w:cs="Times New Roman"/>
          <w:bCs/>
          <w:color w:val="000000"/>
          <w:sz w:val="32"/>
          <w:szCs w:val="32"/>
        </w:rPr>
        <w:t>个百亿级规模、具备较强行业竞争力的生产性服务业集聚区基本形成，力争培育和打造生产性服务业领军企业达到</w:t>
      </w:r>
      <w:r>
        <w:rPr>
          <w:rFonts w:ascii="Times New Roman" w:eastAsia="方正仿宋_GBK" w:hAnsi="Times New Roman" w:cs="Times New Roman"/>
          <w:bCs/>
          <w:color w:val="000000"/>
          <w:sz w:val="32"/>
          <w:szCs w:val="32"/>
        </w:rPr>
        <w:t>10</w:t>
      </w:r>
      <w:r>
        <w:rPr>
          <w:rFonts w:ascii="Times New Roman" w:eastAsia="方正仿宋_GBK" w:hAnsi="Times New Roman" w:cs="Times New Roman"/>
          <w:bCs/>
          <w:color w:val="000000"/>
          <w:sz w:val="32"/>
          <w:szCs w:val="32"/>
        </w:rPr>
        <w:t>家，生产性服务业规上企业数量年均增速</w:t>
      </w:r>
      <w:r>
        <w:rPr>
          <w:rFonts w:ascii="Times New Roman" w:eastAsia="方正仿宋_GBK" w:hAnsi="Times New Roman" w:cs="Times New Roman"/>
          <w:bCs/>
          <w:color w:val="000000"/>
          <w:sz w:val="32"/>
          <w:szCs w:val="32"/>
        </w:rPr>
        <w:t>5%</w:t>
      </w:r>
      <w:r>
        <w:rPr>
          <w:rFonts w:ascii="Times New Roman" w:eastAsia="方正仿宋_GBK" w:hAnsi="Times New Roman" w:cs="Times New Roman"/>
          <w:bCs/>
          <w:color w:val="000000"/>
          <w:sz w:val="32"/>
          <w:szCs w:val="32"/>
        </w:rPr>
        <w:t>以上。</w:t>
      </w:r>
    </w:p>
    <w:p w:rsidR="00025C29" w:rsidRDefault="004B5D46">
      <w:pPr>
        <w:spacing w:line="600" w:lineRule="exact"/>
        <w:ind w:firstLineChars="200" w:firstLine="640"/>
        <w:rPr>
          <w:rFonts w:ascii="Times New Roman" w:eastAsia="方正黑体_GBK" w:hAnsi="Times New Roman" w:cs="Times New Roman"/>
          <w:bCs/>
          <w:color w:val="000000"/>
          <w:sz w:val="32"/>
          <w:szCs w:val="32"/>
        </w:rPr>
      </w:pPr>
      <w:r>
        <w:rPr>
          <w:rFonts w:ascii="Times New Roman" w:eastAsia="方正黑体_GBK" w:hAnsi="Times New Roman" w:cs="Times New Roman"/>
          <w:bCs/>
          <w:color w:val="000000"/>
          <w:sz w:val="32"/>
          <w:szCs w:val="32"/>
        </w:rPr>
        <w:t>二、重点打造</w:t>
      </w:r>
      <w:r>
        <w:rPr>
          <w:rFonts w:ascii="Times New Roman" w:eastAsia="方正黑体_GBK" w:hAnsi="Times New Roman" w:cs="Times New Roman"/>
          <w:bCs/>
          <w:color w:val="000000"/>
          <w:sz w:val="32"/>
          <w:szCs w:val="32"/>
        </w:rPr>
        <w:t>“</w:t>
      </w:r>
      <w:r>
        <w:rPr>
          <w:rFonts w:ascii="Times New Roman" w:eastAsia="方正黑体_GBK" w:hAnsi="Times New Roman" w:cs="Times New Roman"/>
          <w:bCs/>
          <w:color w:val="000000"/>
          <w:sz w:val="32"/>
          <w:szCs w:val="32"/>
        </w:rPr>
        <w:t>三大</w:t>
      </w:r>
      <w:r>
        <w:rPr>
          <w:rFonts w:ascii="Times New Roman" w:eastAsia="方正黑体_GBK" w:hAnsi="Times New Roman" w:cs="Times New Roman"/>
          <w:bCs/>
          <w:color w:val="000000"/>
          <w:sz w:val="32"/>
          <w:szCs w:val="32"/>
        </w:rPr>
        <w:t>”</w:t>
      </w:r>
      <w:r>
        <w:rPr>
          <w:rFonts w:ascii="Times New Roman" w:eastAsia="方正黑体_GBK" w:hAnsi="Times New Roman" w:cs="Times New Roman"/>
          <w:bCs/>
          <w:color w:val="000000"/>
          <w:sz w:val="32"/>
          <w:szCs w:val="32"/>
        </w:rPr>
        <w:t>集聚区</w:t>
      </w:r>
    </w:p>
    <w:p w:rsidR="00025C29" w:rsidRDefault="004B5D46">
      <w:pPr>
        <w:spacing w:line="60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lastRenderedPageBreak/>
        <w:t>（</w:t>
      </w:r>
      <w:r>
        <w:rPr>
          <w:rFonts w:ascii="Times New Roman" w:eastAsia="方正仿宋_GBK" w:hAnsi="Times New Roman" w:cs="Times New Roman"/>
          <w:bCs/>
          <w:color w:val="000000"/>
          <w:sz w:val="32"/>
          <w:szCs w:val="32"/>
        </w:rPr>
        <w:t>2</w:t>
      </w:r>
      <w:r>
        <w:rPr>
          <w:rFonts w:ascii="Times New Roman" w:eastAsia="方正仿宋_GBK" w:hAnsi="Times New Roman" w:cs="Times New Roman"/>
          <w:bCs/>
          <w:color w:val="000000"/>
          <w:sz w:val="32"/>
          <w:szCs w:val="32"/>
        </w:rPr>
        <w:t>）江北嘴中央商务区。支持进一步优化片区内生产性服务业发展预留空间，聚力发展金融业一大核心产业，优先发展信息技术、科技研发服务两大战略先导产业，提速发展三大规模成型的现代商贸、现代物流、商务会展服务业</w:t>
      </w:r>
      <w:r>
        <w:rPr>
          <w:rFonts w:ascii="Times New Roman" w:eastAsia="方正仿宋_GBK" w:hAnsi="Times New Roman" w:cs="Times New Roman"/>
          <w:bCs/>
          <w:color w:val="000000"/>
          <w:sz w:val="32"/>
          <w:szCs w:val="32"/>
        </w:rPr>
        <w:t>，提质发展六大协同支撑的检验检测认证、知识产权、智能运维、法律服务、会计审计、人力资源服务业，加快建成服务能力突出、集聚效应凸显、具有江北嘴中央商务区发展特色的</w:t>
      </w:r>
      <w:r>
        <w:rPr>
          <w:rFonts w:ascii="Times New Roman" w:eastAsia="方正仿宋_GBK" w:hAnsi="Times New Roman" w:cs="Times New Roman"/>
          <w:bCs/>
          <w:color w:val="000000"/>
          <w:sz w:val="32"/>
          <w:szCs w:val="32"/>
        </w:rPr>
        <w:t>“1236”</w:t>
      </w:r>
      <w:r>
        <w:rPr>
          <w:rFonts w:ascii="Times New Roman" w:eastAsia="方正仿宋_GBK" w:hAnsi="Times New Roman" w:cs="Times New Roman"/>
          <w:bCs/>
          <w:color w:val="000000"/>
          <w:sz w:val="32"/>
          <w:szCs w:val="32"/>
        </w:rPr>
        <w:t>生产性服务业产业集群。</w:t>
      </w:r>
    </w:p>
    <w:p w:rsidR="00025C29" w:rsidRDefault="004B5D46">
      <w:pPr>
        <w:spacing w:line="60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3</w:t>
      </w:r>
      <w:r>
        <w:rPr>
          <w:rFonts w:ascii="Times New Roman" w:eastAsia="方正仿宋_GBK" w:hAnsi="Times New Roman" w:cs="Times New Roman"/>
          <w:bCs/>
          <w:color w:val="000000"/>
          <w:sz w:val="32"/>
          <w:szCs w:val="32"/>
        </w:rPr>
        <w:t>）观音桥商圈。支持观音桥商圈全面改造提升，明确以批发贸易、商务服务两大服务业为核心产业，以软件信息、人力资源、研发设计三大服务业为支撑产业，以现代物流为重点培育产业，丰富跨境电商、产业电商、直播电商等电商业态，积极拓展</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企业需求清单</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服务场景应用</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精准服务新模式，进一步提升观音桥商圈现代商贸与服务贸易的领先地位</w:t>
      </w:r>
      <w:r>
        <w:rPr>
          <w:rFonts w:ascii="Times New Roman" w:eastAsia="方正仿宋_GBK" w:hAnsi="Times New Roman" w:cs="Times New Roman"/>
          <w:bCs/>
          <w:color w:val="000000"/>
          <w:sz w:val="32"/>
          <w:szCs w:val="32"/>
        </w:rPr>
        <w:t>。</w:t>
      </w:r>
    </w:p>
    <w:p w:rsidR="00025C29" w:rsidRDefault="004B5D46">
      <w:pPr>
        <w:spacing w:line="60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4</w:t>
      </w:r>
      <w:r>
        <w:rPr>
          <w:rFonts w:ascii="Times New Roman" w:eastAsia="方正仿宋_GBK" w:hAnsi="Times New Roman" w:cs="Times New Roman"/>
          <w:bCs/>
          <w:color w:val="000000"/>
          <w:sz w:val="32"/>
          <w:szCs w:val="32"/>
        </w:rPr>
        <w:t>）港城园区。支持港城园区围绕以服务汽车、智能家电、生物医药、智能装备等先进制造业在设计、研发、测试、流通、销售几大关键环节为重点发展生产性服务业，大力促进生产性服务业与先进制造业深度融合，聚力发展检验检测、科技研发服务、工业设计服务，培育发展软件信息服务、现代物流服务、生产性商贸服务等产业。</w:t>
      </w:r>
    </w:p>
    <w:p w:rsidR="00025C29" w:rsidRDefault="004B5D46">
      <w:pPr>
        <w:spacing w:line="600" w:lineRule="exact"/>
        <w:ind w:firstLineChars="200" w:firstLine="640"/>
        <w:rPr>
          <w:rFonts w:ascii="Times New Roman" w:eastAsia="方正黑体_GBK" w:hAnsi="Times New Roman" w:cs="Times New Roman"/>
          <w:bCs/>
          <w:color w:val="000000"/>
          <w:sz w:val="32"/>
          <w:szCs w:val="32"/>
        </w:rPr>
      </w:pPr>
      <w:r>
        <w:rPr>
          <w:rFonts w:ascii="Times New Roman" w:eastAsia="方正黑体_GBK" w:hAnsi="Times New Roman" w:cs="Times New Roman"/>
          <w:bCs/>
          <w:color w:val="000000"/>
          <w:sz w:val="32"/>
          <w:szCs w:val="32"/>
        </w:rPr>
        <w:lastRenderedPageBreak/>
        <w:t>三、重点发展</w:t>
      </w:r>
      <w:r>
        <w:rPr>
          <w:rFonts w:ascii="Times New Roman" w:eastAsia="方正黑体_GBK" w:hAnsi="Times New Roman" w:cs="Times New Roman"/>
          <w:bCs/>
          <w:color w:val="000000"/>
          <w:sz w:val="32"/>
          <w:szCs w:val="32"/>
        </w:rPr>
        <w:t>“</w:t>
      </w:r>
      <w:r>
        <w:rPr>
          <w:rFonts w:ascii="Times New Roman" w:eastAsia="方正黑体_GBK" w:hAnsi="Times New Roman" w:cs="Times New Roman"/>
          <w:bCs/>
          <w:color w:val="000000"/>
          <w:sz w:val="32"/>
          <w:szCs w:val="32"/>
        </w:rPr>
        <w:t>五大</w:t>
      </w:r>
      <w:r>
        <w:rPr>
          <w:rFonts w:ascii="Times New Roman" w:eastAsia="方正黑体_GBK" w:hAnsi="Times New Roman" w:cs="Times New Roman"/>
          <w:bCs/>
          <w:color w:val="000000"/>
          <w:sz w:val="32"/>
          <w:szCs w:val="32"/>
        </w:rPr>
        <w:t>”</w:t>
      </w:r>
      <w:r>
        <w:rPr>
          <w:rFonts w:ascii="Times New Roman" w:eastAsia="方正黑体_GBK" w:hAnsi="Times New Roman" w:cs="Times New Roman"/>
          <w:bCs/>
          <w:color w:val="000000"/>
          <w:sz w:val="32"/>
          <w:szCs w:val="32"/>
        </w:rPr>
        <w:t>领域</w:t>
      </w:r>
    </w:p>
    <w:p w:rsidR="00025C29" w:rsidRDefault="004B5D46">
      <w:pPr>
        <w:pStyle w:val="a9"/>
        <w:widowControl/>
        <w:spacing w:beforeAutospacing="0" w:afterAutospacing="0" w:line="600" w:lineRule="exact"/>
        <w:ind w:firstLineChars="200" w:firstLine="640"/>
        <w:jc w:val="both"/>
        <w:rPr>
          <w:rFonts w:ascii="Times New Roman" w:eastAsia="方正仿宋_GBK" w:hAnsi="Times New Roman"/>
          <w:bCs/>
          <w:color w:val="000000"/>
          <w:kern w:val="2"/>
          <w:sz w:val="32"/>
          <w:szCs w:val="32"/>
          <w:shd w:val="clear" w:color="auto" w:fill="FFFFFF"/>
        </w:rPr>
      </w:pPr>
      <w:r>
        <w:rPr>
          <w:rFonts w:ascii="Times New Roman" w:eastAsia="方正仿宋_GBK" w:hAnsi="Times New Roman"/>
          <w:bCs/>
          <w:color w:val="000000"/>
          <w:sz w:val="32"/>
          <w:szCs w:val="32"/>
        </w:rPr>
        <w:t>（</w:t>
      </w:r>
      <w:r>
        <w:rPr>
          <w:rFonts w:ascii="Times New Roman" w:eastAsia="方正仿宋_GBK" w:hAnsi="Times New Roman"/>
          <w:bCs/>
          <w:color w:val="000000"/>
          <w:sz w:val="32"/>
          <w:szCs w:val="32"/>
        </w:rPr>
        <w:t>5</w:t>
      </w:r>
      <w:r>
        <w:rPr>
          <w:rFonts w:ascii="Times New Roman" w:eastAsia="方正仿宋_GBK" w:hAnsi="Times New Roman"/>
          <w:bCs/>
          <w:color w:val="000000"/>
          <w:sz w:val="32"/>
          <w:szCs w:val="32"/>
        </w:rPr>
        <w:t>）集聚发展生产性金融服务业。以加快建设西部金融中心核心承载区为契机，全面加强生产性金融服务创新，大力发展科技金融、绿色金融、产业链金融等生产性金融服务，培育金融专业服务新业态，引导供应链金融、融资租赁等为制造业提供金融支持。推动更多区域性、功能性总部在江北嘴落地，积极争取全国性交易所、金融机构设立交易系统等金融基础设施。大力实施融资畅通工程，发展设备租赁和融资租赁服务，鼓励融资租赁公司、金融机构在依法合规、风险可控的前提下，为制造业企业提供融资租赁、卖（买）方信贷、保险保障等配套金融服务，全力破解融资难</w:t>
      </w:r>
      <w:r>
        <w:rPr>
          <w:rFonts w:ascii="Times New Roman" w:eastAsia="方正仿宋_GBK" w:hAnsi="Times New Roman"/>
          <w:bCs/>
          <w:color w:val="000000"/>
          <w:sz w:val="32"/>
          <w:szCs w:val="32"/>
        </w:rPr>
        <w:t>融资贵融资慢问题。深入推进江北嘴金融服务港湾行动，重点吸引财富管理机构、私募投资机构、并购金融、普惠金融、绿色金融、金融大数据机构、金融要素市场等新金融业态集聚发展，构建起协同发展的财富管理产业链和新金融生态圈</w:t>
      </w:r>
      <w:r>
        <w:rPr>
          <w:rFonts w:ascii="Times New Roman" w:eastAsia="方正仿宋_GBK" w:hAnsi="Times New Roman"/>
          <w:bCs/>
          <w:color w:val="000000"/>
          <w:sz w:val="32"/>
          <w:szCs w:val="32"/>
        </w:rPr>
        <w:t>。</w:t>
      </w:r>
    </w:p>
    <w:p w:rsidR="00025C29" w:rsidRDefault="004B5D46">
      <w:pPr>
        <w:spacing w:line="60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6</w:t>
      </w:r>
      <w:r>
        <w:rPr>
          <w:rFonts w:ascii="Times New Roman" w:eastAsia="方正仿宋_GBK" w:hAnsi="Times New Roman" w:cs="Times New Roman"/>
          <w:bCs/>
          <w:color w:val="000000"/>
          <w:sz w:val="32"/>
          <w:szCs w:val="32"/>
        </w:rPr>
        <w:t>）大力发展生产性商贸服务业。鼓励传统批发企业向供应链服务企业转型，打造一批集信息推送、消费互动、物流配送等功能为一体的综合性批发企业。发挥观音桥、江北嘴产业集聚效应，支持市场主体、行业协会策划组织节庆展会，延长展会价值链产业链。大力推动电子商务与产业集群融合发展，培育打造一批具有竞争力的垂直电</w:t>
      </w:r>
      <w:r>
        <w:rPr>
          <w:rFonts w:ascii="Times New Roman" w:eastAsia="方正仿宋_GBK" w:hAnsi="Times New Roman" w:cs="Times New Roman"/>
          <w:bCs/>
          <w:color w:val="000000"/>
          <w:sz w:val="32"/>
          <w:szCs w:val="32"/>
        </w:rPr>
        <w:t>子商务平台。鼓励电商企业以独立法人</w:t>
      </w:r>
      <w:r>
        <w:rPr>
          <w:rFonts w:ascii="Times New Roman" w:eastAsia="方正仿宋_GBK" w:hAnsi="Times New Roman" w:cs="Times New Roman"/>
          <w:bCs/>
          <w:color w:val="000000"/>
          <w:sz w:val="32"/>
          <w:szCs w:val="32"/>
        </w:rPr>
        <w:lastRenderedPageBreak/>
        <w:t>形式在江北落地，支持制造业企业应用电商开拓市场、创建品牌、提质增效。充分发挥我区服务业扩大开放综合试点示范区、示范园、示范项目的示范引领作用，推动服务业多领域先行先试，提档升级</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一带一路</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商品展示交易中心，支持有条件的企业加快海外仓布局，支持电子商务企业建设出口商品</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海外仓</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和海外运营中心</w:t>
      </w:r>
      <w:r>
        <w:rPr>
          <w:rFonts w:ascii="Times New Roman" w:eastAsia="方正仿宋_GBK" w:hAnsi="Times New Roman" w:cs="Times New Roman"/>
          <w:bCs/>
          <w:color w:val="000000"/>
          <w:sz w:val="32"/>
          <w:szCs w:val="32"/>
        </w:rPr>
        <w:t>。</w:t>
      </w:r>
    </w:p>
    <w:p w:rsidR="00025C29" w:rsidRDefault="004B5D46">
      <w:pPr>
        <w:spacing w:line="600" w:lineRule="exact"/>
        <w:ind w:firstLineChars="200" w:firstLine="640"/>
        <w:rPr>
          <w:rFonts w:ascii="Times New Roman" w:eastAsia="方正仿宋_GBK" w:hAnsi="Times New Roman" w:cs="Times New Roman"/>
          <w:bCs/>
          <w:sz w:val="32"/>
          <w:szCs w:val="32"/>
          <w:shd w:val="clear" w:color="auto" w:fill="FFFFFF"/>
        </w:rPr>
      </w:pP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7</w:t>
      </w:r>
      <w:r>
        <w:rPr>
          <w:rFonts w:ascii="Times New Roman" w:eastAsia="方正仿宋_GBK" w:hAnsi="Times New Roman" w:cs="Times New Roman"/>
          <w:bCs/>
          <w:color w:val="000000"/>
          <w:sz w:val="32"/>
          <w:szCs w:val="32"/>
        </w:rPr>
        <w:t>）提质发展软件和信息技术服务业。深入推进实施</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满天星</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行动计划，加快</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启明星</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北斗星</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企业培育，大力支持收储盘活闲置楼宇加速集聚软件和信息服务企业及人才。充分发挥抖音集团懂车帝全</w:t>
      </w:r>
      <w:r>
        <w:rPr>
          <w:rFonts w:ascii="Times New Roman" w:eastAsia="方正仿宋_GBK" w:hAnsi="Times New Roman" w:cs="Times New Roman"/>
          <w:bCs/>
          <w:color w:val="000000"/>
          <w:sz w:val="32"/>
          <w:szCs w:val="32"/>
        </w:rPr>
        <w:t>国总部、</w:t>
      </w:r>
      <w:r>
        <w:rPr>
          <w:rFonts w:ascii="Times New Roman" w:eastAsia="方正仿宋_GBK" w:hAnsi="Times New Roman" w:cs="Times New Roman"/>
          <w:bCs/>
          <w:color w:val="000000"/>
          <w:sz w:val="32"/>
          <w:szCs w:val="32"/>
        </w:rPr>
        <w:t>360</w:t>
      </w:r>
      <w:r>
        <w:rPr>
          <w:rFonts w:ascii="Times New Roman" w:eastAsia="方正仿宋_GBK" w:hAnsi="Times New Roman" w:cs="Times New Roman"/>
          <w:bCs/>
          <w:color w:val="000000"/>
          <w:sz w:val="32"/>
          <w:szCs w:val="32"/>
        </w:rPr>
        <w:t>西部总部等优质头部企业引领带动作用，依托重庆数字产业示范园、数字重庆应用开发中心等平台，聚焦大数据、云计算、工业软件、汽车软件、人工智能等重点领域，吸引一批软件开发商、数字化转型解决方案提供商、系统集成商和信息咨询服务商等，全面提升数实融合能力。大力实施工业互联网试点示范项目，积极打造具有全国影响力的产业互联网平台，壮大软件产业规模，培育龙头型、成长型、创新型软件企业，打造重点软件产品</w:t>
      </w:r>
      <w:r>
        <w:rPr>
          <w:rFonts w:ascii="Times New Roman" w:eastAsia="方正仿宋_GBK" w:hAnsi="Times New Roman" w:cs="Times New Roman"/>
          <w:bCs/>
          <w:color w:val="000000"/>
          <w:sz w:val="32"/>
          <w:szCs w:val="32"/>
        </w:rPr>
        <w:t>。</w:t>
      </w:r>
    </w:p>
    <w:p w:rsidR="00025C29" w:rsidRDefault="004B5D46">
      <w:pPr>
        <w:spacing w:line="60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8</w:t>
      </w:r>
      <w:r>
        <w:rPr>
          <w:rFonts w:ascii="Times New Roman" w:eastAsia="方正仿宋_GBK" w:hAnsi="Times New Roman" w:cs="Times New Roman"/>
          <w:bCs/>
          <w:color w:val="000000"/>
          <w:sz w:val="32"/>
          <w:szCs w:val="32"/>
        </w:rPr>
        <w:t>）壮大发展物流运输服务业。鼓励第三方物流、第四方物流企业与制造企业开展外包合作，围绕产业链核心链主及上</w:t>
      </w:r>
      <w:r>
        <w:rPr>
          <w:rFonts w:ascii="Times New Roman" w:eastAsia="方正仿宋_GBK" w:hAnsi="Times New Roman" w:cs="Times New Roman"/>
          <w:bCs/>
          <w:color w:val="000000"/>
          <w:sz w:val="32"/>
          <w:szCs w:val="32"/>
        </w:rPr>
        <w:t>下游提供原材料及配件采购、辅助加工、产品包装与销售配送等物</w:t>
      </w:r>
      <w:r>
        <w:rPr>
          <w:rFonts w:ascii="Times New Roman" w:eastAsia="方正仿宋_GBK" w:hAnsi="Times New Roman" w:cs="Times New Roman"/>
          <w:bCs/>
          <w:color w:val="000000"/>
          <w:sz w:val="32"/>
          <w:szCs w:val="32"/>
        </w:rPr>
        <w:lastRenderedPageBreak/>
        <w:t>流供应链一体化服务。围绕西部陆海新通道建设，依托果园港国际物流枢纽、鱼嘴铁路货运站、鱼复现代物流园等基地，完善多式联运体系建设，强化国家物流枢纽与通道、产业园区衔接，拓展物流服务价值链。大力发展专业化物流、跨境物流、冷链物流、电商物流、邮政快递、汽车物流，完善城市配送网络、分拨中心、配送网点等基础设施，推动发展无人配送、分时配送、共同配送、多式联运等运输方式。引进和培育大型物流总部企业，吸引上下游产业优质企业落户江北，培育多式联运经营主体，打造现代化</w:t>
      </w:r>
      <w:r>
        <w:rPr>
          <w:rFonts w:ascii="Times New Roman" w:eastAsia="方正仿宋_GBK" w:hAnsi="Times New Roman" w:cs="Times New Roman"/>
          <w:bCs/>
          <w:color w:val="000000"/>
          <w:sz w:val="32"/>
          <w:szCs w:val="32"/>
        </w:rPr>
        <w:t>物流龙头企业。做大做强一批具有供需对接、数字化解决方案等功能的物流服务平台，提升物流全链条和细分领域的数字化水平</w:t>
      </w:r>
      <w:r>
        <w:rPr>
          <w:rFonts w:ascii="Times New Roman" w:eastAsia="方正仿宋_GBK" w:hAnsi="Times New Roman" w:cs="Times New Roman"/>
          <w:bCs/>
          <w:color w:val="000000"/>
          <w:sz w:val="32"/>
          <w:szCs w:val="32"/>
        </w:rPr>
        <w:t>。</w:t>
      </w:r>
    </w:p>
    <w:p w:rsidR="00025C29" w:rsidRDefault="004B5D46">
      <w:pPr>
        <w:spacing w:line="600" w:lineRule="exact"/>
        <w:ind w:firstLineChars="200" w:firstLine="640"/>
        <w:rPr>
          <w:rFonts w:ascii="Times New Roman" w:eastAsia="方正仿宋_GBK" w:hAnsi="Times New Roman" w:cs="Times New Roman"/>
          <w:bCs/>
          <w:sz w:val="32"/>
          <w:szCs w:val="32"/>
          <w:shd w:val="clear" w:color="auto" w:fill="FFFFFF"/>
        </w:rPr>
      </w:pP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9</w:t>
      </w:r>
      <w:r>
        <w:rPr>
          <w:rFonts w:ascii="Times New Roman" w:eastAsia="方正仿宋_GBK" w:hAnsi="Times New Roman" w:cs="Times New Roman"/>
          <w:bCs/>
          <w:color w:val="000000"/>
          <w:sz w:val="32"/>
          <w:szCs w:val="32"/>
        </w:rPr>
        <w:t>）培育发展专业服务业。聚焦服务价值链高端，支持与制造业相关的咨询、设计、法律、会计、审计、检验检测、职业培训等知识密集型专业服务业做优做强。引进一批具有行业影响力的设计、勘察测绘、服务咨询等建筑业上游企业，支持设计、勘察、造价、监理、招标代理等工程咨询企业向综合化、规模化、多元化发展。大力支持人力资源、数字经济、会计服务、法律服务、检验检测等特色专业服务业产业园建设，鼓励全国大型会计师、律</w:t>
      </w:r>
      <w:r>
        <w:rPr>
          <w:rFonts w:ascii="Times New Roman" w:eastAsia="方正仿宋_GBK" w:hAnsi="Times New Roman" w:cs="Times New Roman"/>
          <w:bCs/>
          <w:color w:val="000000"/>
          <w:sz w:val="32"/>
          <w:szCs w:val="32"/>
        </w:rPr>
        <w:t>师等事务所西南总部或分支机构落户江北，重点培育一批专业服务企业。壮大职业中介服务，鼓励中介机构创新服务，提</w:t>
      </w:r>
      <w:r>
        <w:rPr>
          <w:rFonts w:ascii="Times New Roman" w:eastAsia="方正仿宋_GBK" w:hAnsi="Times New Roman" w:cs="Times New Roman"/>
          <w:bCs/>
          <w:color w:val="000000"/>
          <w:sz w:val="32"/>
          <w:szCs w:val="32"/>
        </w:rPr>
        <w:lastRenderedPageBreak/>
        <w:t>升高端人力资源服务供给，支持劳务派遣公司向猎头服务等高端人力资源服务转型发展。重点发展供给缺口大的高技能人才培训，大力支持有条件的龙头企业设立职业培训学校、开展技能人才培训</w:t>
      </w:r>
      <w:r>
        <w:rPr>
          <w:rFonts w:ascii="Times New Roman" w:eastAsia="方正仿宋_GBK" w:hAnsi="Times New Roman" w:cs="Times New Roman"/>
          <w:bCs/>
          <w:sz w:val="32"/>
          <w:szCs w:val="32"/>
        </w:rPr>
        <w:t>。</w:t>
      </w:r>
    </w:p>
    <w:p w:rsidR="00025C29" w:rsidRDefault="004B5D46">
      <w:pPr>
        <w:pStyle w:val="a4"/>
        <w:adjustRightInd/>
        <w:snapToGrid/>
        <w:spacing w:line="600" w:lineRule="exact"/>
        <w:ind w:firstLineChars="200" w:firstLine="560"/>
        <w:jc w:val="center"/>
        <w:rPr>
          <w:rFonts w:ascii="Times New Roman" w:eastAsia="方正仿宋_GBK" w:hAnsi="Times New Roman" w:cs="Times New Roman"/>
          <w:bCs/>
          <w:color w:val="000000"/>
          <w:sz w:val="28"/>
          <w:szCs w:val="28"/>
        </w:rPr>
      </w:pPr>
      <w:r>
        <w:rPr>
          <w:rFonts w:ascii="Times New Roman" w:eastAsia="方正仿宋_GBK" w:hAnsi="Times New Roman" w:cs="Times New Roman"/>
          <w:bCs/>
          <w:color w:val="000000"/>
          <w:sz w:val="28"/>
          <w:szCs w:val="28"/>
          <w:shd w:val="clear" w:color="auto" w:fill="FFFFFF"/>
        </w:rPr>
        <w:t>专栏</w:t>
      </w:r>
      <w:r>
        <w:rPr>
          <w:rFonts w:ascii="Times New Roman" w:eastAsia="方正仿宋_GBK" w:hAnsi="Times New Roman" w:cs="Times New Roman"/>
          <w:bCs/>
          <w:color w:val="000000"/>
          <w:sz w:val="28"/>
          <w:szCs w:val="28"/>
          <w:shd w:val="clear" w:color="auto" w:fill="FFFFFF"/>
        </w:rPr>
        <w:t xml:space="preserve">  </w:t>
      </w:r>
      <w:r>
        <w:rPr>
          <w:rFonts w:ascii="Times New Roman" w:eastAsia="方正仿宋_GBK" w:hAnsi="Times New Roman" w:cs="Times New Roman"/>
          <w:bCs/>
          <w:color w:val="000000"/>
          <w:sz w:val="28"/>
          <w:szCs w:val="28"/>
          <w:shd w:val="clear" w:color="auto" w:fill="FFFFFF"/>
        </w:rPr>
        <w:t>专业服务业细分领域发展内容</w:t>
      </w:r>
    </w:p>
    <w:tbl>
      <w:tblPr>
        <w:tblStyle w:val="aa"/>
        <w:tblW w:w="0" w:type="auto"/>
        <w:tblLayout w:type="fixed"/>
        <w:tblLook w:val="04A0" w:firstRow="1" w:lastRow="0" w:firstColumn="1" w:lastColumn="0" w:noHBand="0" w:noVBand="1"/>
      </w:tblPr>
      <w:tblGrid>
        <w:gridCol w:w="9230"/>
      </w:tblGrid>
      <w:tr w:rsidR="00025C29">
        <w:tc>
          <w:tcPr>
            <w:tcW w:w="9230" w:type="dxa"/>
          </w:tcPr>
          <w:p w:rsidR="00025C29" w:rsidRDefault="004B5D46">
            <w:pPr>
              <w:widowControl/>
              <w:spacing w:line="600" w:lineRule="exact"/>
              <w:ind w:firstLineChars="200" w:firstLine="560"/>
              <w:jc w:val="left"/>
              <w:rPr>
                <w:rFonts w:ascii="Times New Roman" w:eastAsia="方正仿宋_GBK" w:hAnsi="Times New Roman" w:cs="Times New Roman"/>
                <w:bCs/>
                <w:color w:val="000000"/>
                <w:kern w:val="0"/>
                <w:sz w:val="28"/>
                <w:szCs w:val="28"/>
                <w:lang w:bidi="ar"/>
              </w:rPr>
            </w:pPr>
            <w:r>
              <w:rPr>
                <w:rFonts w:ascii="Times New Roman" w:eastAsia="方正仿宋_GBK" w:hAnsi="Times New Roman" w:cs="Times New Roman"/>
                <w:bCs/>
                <w:color w:val="000000"/>
                <w:kern w:val="0"/>
                <w:sz w:val="28"/>
                <w:szCs w:val="28"/>
                <w:lang w:bidi="ar"/>
              </w:rPr>
              <w:t>专业咨询服务：支持发展人力资源服务、社会经济调查、企业管理咨询服务、资产评估等。</w:t>
            </w:r>
          </w:p>
          <w:p w:rsidR="00025C29" w:rsidRDefault="004B5D46">
            <w:pPr>
              <w:widowControl/>
              <w:spacing w:line="600" w:lineRule="exact"/>
              <w:ind w:firstLineChars="200" w:firstLine="560"/>
              <w:jc w:val="left"/>
              <w:rPr>
                <w:rFonts w:ascii="Times New Roman" w:eastAsia="方正仿宋_GBK" w:hAnsi="Times New Roman" w:cs="Times New Roman"/>
                <w:bCs/>
                <w:color w:val="000000"/>
                <w:kern w:val="0"/>
                <w:sz w:val="28"/>
                <w:szCs w:val="28"/>
                <w:lang w:bidi="ar"/>
              </w:rPr>
            </w:pPr>
            <w:r>
              <w:rPr>
                <w:rFonts w:ascii="Times New Roman" w:eastAsia="方正仿宋_GBK" w:hAnsi="Times New Roman" w:cs="Times New Roman"/>
                <w:bCs/>
                <w:color w:val="000000"/>
                <w:kern w:val="0"/>
                <w:sz w:val="28"/>
                <w:szCs w:val="28"/>
                <w:lang w:bidi="ar"/>
              </w:rPr>
              <w:t>法律服务：支持发展公司专项法律服务、建筑与房地产专项法律服务、商账管理服务、公证服务等相关法律服务。</w:t>
            </w:r>
          </w:p>
          <w:p w:rsidR="00025C29" w:rsidRDefault="004B5D46">
            <w:pPr>
              <w:widowControl/>
              <w:spacing w:line="600" w:lineRule="exact"/>
              <w:ind w:firstLineChars="200" w:firstLine="560"/>
              <w:jc w:val="left"/>
              <w:rPr>
                <w:rFonts w:ascii="Times New Roman" w:eastAsia="方正仿宋_GBK" w:hAnsi="Times New Roman" w:cs="Times New Roman"/>
                <w:bCs/>
                <w:color w:val="000000"/>
                <w:kern w:val="0"/>
                <w:sz w:val="28"/>
                <w:szCs w:val="28"/>
                <w:lang w:bidi="ar"/>
              </w:rPr>
            </w:pPr>
            <w:r>
              <w:rPr>
                <w:rFonts w:ascii="Times New Roman" w:eastAsia="方正仿宋_GBK" w:hAnsi="Times New Roman" w:cs="Times New Roman"/>
                <w:bCs/>
                <w:color w:val="000000"/>
                <w:kern w:val="0"/>
                <w:sz w:val="28"/>
                <w:szCs w:val="28"/>
                <w:lang w:bidi="ar"/>
              </w:rPr>
              <w:t>财税服务：聚焦产业发展、改革创新、成渝</w:t>
            </w:r>
            <w:r w:rsidR="005F44DF">
              <w:rPr>
                <w:rFonts w:ascii="Times New Roman" w:eastAsia="方正仿宋_GBK" w:hAnsi="Times New Roman" w:cs="Times New Roman" w:hint="eastAsia"/>
                <w:bCs/>
                <w:color w:val="000000"/>
                <w:kern w:val="0"/>
                <w:sz w:val="28"/>
                <w:szCs w:val="28"/>
                <w:lang w:bidi="ar"/>
              </w:rPr>
              <w:t>地区</w:t>
            </w:r>
            <w:r>
              <w:rPr>
                <w:rFonts w:ascii="Times New Roman" w:eastAsia="方正仿宋_GBK" w:hAnsi="Times New Roman" w:cs="Times New Roman"/>
                <w:bCs/>
                <w:color w:val="000000"/>
                <w:kern w:val="0"/>
                <w:sz w:val="28"/>
                <w:szCs w:val="28"/>
                <w:lang w:bidi="ar"/>
              </w:rPr>
              <w:t>双城经济圈、西部陆海新通道等重点方面，集聚发展会计、审计、财务分析、税务等。</w:t>
            </w:r>
          </w:p>
          <w:p w:rsidR="00025C29" w:rsidRDefault="004B5D46">
            <w:pPr>
              <w:widowControl/>
              <w:spacing w:line="600" w:lineRule="exact"/>
              <w:ind w:firstLineChars="200" w:firstLine="560"/>
              <w:jc w:val="left"/>
              <w:rPr>
                <w:rFonts w:ascii="Times New Roman" w:eastAsia="方正仿宋_GBK" w:hAnsi="Times New Roman" w:cs="Times New Roman"/>
                <w:bCs/>
                <w:color w:val="000000"/>
                <w:kern w:val="0"/>
                <w:sz w:val="28"/>
                <w:szCs w:val="28"/>
                <w:lang w:bidi="ar"/>
              </w:rPr>
            </w:pPr>
            <w:r>
              <w:rPr>
                <w:rFonts w:ascii="Times New Roman" w:eastAsia="方正仿宋_GBK" w:hAnsi="Times New Roman" w:cs="Times New Roman"/>
                <w:bCs/>
                <w:color w:val="000000"/>
                <w:kern w:val="0"/>
                <w:sz w:val="28"/>
                <w:szCs w:val="28"/>
                <w:lang w:bidi="ar"/>
              </w:rPr>
              <w:t>检验检测认证服务：聚焦新能源及智能网联汽车检测、智能装备检测等，积极推动检验检测在服务能级上、服务半径上、服务模式上不断提升。</w:t>
            </w:r>
          </w:p>
          <w:p w:rsidR="00025C29" w:rsidRDefault="004B5D46">
            <w:pPr>
              <w:widowControl/>
              <w:spacing w:line="600" w:lineRule="exact"/>
              <w:ind w:firstLineChars="200" w:firstLine="560"/>
              <w:jc w:val="left"/>
              <w:rPr>
                <w:rFonts w:ascii="Times New Roman" w:eastAsia="方正仿宋_GBK" w:hAnsi="Times New Roman" w:cs="Times New Roman"/>
                <w:bCs/>
                <w:color w:val="000000"/>
                <w:kern w:val="0"/>
                <w:sz w:val="28"/>
                <w:szCs w:val="28"/>
                <w:lang w:bidi="ar"/>
              </w:rPr>
            </w:pPr>
            <w:r>
              <w:rPr>
                <w:rFonts w:ascii="Times New Roman" w:eastAsia="方正仿宋_GBK" w:hAnsi="Times New Roman" w:cs="Times New Roman"/>
                <w:bCs/>
                <w:color w:val="000000"/>
                <w:kern w:val="0"/>
                <w:sz w:val="28"/>
                <w:szCs w:val="28"/>
                <w:lang w:bidi="ar"/>
              </w:rPr>
              <w:t>知识产权服务：围绕专利、商标、版权、著作权等，全面开展知识产权代理、转让、登记、鉴定、评估、认证、咨询、检索、维权、保险等专业服务。</w:t>
            </w:r>
            <w:r>
              <w:rPr>
                <w:rFonts w:ascii="Times New Roman" w:eastAsia="方正仿宋_GBK" w:hAnsi="Times New Roman" w:cs="Times New Roman"/>
                <w:bCs/>
                <w:color w:val="000000"/>
                <w:kern w:val="0"/>
                <w:sz w:val="28"/>
                <w:szCs w:val="28"/>
                <w:lang w:bidi="ar"/>
              </w:rPr>
              <w:t xml:space="preserve"> </w:t>
            </w:r>
          </w:p>
          <w:p w:rsidR="00025C29" w:rsidRDefault="004B5D46">
            <w:pPr>
              <w:widowControl/>
              <w:spacing w:line="600" w:lineRule="exact"/>
              <w:ind w:firstLineChars="200" w:firstLine="560"/>
              <w:jc w:val="left"/>
              <w:rPr>
                <w:rFonts w:ascii="Times New Roman" w:eastAsia="方正仿宋_GBK" w:hAnsi="Times New Roman" w:cs="Times New Roman"/>
                <w:bCs/>
                <w:color w:val="000000"/>
                <w:kern w:val="0"/>
                <w:sz w:val="28"/>
                <w:szCs w:val="28"/>
                <w:lang w:bidi="ar"/>
              </w:rPr>
            </w:pPr>
            <w:r>
              <w:rPr>
                <w:rFonts w:ascii="Times New Roman" w:eastAsia="方正仿宋_GBK" w:hAnsi="Times New Roman" w:cs="Times New Roman"/>
                <w:bCs/>
                <w:color w:val="000000"/>
                <w:kern w:val="0"/>
                <w:sz w:val="28"/>
                <w:szCs w:val="28"/>
                <w:lang w:bidi="ar"/>
              </w:rPr>
              <w:t>研究开发服务：围绕汽车、装备制造、电子信息、智能家居等领域，开展技术研发、工艺优化、系统集成设计等服务。</w:t>
            </w:r>
          </w:p>
          <w:p w:rsidR="00025C29" w:rsidRDefault="004B5D46">
            <w:pPr>
              <w:widowControl/>
              <w:spacing w:line="600" w:lineRule="exact"/>
              <w:ind w:firstLineChars="200" w:firstLine="560"/>
              <w:jc w:val="left"/>
              <w:rPr>
                <w:rFonts w:ascii="Times New Roman" w:hAnsi="Times New Roman" w:cs="Times New Roman"/>
                <w:bCs/>
                <w:color w:val="000000"/>
              </w:rPr>
            </w:pPr>
            <w:r>
              <w:rPr>
                <w:rFonts w:ascii="Times New Roman" w:eastAsia="方正仿宋_GBK" w:hAnsi="Times New Roman" w:cs="Times New Roman"/>
                <w:bCs/>
                <w:color w:val="000000"/>
                <w:kern w:val="0"/>
                <w:sz w:val="28"/>
                <w:szCs w:val="28"/>
                <w:lang w:bidi="ar"/>
              </w:rPr>
              <w:t>工程设计服务：支持工程设计</w:t>
            </w:r>
            <w:r>
              <w:rPr>
                <w:rFonts w:ascii="Times New Roman" w:eastAsia="方正仿宋_GBK" w:hAnsi="Times New Roman" w:cs="Times New Roman"/>
                <w:bCs/>
                <w:color w:val="000000"/>
                <w:kern w:val="0"/>
                <w:sz w:val="28"/>
                <w:szCs w:val="28"/>
                <w:lang w:bidi="ar"/>
              </w:rPr>
              <w:t>、工业设计等机构开展设计仿真、样机设计、模拟试验等服务。</w:t>
            </w:r>
          </w:p>
        </w:tc>
      </w:tr>
    </w:tbl>
    <w:p w:rsidR="00025C29" w:rsidRDefault="004B5D46">
      <w:pPr>
        <w:spacing w:line="600" w:lineRule="exact"/>
        <w:ind w:firstLineChars="200" w:firstLine="640"/>
        <w:rPr>
          <w:rFonts w:ascii="Times New Roman" w:eastAsia="方正黑体_GBK" w:hAnsi="Times New Roman" w:cs="Times New Roman"/>
          <w:bCs/>
          <w:color w:val="000000"/>
          <w:sz w:val="32"/>
          <w:szCs w:val="32"/>
        </w:rPr>
      </w:pPr>
      <w:r>
        <w:rPr>
          <w:rFonts w:ascii="Times New Roman" w:eastAsia="方正黑体_GBK" w:hAnsi="Times New Roman" w:cs="Times New Roman"/>
          <w:bCs/>
          <w:color w:val="000000"/>
          <w:sz w:val="32"/>
          <w:szCs w:val="32"/>
        </w:rPr>
        <w:lastRenderedPageBreak/>
        <w:t>四、重点建设七大楼宇型特色产业园</w:t>
      </w:r>
    </w:p>
    <w:p w:rsidR="00025C29" w:rsidRDefault="004B5D46">
      <w:pPr>
        <w:pStyle w:val="2"/>
        <w:spacing w:line="600" w:lineRule="exact"/>
        <w:ind w:firstLine="640"/>
        <w:rPr>
          <w:rFonts w:ascii="Times New Roman" w:eastAsia="方正仿宋_GBK" w:hAnsi="Times New Roman" w:cs="Times New Roman"/>
          <w:bCs/>
          <w:color w:val="0000FF"/>
          <w:sz w:val="32"/>
          <w:szCs w:val="32"/>
          <w:shd w:val="clear" w:color="auto" w:fill="FFFFFF"/>
        </w:rPr>
      </w:pP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10</w:t>
      </w:r>
      <w:r>
        <w:rPr>
          <w:rFonts w:ascii="Times New Roman" w:eastAsia="方正仿宋_GBK" w:hAnsi="Times New Roman" w:cs="Times New Roman"/>
          <w:bCs/>
          <w:color w:val="000000"/>
          <w:sz w:val="32"/>
          <w:szCs w:val="32"/>
        </w:rPr>
        <w:t>）数字经济产业园。结合</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满天星</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行动计划，鼓励入选第一批市级</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满天星</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示范楼宇的睿创科技园及入围第二批市级示范楼宇创建名单的重庆网商产业园、江北嘴数字经济产业园等楼宇持续提升能级，鼓励港城科创园、可实梦软件信息创业园等区级</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满天星</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示范楼宇积极争创市级示范楼宇。加快</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满天星</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示范楼宇创建工作，持续开展信息技术服务、数字内容及相关服务企业创业孵化。加快打造数字保税、数据加工等数据跨境产业生态圈，促进数据跨境流动</w:t>
      </w:r>
      <w:r>
        <w:rPr>
          <w:rFonts w:ascii="Times New Roman" w:eastAsia="方正仿宋_GBK" w:hAnsi="Times New Roman" w:cs="Times New Roman"/>
          <w:bCs/>
          <w:color w:val="000000"/>
          <w:sz w:val="32"/>
          <w:szCs w:val="32"/>
        </w:rPr>
        <w:t>相关核心产业向江北加速聚集，在江北嘴挂牌国际数据产业园。鼓励盘活闲置楼宇引入专业楼宇运营方，重点引进大数据、人工智能、物联网、数字内容、金融科技、高端软件、数字资产全产业链等企业，促进软信企业微成长、小升高、高壮大、大变强，集中培育一批楼宇型数字经济产业园</w:t>
      </w:r>
      <w:r>
        <w:rPr>
          <w:rFonts w:ascii="Times New Roman" w:eastAsia="方正仿宋_GBK" w:hAnsi="Times New Roman" w:cs="Times New Roman"/>
          <w:bCs/>
          <w:color w:val="000000"/>
          <w:sz w:val="32"/>
          <w:szCs w:val="32"/>
        </w:rPr>
        <w:t>。</w:t>
      </w:r>
    </w:p>
    <w:p w:rsidR="00025C29" w:rsidRDefault="004B5D46">
      <w:pPr>
        <w:spacing w:line="600" w:lineRule="exact"/>
        <w:ind w:firstLineChars="200" w:firstLine="640"/>
        <w:rPr>
          <w:rFonts w:ascii="Times New Roman" w:eastAsia="方正仿宋_GBK" w:hAnsi="Times New Roman" w:cs="Times New Roman"/>
          <w:bCs/>
          <w:color w:val="000000"/>
          <w:sz w:val="32"/>
          <w:szCs w:val="32"/>
          <w:shd w:val="clear" w:color="auto" w:fill="FFFFFF"/>
        </w:rPr>
      </w:pP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11</w:t>
      </w:r>
      <w:r>
        <w:rPr>
          <w:rFonts w:ascii="Times New Roman" w:eastAsia="方正仿宋_GBK" w:hAnsi="Times New Roman" w:cs="Times New Roman"/>
          <w:bCs/>
          <w:color w:val="000000"/>
          <w:sz w:val="32"/>
          <w:szCs w:val="32"/>
        </w:rPr>
        <w:t>）电子商务产业园。鼓励重庆网商产业园、中新（重庆）跨境电商产业园持续提升能级，进一步丰富商务服务业态。依托观音桥、江北嘴等现有闲置楼宇，重点引进电子商务、信息软件、设计研发等一系列围绕电商产业发展的产业业态，高标准培育建设一批特色明显、产业链完善、服务体系健全的跨境电商、产业电商、直播电商等电子商务产业园</w:t>
      </w:r>
      <w:r>
        <w:rPr>
          <w:rFonts w:ascii="Times New Roman" w:eastAsia="方正仿宋_GBK" w:hAnsi="Times New Roman" w:cs="Times New Roman"/>
          <w:bCs/>
          <w:color w:val="000000"/>
          <w:sz w:val="32"/>
          <w:szCs w:val="32"/>
        </w:rPr>
        <w:t>。</w:t>
      </w:r>
    </w:p>
    <w:p w:rsidR="00025C29" w:rsidRDefault="004B5D46">
      <w:pPr>
        <w:spacing w:line="600" w:lineRule="exact"/>
        <w:ind w:firstLineChars="200" w:firstLine="640"/>
        <w:rPr>
          <w:rFonts w:ascii="Times New Roman" w:eastAsia="方正仿宋_GBK" w:hAnsi="Times New Roman" w:cs="Times New Roman"/>
          <w:bCs/>
          <w:color w:val="000000"/>
          <w:sz w:val="32"/>
          <w:szCs w:val="32"/>
          <w:shd w:val="clear" w:color="auto" w:fill="FFFFFF"/>
        </w:rPr>
      </w:pP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12</w:t>
      </w:r>
      <w:r>
        <w:rPr>
          <w:rFonts w:ascii="Times New Roman" w:eastAsia="方正仿宋_GBK" w:hAnsi="Times New Roman" w:cs="Times New Roman"/>
          <w:bCs/>
          <w:color w:val="000000"/>
          <w:sz w:val="32"/>
          <w:szCs w:val="32"/>
        </w:rPr>
        <w:t>）人力资源产业园。鼓励重庆金融人力资源服务产业园</w:t>
      </w:r>
      <w:r>
        <w:rPr>
          <w:rFonts w:ascii="Times New Roman" w:eastAsia="方正仿宋_GBK" w:hAnsi="Times New Roman" w:cs="Times New Roman"/>
          <w:bCs/>
          <w:color w:val="000000"/>
          <w:sz w:val="32"/>
          <w:szCs w:val="32"/>
        </w:rPr>
        <w:lastRenderedPageBreak/>
        <w:t>持续提升能级，招引一批国内外高端猎头机构入驻产业园，积极引导人力资源机构与重点产业链企业深度对接、深层合作，专业化、精准化提供战略管理咨询和人</w:t>
      </w:r>
      <w:r>
        <w:rPr>
          <w:rFonts w:ascii="Times New Roman" w:eastAsia="方正仿宋_GBK" w:hAnsi="Times New Roman" w:cs="Times New Roman"/>
          <w:bCs/>
          <w:color w:val="000000"/>
          <w:sz w:val="32"/>
          <w:szCs w:val="32"/>
        </w:rPr>
        <w:t>才匹配服务。鼓励盘活闲置楼宇资源，整合引入高级人才寻访（猎头）、人才测评、企业管理咨询、</w:t>
      </w:r>
      <w:r>
        <w:rPr>
          <w:rFonts w:ascii="Times New Roman" w:eastAsia="方正仿宋_GBK" w:hAnsi="Times New Roman" w:cs="Times New Roman"/>
          <w:bCs/>
          <w:color w:val="000000"/>
          <w:sz w:val="32"/>
          <w:szCs w:val="32"/>
        </w:rPr>
        <w:t>HCM</w:t>
      </w:r>
      <w:r>
        <w:rPr>
          <w:rFonts w:ascii="Times New Roman" w:eastAsia="方正仿宋_GBK" w:hAnsi="Times New Roman" w:cs="Times New Roman"/>
          <w:bCs/>
          <w:color w:val="000000"/>
          <w:sz w:val="32"/>
          <w:szCs w:val="32"/>
        </w:rPr>
        <w:t>人力资本管理、培训、薪酬管理、人力资源大数据、人力资源外包等人力资源企业，集中培育建设人力资源服务产业园</w:t>
      </w:r>
      <w:r>
        <w:rPr>
          <w:rFonts w:ascii="Times New Roman" w:eastAsia="方正仿宋_GBK" w:hAnsi="Times New Roman" w:cs="Times New Roman"/>
          <w:bCs/>
          <w:color w:val="000000"/>
          <w:sz w:val="32"/>
          <w:szCs w:val="32"/>
        </w:rPr>
        <w:t>。</w:t>
      </w:r>
    </w:p>
    <w:p w:rsidR="00025C29" w:rsidRDefault="004B5D46">
      <w:pPr>
        <w:spacing w:line="600" w:lineRule="exact"/>
        <w:ind w:firstLineChars="200" w:firstLine="640"/>
        <w:rPr>
          <w:rFonts w:ascii="Times New Roman" w:eastAsia="方正仿宋_GBK" w:hAnsi="Times New Roman" w:cs="Times New Roman"/>
          <w:bCs/>
          <w:color w:val="000000"/>
          <w:sz w:val="32"/>
          <w:szCs w:val="32"/>
          <w:shd w:val="clear" w:color="auto" w:fill="FFFFFF"/>
        </w:rPr>
      </w:pP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13</w:t>
      </w:r>
      <w:r>
        <w:rPr>
          <w:rFonts w:ascii="Times New Roman" w:eastAsia="方正仿宋_GBK" w:hAnsi="Times New Roman" w:cs="Times New Roman"/>
          <w:bCs/>
          <w:color w:val="000000"/>
          <w:sz w:val="32"/>
          <w:szCs w:val="32"/>
        </w:rPr>
        <w:t>）会计服务产业园。鼓励江北嘴科金中心等有条件的楼宇加快打造全市高端会计服务产业园，大力招引全国性大型会计师事务所建立重庆分所入驻产业园，同步引进一批会计服务机构。鼓励中小会计师事务所发展核心业务和特色业务，推动中型会计师事务所不断拓展业务范围、提升服务能力，积极培育代账机构达到规上企业。整合引进辖区会计</w:t>
      </w:r>
      <w:r>
        <w:rPr>
          <w:rFonts w:ascii="Times New Roman" w:eastAsia="方正仿宋_GBK" w:hAnsi="Times New Roman" w:cs="Times New Roman"/>
          <w:bCs/>
          <w:color w:val="000000"/>
          <w:sz w:val="32"/>
          <w:szCs w:val="32"/>
        </w:rPr>
        <w:t>服务、审计、税务、评估、代理记账、培训、咨询等企业，加快聚集一批会计中高端人才，力争培育建设国家级会计服务产业园。</w:t>
      </w:r>
    </w:p>
    <w:p w:rsidR="00025C29" w:rsidRDefault="004B5D46">
      <w:pPr>
        <w:spacing w:line="600" w:lineRule="exact"/>
        <w:ind w:firstLineChars="200" w:firstLine="640"/>
        <w:rPr>
          <w:rFonts w:ascii="Times New Roman" w:eastAsia="方正仿宋_GBK" w:hAnsi="Times New Roman" w:cs="Times New Roman"/>
          <w:bCs/>
          <w:sz w:val="32"/>
          <w:szCs w:val="32"/>
          <w:shd w:val="clear" w:color="auto" w:fill="FFFFFF"/>
        </w:rPr>
      </w:pP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14</w:t>
      </w:r>
      <w:r>
        <w:rPr>
          <w:rFonts w:ascii="Times New Roman" w:eastAsia="方正仿宋_GBK" w:hAnsi="Times New Roman" w:cs="Times New Roman"/>
          <w:bCs/>
          <w:color w:val="000000"/>
          <w:sz w:val="32"/>
          <w:szCs w:val="32"/>
        </w:rPr>
        <w:t>）法律服务产业园。鼓励西部金融法律服务中心持续提升能级，进一步整合司法、行政、仲裁、公证、律师等资源，打造</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一站式、全链条</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金融法律服务平台，招引更多国内知名律师事务所、公证机构、司法鉴定机构等入驻，推进打造一流法律服务高地。积极融入西部金融中央法务区建设，以西部金融中央法</w:t>
      </w:r>
      <w:r>
        <w:rPr>
          <w:rFonts w:ascii="Times New Roman" w:eastAsia="方正仿宋_GBK" w:hAnsi="Times New Roman" w:cs="Times New Roman"/>
          <w:bCs/>
          <w:color w:val="000000"/>
          <w:sz w:val="32"/>
          <w:szCs w:val="32"/>
        </w:rPr>
        <w:lastRenderedPageBreak/>
        <w:t>务区</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江北嘴为核心，以观音桥商圈、石子山体育公园为拓展，打造</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一核两点</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法律服务聚集区，培育建设一批法律服务特色楼宇</w:t>
      </w:r>
      <w:r>
        <w:rPr>
          <w:rFonts w:ascii="Times New Roman" w:eastAsia="方正仿宋_GBK" w:hAnsi="Times New Roman" w:cs="Times New Roman"/>
          <w:bCs/>
          <w:color w:val="000000"/>
          <w:sz w:val="32"/>
          <w:szCs w:val="32"/>
        </w:rPr>
        <w:t>。</w:t>
      </w:r>
    </w:p>
    <w:p w:rsidR="00025C29" w:rsidRDefault="004B5D46">
      <w:pPr>
        <w:spacing w:line="600" w:lineRule="exact"/>
        <w:ind w:firstLineChars="200" w:firstLine="640"/>
        <w:rPr>
          <w:rFonts w:ascii="Times New Roman" w:eastAsia="方正仿宋_GBK" w:hAnsi="Times New Roman" w:cs="Times New Roman"/>
          <w:bCs/>
          <w:color w:val="000000"/>
          <w:sz w:val="32"/>
          <w:szCs w:val="32"/>
          <w:shd w:val="clear" w:color="auto" w:fill="FFFFFF"/>
        </w:rPr>
      </w:pP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15</w:t>
      </w:r>
      <w:r>
        <w:rPr>
          <w:rFonts w:ascii="Times New Roman" w:eastAsia="方正仿宋_GBK" w:hAnsi="Times New Roman" w:cs="Times New Roman"/>
          <w:bCs/>
          <w:color w:val="000000"/>
          <w:sz w:val="32"/>
          <w:szCs w:val="32"/>
        </w:rPr>
        <w:t>）检验检测产业园。鼓励港城园区做大做强第三方检验检测服务，加快迈基诺医学检验实验室等项目建设，大力招引知名检验检测机构和高端检验检测装备制造企业，推进建设检验检测公共服务平台。鼓励制造业头部企业不断提升技术能力，成立第三方检测机构，推动资源从内部实验室延伸至市场。鼓励盘活闲置楼宇资源，谋划布局软件与信</w:t>
      </w:r>
      <w:r>
        <w:rPr>
          <w:rFonts w:ascii="Times New Roman" w:eastAsia="方正仿宋_GBK" w:hAnsi="Times New Roman" w:cs="Times New Roman"/>
          <w:bCs/>
          <w:color w:val="000000"/>
          <w:sz w:val="32"/>
          <w:szCs w:val="32"/>
        </w:rPr>
        <w:t>息</w:t>
      </w:r>
      <w:r>
        <w:rPr>
          <w:rFonts w:ascii="Times New Roman" w:eastAsia="方正仿宋_GBK" w:hAnsi="Times New Roman" w:cs="Times New Roman"/>
          <w:bCs/>
          <w:color w:val="000000"/>
          <w:sz w:val="32"/>
          <w:szCs w:val="32"/>
        </w:rPr>
        <w:t>服务、新能源、新型储能等领域的检验检测服务，发展检验检测延伸服务和认证服务，培育建设检验检测服务产业园。</w:t>
      </w:r>
    </w:p>
    <w:p w:rsidR="00025C29" w:rsidRDefault="004B5D46">
      <w:pPr>
        <w:spacing w:line="60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shd w:val="clear" w:color="auto" w:fill="FFFFFF"/>
        </w:rPr>
        <w:t>（</w:t>
      </w:r>
      <w:r>
        <w:rPr>
          <w:rFonts w:ascii="Times New Roman" w:eastAsia="方正仿宋_GBK" w:hAnsi="Times New Roman" w:cs="Times New Roman"/>
          <w:bCs/>
          <w:color w:val="000000"/>
          <w:sz w:val="32"/>
          <w:szCs w:val="32"/>
          <w:shd w:val="clear" w:color="auto" w:fill="FFFFFF"/>
        </w:rPr>
        <w:t>16</w:t>
      </w:r>
      <w:r>
        <w:rPr>
          <w:rFonts w:ascii="Times New Roman" w:eastAsia="方正仿宋_GBK" w:hAnsi="Times New Roman" w:cs="Times New Roman"/>
          <w:bCs/>
          <w:color w:val="000000"/>
          <w:sz w:val="32"/>
          <w:szCs w:val="32"/>
          <w:shd w:val="clear" w:color="auto" w:fill="FFFFFF"/>
        </w:rPr>
        <w:t>）</w:t>
      </w:r>
      <w:r>
        <w:rPr>
          <w:rFonts w:ascii="Times New Roman" w:eastAsia="方正仿宋_GBK" w:hAnsi="Times New Roman" w:cs="Times New Roman"/>
          <w:bCs/>
          <w:color w:val="000000"/>
          <w:sz w:val="32"/>
          <w:szCs w:val="32"/>
        </w:rPr>
        <w:t>知识产权服务产业园。鼓励重庆江北知识产权运营公共服务平台持续提升能级，招引更多国内知</w:t>
      </w:r>
      <w:r>
        <w:rPr>
          <w:rFonts w:ascii="Times New Roman" w:eastAsia="方正仿宋_GBK" w:hAnsi="Times New Roman" w:cs="Times New Roman"/>
          <w:bCs/>
          <w:color w:val="000000"/>
          <w:sz w:val="32"/>
          <w:szCs w:val="32"/>
        </w:rPr>
        <w:t>名知识产权服务机构入驻，聚集知识产权服务优质资源，积极为企业、高校等提供面对面服务、主动服务，促进知识产权转化运用。整合引进知识产权代理、维权、托管等企业及机构，进一步打造知识产权全链条一站式服务，集中培育建设知识产权服务产业园。</w:t>
      </w:r>
    </w:p>
    <w:p w:rsidR="00025C29" w:rsidRDefault="004B5D46">
      <w:pPr>
        <w:spacing w:line="600" w:lineRule="exact"/>
        <w:ind w:firstLineChars="200" w:firstLine="640"/>
        <w:rPr>
          <w:rFonts w:ascii="Times New Roman" w:eastAsia="方正黑体_GBK" w:hAnsi="Times New Roman" w:cs="Times New Roman"/>
          <w:bCs/>
          <w:color w:val="000000"/>
          <w:sz w:val="32"/>
          <w:szCs w:val="32"/>
        </w:rPr>
      </w:pPr>
      <w:r>
        <w:rPr>
          <w:rFonts w:ascii="Times New Roman" w:eastAsia="方正黑体_GBK" w:hAnsi="Times New Roman" w:cs="Times New Roman"/>
          <w:bCs/>
          <w:color w:val="000000"/>
          <w:sz w:val="32"/>
          <w:szCs w:val="32"/>
        </w:rPr>
        <w:t>五、重点实施五大工程</w:t>
      </w:r>
    </w:p>
    <w:p w:rsidR="00025C29" w:rsidRDefault="004B5D46">
      <w:pPr>
        <w:spacing w:line="60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17</w:t>
      </w:r>
      <w:r>
        <w:rPr>
          <w:rFonts w:ascii="Times New Roman" w:eastAsia="方正仿宋_GBK" w:hAnsi="Times New Roman" w:cs="Times New Roman"/>
          <w:bCs/>
          <w:color w:val="000000"/>
          <w:sz w:val="32"/>
          <w:szCs w:val="32"/>
        </w:rPr>
        <w:t>）实施产业深度融合工程。全面推进</w:t>
      </w:r>
      <w:r>
        <w:rPr>
          <w:rFonts w:ascii="Times New Roman" w:eastAsia="方正仿宋_GBK" w:hAnsi="Times New Roman" w:cs="Times New Roman"/>
          <w:bCs/>
          <w:color w:val="000000"/>
          <w:sz w:val="32"/>
          <w:szCs w:val="32"/>
        </w:rPr>
        <w:t>“22411”</w:t>
      </w:r>
      <w:r>
        <w:rPr>
          <w:rFonts w:ascii="Times New Roman" w:eastAsia="方正仿宋_GBK" w:hAnsi="Times New Roman" w:cs="Times New Roman"/>
          <w:bCs/>
          <w:color w:val="000000"/>
          <w:sz w:val="32"/>
          <w:szCs w:val="32"/>
        </w:rPr>
        <w:t>先进制造业产业体系与生产性服务业深度融合发展，探索</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数字</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服务</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制</w:t>
      </w:r>
      <w:r>
        <w:rPr>
          <w:rFonts w:ascii="Times New Roman" w:eastAsia="方正仿宋_GBK" w:hAnsi="Times New Roman" w:cs="Times New Roman"/>
          <w:bCs/>
          <w:color w:val="000000"/>
          <w:sz w:val="32"/>
          <w:szCs w:val="32"/>
        </w:rPr>
        <w:lastRenderedPageBreak/>
        <w:t>造</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的</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全融合</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模式，推动人工智能、云计算、大数据、工业物联网等新一代信息技术联结制造与服务。鼓励制造业企业剥离非核心业务环节，由</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内部生产</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转向</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外部服务</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，与专业服务机构分工协同、优势互补、上下衔接，在融合中创造价值。</w:t>
      </w:r>
    </w:p>
    <w:p w:rsidR="00025C29" w:rsidRDefault="004B5D46">
      <w:pPr>
        <w:pStyle w:val="2"/>
        <w:spacing w:line="600" w:lineRule="exact"/>
        <w:ind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18</w:t>
      </w:r>
      <w:r>
        <w:rPr>
          <w:rFonts w:ascii="Times New Roman" w:eastAsia="方正仿宋_GBK" w:hAnsi="Times New Roman" w:cs="Times New Roman"/>
          <w:bCs/>
          <w:color w:val="000000"/>
          <w:sz w:val="32"/>
          <w:szCs w:val="32"/>
        </w:rPr>
        <w:t>）实施经营主体培育工程。支持制造业企业剥离成熟的研发、销售、运维等环节，成立独立法人机构。加强领军企业培育，打造一批具有行业引领力、核心竞争力的行业领军企业。围绕江</w:t>
      </w:r>
      <w:r>
        <w:rPr>
          <w:rFonts w:ascii="Times New Roman" w:eastAsia="方正仿宋_GBK" w:hAnsi="Times New Roman" w:cs="Times New Roman"/>
          <w:bCs/>
          <w:color w:val="000000"/>
          <w:sz w:val="32"/>
          <w:szCs w:val="32"/>
        </w:rPr>
        <w:t>北区现代生产性服务业产业布局，支持生产性服务业中小企业向生产性服务业细分领域转型发展，培育一批生产性服务业领域</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专精特新</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企业。鼓励企业规模化、品牌化、连锁化、网络化发展，引导服务业企业升规入限。</w:t>
      </w:r>
    </w:p>
    <w:p w:rsidR="00025C29" w:rsidRDefault="004B5D46">
      <w:pPr>
        <w:pStyle w:val="2"/>
        <w:spacing w:line="600" w:lineRule="exact"/>
        <w:ind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19</w:t>
      </w:r>
      <w:r>
        <w:rPr>
          <w:rFonts w:ascii="Times New Roman" w:eastAsia="方正仿宋_GBK" w:hAnsi="Times New Roman" w:cs="Times New Roman"/>
          <w:bCs/>
          <w:color w:val="000000"/>
          <w:sz w:val="32"/>
          <w:szCs w:val="32"/>
        </w:rPr>
        <w:t>）实施载体品质提升工程。坚持</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一楼一特色</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的发展思路，开展</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一楼一策</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精准招商，编制重点楼宇招商地图，对楼宇环境、招商面积、合作方式、租金价格、配套设施等内容定期更新、统筹管理，着力招引金融机构、企业总部、科技服务、创意研发等产业项目。打造楼宇品牌，引导同类性质或者关联度高的生产性服务业企业向同一楼宇集中，</w:t>
      </w:r>
      <w:r>
        <w:rPr>
          <w:rFonts w:ascii="Times New Roman" w:eastAsia="方正仿宋_GBK" w:hAnsi="Times New Roman" w:cs="Times New Roman"/>
          <w:bCs/>
          <w:color w:val="000000"/>
          <w:sz w:val="32"/>
          <w:szCs w:val="32"/>
        </w:rPr>
        <w:t>构建楼宇产业生态链，形成产业集聚优势。加大楼宇推广力度，发挥社交软件、短视频平台等新媒体作用，提高楼宇知名度和影响力。</w:t>
      </w:r>
    </w:p>
    <w:p w:rsidR="00025C29" w:rsidRDefault="004B5D46">
      <w:pPr>
        <w:pStyle w:val="2"/>
        <w:spacing w:line="600" w:lineRule="exact"/>
        <w:ind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20</w:t>
      </w:r>
      <w:r>
        <w:rPr>
          <w:rFonts w:ascii="Times New Roman" w:eastAsia="方正仿宋_GBK" w:hAnsi="Times New Roman" w:cs="Times New Roman"/>
          <w:bCs/>
          <w:color w:val="000000"/>
          <w:sz w:val="32"/>
          <w:szCs w:val="32"/>
        </w:rPr>
        <w:t>）实施人才引育并举工程。强化服务业人才支撑，大力</w:t>
      </w:r>
      <w:r>
        <w:rPr>
          <w:rFonts w:ascii="Times New Roman" w:eastAsia="方正仿宋_GBK" w:hAnsi="Times New Roman" w:cs="Times New Roman"/>
          <w:bCs/>
          <w:color w:val="000000"/>
          <w:sz w:val="32"/>
          <w:szCs w:val="32"/>
        </w:rPr>
        <w:lastRenderedPageBreak/>
        <w:t>引进培育生产性服务业专业人才和团队。聚焦制造业高质量发展需求，对生产性服务业高层次人才实施更加开放便利的人才引进政策，推动生产性服务业人才纳入区级人才政策支持范围，在有关方面提供相应保障。鼓励职业院校开设生产性服务业相关课程，支持产教融合、校企合作，培育一批符合我区生产性服务业发展需求的人才。</w:t>
      </w:r>
    </w:p>
    <w:p w:rsidR="00025C29" w:rsidRDefault="004B5D46">
      <w:pPr>
        <w:pStyle w:val="2"/>
        <w:spacing w:line="600" w:lineRule="exact"/>
        <w:ind w:firstLine="640"/>
        <w:rPr>
          <w:rFonts w:ascii="Times New Roman" w:eastAsia="方正仿宋_GBK" w:hAnsi="Times New Roman" w:cs="Times New Roman"/>
          <w:bCs/>
          <w:sz w:val="32"/>
          <w:szCs w:val="32"/>
        </w:rPr>
      </w:pP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21</w:t>
      </w:r>
      <w:r>
        <w:rPr>
          <w:rFonts w:ascii="Times New Roman" w:eastAsia="方正仿宋_GBK" w:hAnsi="Times New Roman" w:cs="Times New Roman"/>
          <w:bCs/>
          <w:color w:val="000000"/>
          <w:sz w:val="32"/>
          <w:szCs w:val="32"/>
        </w:rPr>
        <w:t>）实施扩大开放合作工程。推动成渝地区双城经济圈生产性服务业一体化发展，以成渝地区双城经济圈建设为战略牵引，探索成渝地区生产性服务业的全新合作方式，吸引成渝</w:t>
      </w:r>
      <w:r w:rsidR="005F44DF">
        <w:rPr>
          <w:rFonts w:ascii="Times New Roman" w:eastAsia="方正仿宋_GBK" w:hAnsi="Times New Roman" w:cs="Times New Roman" w:hint="eastAsia"/>
          <w:bCs/>
          <w:color w:val="000000"/>
          <w:sz w:val="32"/>
          <w:szCs w:val="32"/>
        </w:rPr>
        <w:t>地区</w:t>
      </w:r>
      <w:bookmarkStart w:id="0" w:name="_GoBack"/>
      <w:bookmarkEnd w:id="0"/>
      <w:r>
        <w:rPr>
          <w:rFonts w:ascii="Times New Roman" w:eastAsia="方正仿宋_GBK" w:hAnsi="Times New Roman" w:cs="Times New Roman"/>
          <w:bCs/>
          <w:color w:val="000000"/>
          <w:sz w:val="32"/>
          <w:szCs w:val="32"/>
        </w:rPr>
        <w:t>双城经济圈内企业在江北区投资设立企业、建立合作平台等，以专业分工、服务外包等方式共同构建优势互补、互利共赢的区域发展共同体。积极融入</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一带一路</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及西部陆海新通道等国家战略，组织商贸企业参与国家级、市级经贸交流活动，鼓励企业与通道沿线国家或地区开展通道经贸、物流等业务对接，与当地企业建立友好合作关系。培育一批具有较强国际竞争力的专业服务机构，鼓励和支持</w:t>
      </w:r>
      <w:r>
        <w:rPr>
          <w:rFonts w:ascii="Times New Roman" w:eastAsia="方正仿宋_GBK" w:hAnsi="Times New Roman" w:cs="Times New Roman"/>
          <w:bCs/>
          <w:color w:val="000000"/>
          <w:sz w:val="32"/>
          <w:szCs w:val="32"/>
        </w:rPr>
        <w:t>有条件的咨询评估、法律服务、会计审计等领域企业</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走出去</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w:t>
      </w:r>
    </w:p>
    <w:p w:rsidR="00025C29" w:rsidRDefault="004B5D46">
      <w:pPr>
        <w:spacing w:line="600" w:lineRule="exact"/>
        <w:ind w:firstLineChars="200" w:firstLine="640"/>
        <w:rPr>
          <w:rFonts w:ascii="Times New Roman" w:eastAsia="方正黑体_GBK" w:hAnsi="Times New Roman" w:cs="Times New Roman"/>
          <w:bCs/>
          <w:color w:val="000000"/>
          <w:sz w:val="32"/>
          <w:szCs w:val="32"/>
        </w:rPr>
      </w:pPr>
      <w:r>
        <w:rPr>
          <w:rFonts w:ascii="Times New Roman" w:eastAsia="方正黑体_GBK" w:hAnsi="Times New Roman" w:cs="Times New Roman"/>
          <w:bCs/>
          <w:color w:val="000000"/>
          <w:sz w:val="32"/>
          <w:szCs w:val="32"/>
        </w:rPr>
        <w:t>六、保障措施</w:t>
      </w:r>
    </w:p>
    <w:p w:rsidR="00025C29" w:rsidRDefault="004B5D46">
      <w:pPr>
        <w:spacing w:line="600" w:lineRule="exact"/>
        <w:ind w:firstLineChars="200" w:firstLine="640"/>
        <w:rPr>
          <w:rFonts w:ascii="Times New Roman" w:eastAsia="方正仿宋_GBK" w:hAnsi="Times New Roman" w:cs="Times New Roman"/>
          <w:bCs/>
          <w:sz w:val="32"/>
          <w:szCs w:val="32"/>
          <w:shd w:val="clear" w:color="auto" w:fill="FFFFFF"/>
        </w:rPr>
      </w:pP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22</w:t>
      </w:r>
      <w:r>
        <w:rPr>
          <w:rFonts w:ascii="Times New Roman" w:eastAsia="方正仿宋_GBK" w:hAnsi="Times New Roman" w:cs="Times New Roman"/>
          <w:bCs/>
          <w:color w:val="000000"/>
          <w:sz w:val="32"/>
          <w:szCs w:val="32"/>
        </w:rPr>
        <w:t>）加强组织领导。建立</w:t>
      </w:r>
      <w:r>
        <w:rPr>
          <w:rFonts w:ascii="Times New Roman" w:eastAsia="方正仿宋_GBK" w:hAnsi="Times New Roman" w:cs="Times New Roman"/>
          <w:bCs/>
          <w:color w:val="000000"/>
          <w:sz w:val="32"/>
          <w:szCs w:val="32"/>
        </w:rPr>
        <w:t>专项工作机制，由区长任组长，分管副区长担任副组长，区政府办、区发展改革委、区科技局等</w:t>
      </w:r>
      <w:r>
        <w:rPr>
          <w:rFonts w:ascii="Times New Roman" w:eastAsia="方正仿宋_GBK" w:hAnsi="Times New Roman" w:cs="Times New Roman"/>
          <w:bCs/>
          <w:color w:val="000000"/>
          <w:sz w:val="32"/>
          <w:szCs w:val="32"/>
        </w:rPr>
        <w:lastRenderedPageBreak/>
        <w:t>部门主要负责同志为成员。专项工作机制办公室设在区发展改革委，负责日常工作。压实各行业主管部门责任，牵头部门要认真履行</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管行业必须管产业</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明确年度目标和远期目标，做到项目化、清单化推进。适时开展年度评估，结合全区生产性服务业相关统计监测数据以及三大集聚区、五大重点领域目标完成情况，进行评估反馈，形成上下联动、齐抓共管、整体推进</w:t>
      </w:r>
      <w:r>
        <w:rPr>
          <w:rFonts w:ascii="Times New Roman" w:eastAsia="方正仿宋_GBK" w:hAnsi="Times New Roman" w:cs="Times New Roman"/>
          <w:bCs/>
          <w:color w:val="000000"/>
          <w:sz w:val="32"/>
          <w:szCs w:val="32"/>
        </w:rPr>
        <w:t>的工作格局。</w:t>
      </w:r>
    </w:p>
    <w:p w:rsidR="00025C29" w:rsidRDefault="004B5D46">
      <w:pPr>
        <w:spacing w:line="60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23</w:t>
      </w:r>
      <w:r>
        <w:rPr>
          <w:rFonts w:ascii="Times New Roman" w:eastAsia="方正仿宋_GBK" w:hAnsi="Times New Roman" w:cs="Times New Roman"/>
          <w:bCs/>
          <w:color w:val="000000"/>
          <w:sz w:val="32"/>
          <w:szCs w:val="32"/>
        </w:rPr>
        <w:t>）强化各项支持</w:t>
      </w:r>
      <w:r>
        <w:rPr>
          <w:rFonts w:ascii="Times New Roman" w:eastAsia="方正仿宋_GBK" w:hAnsi="Times New Roman" w:cs="Times New Roman"/>
          <w:bCs/>
          <w:color w:val="000000"/>
          <w:sz w:val="32"/>
          <w:szCs w:val="32"/>
          <w:shd w:val="clear" w:color="auto" w:fill="FFFFFF"/>
        </w:rPr>
        <w:t>。各牵头部门要坚持做到</w:t>
      </w:r>
      <w:r>
        <w:rPr>
          <w:rFonts w:ascii="Times New Roman" w:eastAsia="方正仿宋_GBK" w:hAnsi="Times New Roman" w:cs="Times New Roman"/>
          <w:bCs/>
          <w:color w:val="000000"/>
          <w:sz w:val="32"/>
          <w:szCs w:val="32"/>
          <w:shd w:val="clear" w:color="auto" w:fill="FFFFFF"/>
        </w:rPr>
        <w:t>“</w:t>
      </w:r>
      <w:r>
        <w:rPr>
          <w:rFonts w:ascii="Times New Roman" w:eastAsia="方正仿宋_GBK" w:hAnsi="Times New Roman" w:cs="Times New Roman"/>
          <w:bCs/>
          <w:color w:val="000000"/>
          <w:sz w:val="32"/>
          <w:szCs w:val="32"/>
          <w:shd w:val="clear" w:color="auto" w:fill="FFFFFF"/>
        </w:rPr>
        <w:t>两眼向上</w:t>
      </w:r>
      <w:r>
        <w:rPr>
          <w:rFonts w:ascii="Times New Roman" w:eastAsia="方正仿宋_GBK" w:hAnsi="Times New Roman" w:cs="Times New Roman"/>
          <w:bCs/>
          <w:color w:val="000000"/>
          <w:sz w:val="32"/>
          <w:szCs w:val="32"/>
          <w:shd w:val="clear" w:color="auto" w:fill="FFFFFF"/>
        </w:rPr>
        <w:t>”</w:t>
      </w:r>
      <w:r>
        <w:rPr>
          <w:rFonts w:ascii="Times New Roman" w:eastAsia="方正仿宋_GBK" w:hAnsi="Times New Roman" w:cs="Times New Roman"/>
          <w:bCs/>
          <w:color w:val="000000"/>
          <w:sz w:val="32"/>
          <w:szCs w:val="32"/>
          <w:shd w:val="clear" w:color="auto" w:fill="FFFFFF"/>
        </w:rPr>
        <w:t>争取支持，加强与市级部门对接沟通力度，积极争取中央预算内资金、生产性服务业市级专项资金等支持，积极争创市级生产性服务业综合型和专业型集聚区，让更多市级项目、资金、政策在江北落地见效。同时，加大区级财政资金和政策保障生产性服务业重点项目、平台载体和三大集聚区建设力度，鼓励区属国企产业引导基金投向生产性服务业产业，鼓励区内新建商业楼宇、存量空置楼宇等优先用于生产性服务业发展。</w:t>
      </w:r>
    </w:p>
    <w:p w:rsidR="00025C29" w:rsidRDefault="004B5D46">
      <w:pPr>
        <w:spacing w:line="600" w:lineRule="exact"/>
        <w:ind w:firstLineChars="200" w:firstLine="640"/>
        <w:rPr>
          <w:rFonts w:ascii="Times New Roman" w:eastAsia="方正仿宋_GBK" w:hAnsi="Times New Roman" w:cs="Times New Roman"/>
          <w:bCs/>
          <w:color w:val="000000"/>
          <w:sz w:val="32"/>
          <w:szCs w:val="32"/>
          <w:shd w:val="clear" w:color="auto" w:fill="FFFFFF"/>
        </w:rPr>
      </w:pP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24</w:t>
      </w:r>
      <w:r>
        <w:rPr>
          <w:rFonts w:ascii="Times New Roman" w:eastAsia="方正仿宋_GBK" w:hAnsi="Times New Roman" w:cs="Times New Roman"/>
          <w:bCs/>
          <w:color w:val="000000"/>
          <w:sz w:val="32"/>
          <w:szCs w:val="32"/>
        </w:rPr>
        <w:t>）加大招商引资。聚焦满足产业转型升级需求、提高服务能级，重点围绕生产性服务业五大发展领域，制定精准化招商图谱，瞄准重点企业开展靶向招引。引进一批成长快、前景好、专业能力突出的中小企业，加快形成雁阵型生产性服务业企业梯队。充分利用产业链招商专班，支持各部门常态化赴外开展招商引资、参会参展等活动，积极推动更多生产性服务业龙头企业来</w:t>
      </w:r>
      <w:r>
        <w:rPr>
          <w:rFonts w:ascii="Times New Roman" w:eastAsia="方正仿宋_GBK" w:hAnsi="Times New Roman" w:cs="Times New Roman"/>
          <w:bCs/>
          <w:color w:val="000000"/>
          <w:sz w:val="32"/>
          <w:szCs w:val="32"/>
        </w:rPr>
        <w:lastRenderedPageBreak/>
        <w:t>江北投资洽谈。</w:t>
      </w:r>
    </w:p>
    <w:p w:rsidR="00025C29" w:rsidRDefault="004B5D46">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25</w:t>
      </w:r>
      <w:r>
        <w:rPr>
          <w:rFonts w:ascii="Times New Roman" w:eastAsia="方正仿宋_GBK" w:hAnsi="Times New Roman" w:cs="Times New Roman"/>
          <w:bCs/>
          <w:color w:val="000000"/>
          <w:sz w:val="32"/>
          <w:szCs w:val="32"/>
        </w:rPr>
        <w:t>）优化发展环境。用好</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百千万</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联系市场主体全覆盖机制，持续营造最优营商环境，推动生产性服务业政策精准解读、智能匹配和主动推送。邀请龙头企业负责人开展企业家座</w:t>
      </w:r>
      <w:r>
        <w:rPr>
          <w:rFonts w:ascii="Times New Roman" w:eastAsia="方正仿宋_GBK" w:hAnsi="Times New Roman" w:cs="Times New Roman"/>
          <w:bCs/>
          <w:color w:val="000000"/>
          <w:sz w:val="32"/>
          <w:szCs w:val="32"/>
        </w:rPr>
        <w:t>谈会，强化行业协会与企业的多元合作，为生产性服务业发展提供智力支撑。全面提升政务效能，完善相关要素保障，进一步激发生产性服务业市场主体活力。</w:t>
      </w:r>
    </w:p>
    <w:p w:rsidR="00025C29" w:rsidRDefault="00025C29">
      <w:pPr>
        <w:spacing w:line="600" w:lineRule="atLeast"/>
        <w:ind w:firstLineChars="200" w:firstLine="640"/>
        <w:rPr>
          <w:rFonts w:ascii="方正仿宋_GBK" w:eastAsia="方正仿宋_GBK" w:hAnsi="方正仿宋_GBK" w:cs="方正仿宋_GBK"/>
          <w:kern w:val="0"/>
          <w:sz w:val="32"/>
          <w:szCs w:val="32"/>
          <w:shd w:val="clear" w:color="auto" w:fill="FFFFFF"/>
        </w:rPr>
      </w:pPr>
    </w:p>
    <w:p w:rsidR="00025C29" w:rsidRDefault="00025C29">
      <w:pPr>
        <w:spacing w:line="600" w:lineRule="atLeast"/>
        <w:ind w:firstLineChars="200" w:firstLine="640"/>
        <w:jc w:val="left"/>
        <w:rPr>
          <w:rFonts w:ascii="方正仿宋_GBK" w:eastAsia="方正仿宋_GBK" w:hAnsi="方正仿宋_GBK" w:cs="方正仿宋_GBK"/>
          <w:kern w:val="0"/>
          <w:sz w:val="32"/>
          <w:szCs w:val="32"/>
          <w:shd w:val="clear" w:color="auto" w:fill="FFFFFF"/>
        </w:rPr>
      </w:pPr>
    </w:p>
    <w:p w:rsidR="00025C29" w:rsidRDefault="00025C29">
      <w:pPr>
        <w:spacing w:line="600" w:lineRule="atLeast"/>
        <w:ind w:firstLineChars="200" w:firstLine="640"/>
        <w:jc w:val="left"/>
        <w:rPr>
          <w:rFonts w:ascii="方正仿宋_GBK" w:eastAsia="方正仿宋_GBK" w:hAnsi="方正仿宋_GBK" w:cs="方正仿宋_GBK"/>
          <w:kern w:val="0"/>
          <w:sz w:val="32"/>
          <w:szCs w:val="32"/>
          <w:shd w:val="clear" w:color="auto" w:fill="FFFFFF"/>
        </w:rPr>
      </w:pPr>
    </w:p>
    <w:p w:rsidR="00025C29" w:rsidRDefault="00025C29">
      <w:pPr>
        <w:spacing w:line="600" w:lineRule="atLeast"/>
        <w:ind w:firstLineChars="200" w:firstLine="640"/>
        <w:jc w:val="left"/>
        <w:rPr>
          <w:rFonts w:ascii="方正仿宋_GBK" w:eastAsia="方正仿宋_GBK" w:hAnsi="方正仿宋_GBK" w:cs="方正仿宋_GBK"/>
          <w:kern w:val="0"/>
          <w:sz w:val="32"/>
          <w:szCs w:val="32"/>
          <w:shd w:val="clear" w:color="auto" w:fill="FFFFFF"/>
        </w:rPr>
      </w:pPr>
    </w:p>
    <w:sectPr w:rsidR="00025C29">
      <w:headerReference w:type="default" r:id="rId8"/>
      <w:footerReference w:type="default" r:id="rId9"/>
      <w:pgSz w:w="11906" w:h="16838"/>
      <w:pgMar w:top="1962" w:right="1474" w:bottom="1848" w:left="1587" w:header="851" w:footer="992" w:gutter="0"/>
      <w:pgNumType w:fmt="numberInDash"/>
      <w:cols w:space="0"/>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D46" w:rsidRDefault="004B5D46">
      <w:r>
        <w:separator/>
      </w:r>
    </w:p>
  </w:endnote>
  <w:endnote w:type="continuationSeparator" w:id="0">
    <w:p w:rsidR="004B5D46" w:rsidRDefault="004B5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C29" w:rsidRDefault="004B5D46">
    <w:pPr>
      <w:pStyle w:val="a8"/>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25C29" w:rsidRDefault="004B5D46">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F44DF">
                            <w:rPr>
                              <w:rFonts w:ascii="宋体" w:eastAsia="宋体" w:hAnsi="宋体" w:cs="宋体"/>
                              <w:noProof/>
                              <w:sz w:val="28"/>
                              <w:szCs w:val="28"/>
                            </w:rPr>
                            <w:t>- 12 -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025C29" w:rsidRDefault="004B5D46">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F44DF">
                      <w:rPr>
                        <w:rFonts w:ascii="宋体" w:eastAsia="宋体" w:hAnsi="宋体" w:cs="宋体"/>
                        <w:noProof/>
                        <w:sz w:val="28"/>
                        <w:szCs w:val="28"/>
                      </w:rPr>
                      <w:t>- 12 -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025C29" w:rsidRDefault="004B5D46">
    <w:pPr>
      <w:pStyle w:val="a8"/>
      <w:wordWrap w:val="0"/>
      <w:ind w:leftChars="508" w:left="1067" w:firstLineChars="3161" w:firstLine="10115"/>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AA270E"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hint="eastAsia"/>
        <w:color w:val="FAFAFA"/>
        <w:sz w:val="32"/>
      </w:rPr>
      <w:t xml:space="preserve"> </w:t>
    </w:r>
    <w:r>
      <w:rPr>
        <w:rFonts w:ascii="宋体" w:eastAsia="宋体" w:hAnsi="宋体" w:cs="宋体"/>
        <w:b/>
        <w:bCs/>
        <w:color w:val="005192"/>
        <w:sz w:val="28"/>
        <w:szCs w:val="44"/>
        <w:lang w:eastAsia="zh-Hans"/>
      </w:rPr>
      <w:t>重庆市江北区人民政府</w:t>
    </w:r>
    <w:r>
      <w:rPr>
        <w:rFonts w:ascii="宋体" w:eastAsia="宋体" w:hAnsi="宋体" w:cs="宋体" w:hint="eastAsia"/>
        <w:b/>
        <w:bCs/>
        <w:color w:val="005192"/>
        <w:sz w:val="28"/>
        <w:szCs w:val="44"/>
      </w:rPr>
      <w:t>办公室</w:t>
    </w:r>
    <w:r>
      <w:rPr>
        <w:rFonts w:ascii="宋体" w:eastAsia="宋体" w:hAnsi="宋体" w:cs="宋体" w:hint="eastAsia"/>
        <w:b/>
        <w:bCs/>
        <w:color w:val="005192"/>
        <w:sz w:val="28"/>
        <w:szCs w:val="44"/>
      </w:rPr>
      <w:t>发布</w:t>
    </w:r>
    <w:r>
      <w:rPr>
        <w:rFonts w:ascii="宋体" w:eastAsia="宋体" w:hAnsi="宋体" w:cs="宋体" w:hint="eastAsia"/>
        <w:b/>
        <w:bCs/>
        <w:color w:val="005192"/>
        <w:sz w:val="28"/>
        <w:szCs w:val="44"/>
      </w:rPr>
      <w:t xml:space="preserve">     </w:t>
    </w:r>
  </w:p>
  <w:p w:rsidR="00025C29" w:rsidRDefault="00025C29">
    <w:pPr>
      <w:pStyle w:val="a8"/>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D46" w:rsidRDefault="004B5D46">
      <w:r>
        <w:separator/>
      </w:r>
    </w:p>
  </w:footnote>
  <w:footnote w:type="continuationSeparator" w:id="0">
    <w:p w:rsidR="004B5D46" w:rsidRDefault="004B5D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C29" w:rsidRDefault="004B5D46">
    <w:pPr>
      <w:pStyle w:val="a8"/>
      <w:tabs>
        <w:tab w:val="clear" w:pos="4153"/>
        <w:tab w:val="center" w:pos="4422"/>
      </w:tabs>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132A99"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" strokecolor="#005192" strokeweight="1.75pt">
              <v:stroke joinstyle="miter"/>
            </v:line>
          </w:pict>
        </mc:Fallback>
      </mc:AlternateContent>
    </w:r>
    <w:r>
      <w:rPr>
        <w:rFonts w:ascii="方正仿宋_GBK" w:eastAsia="方正仿宋_GBK" w:hAnsi="方正仿宋_GBK" w:cs="方正仿宋_GBK" w:hint="eastAsia"/>
        <w:b/>
        <w:bCs/>
        <w:color w:val="000000" w:themeColor="text1"/>
        <w:sz w:val="32"/>
      </w:rPr>
      <w:t xml:space="preserve"> </w:t>
    </w:r>
  </w:p>
  <w:p w:rsidR="00025C29" w:rsidRDefault="004B5D46">
    <w:pPr>
      <w:pStyle w:val="a8"/>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重庆市江北区人民政府行政</w:t>
    </w:r>
    <w:r>
      <w:rPr>
        <w:rFonts w:ascii="宋体" w:eastAsia="宋体" w:hAnsi="宋体" w:cs="宋体" w:hint="eastAsia"/>
        <w:b/>
        <w:bCs/>
        <w:color w:val="005192"/>
        <w:sz w:val="32"/>
        <w:szCs w:val="32"/>
        <w:lang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608829E"/>
    <w:multiLevelType w:val="singleLevel"/>
    <w:tmpl w:val="9608829E"/>
    <w:lvl w:ilvl="0">
      <w:start w:val="1"/>
      <w:numFmt w:val="chineseCounting"/>
      <w:suff w:val="nothing"/>
      <w:lvlText w:val="%1、"/>
      <w:lvlJc w:val="left"/>
      <w:rPr>
        <w:rFonts w:hint="eastAsia"/>
      </w:rPr>
    </w:lvl>
  </w:abstractNum>
  <w:abstractNum w:abstractNumId="1">
    <w:nsid w:val="174DAA73"/>
    <w:multiLevelType w:val="singleLevel"/>
    <w:tmpl w:val="174DAA73"/>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8"/>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lODMwMzc0ODQ0MzBkYzA1NWQ3N2E3ZjdhYTgwOTIifQ=="/>
  </w:docVars>
  <w:rsids>
    <w:rsidRoot w:val="00172A27"/>
    <w:rsid w:val="EBDDA9D0"/>
    <w:rsid w:val="F05B4F69"/>
    <w:rsid w:val="F7F902F6"/>
    <w:rsid w:val="F97D9566"/>
    <w:rsid w:val="FDFF411C"/>
    <w:rsid w:val="00025C29"/>
    <w:rsid w:val="00172A27"/>
    <w:rsid w:val="004B5D46"/>
    <w:rsid w:val="005F44DF"/>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1F0F31C7"/>
    <w:rsid w:val="22440422"/>
    <w:rsid w:val="22BB4BBB"/>
    <w:rsid w:val="25EB1AF4"/>
    <w:rsid w:val="28E9077F"/>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4E2C89"/>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920B2BF-B8B6-4930-AA5F-0B72F8357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Body Text First Indent 2" w:uiPriority="99" w:unhideWhenUsed="1"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uiPriority w:val="99"/>
    <w:unhideWhenUsed/>
    <w:qFormat/>
    <w:pPr>
      <w:widowControl/>
      <w:spacing w:before="100" w:beforeAutospacing="1" w:after="100" w:afterAutospacing="1"/>
      <w:jc w:val="left"/>
    </w:pPr>
    <w:rPr>
      <w:rFonts w:ascii="宋体" w:hAnsi="宋体"/>
      <w:kern w:val="0"/>
      <w:sz w:val="24"/>
    </w:rPr>
  </w:style>
  <w:style w:type="paragraph" w:styleId="a4">
    <w:name w:val="Normal Indent"/>
    <w:basedOn w:val="a"/>
    <w:next w:val="a"/>
    <w:uiPriority w:val="99"/>
    <w:unhideWhenUsed/>
    <w:pPr>
      <w:adjustRightInd w:val="0"/>
      <w:snapToGrid w:val="0"/>
      <w:spacing w:line="360" w:lineRule="auto"/>
      <w:ind w:firstLine="420"/>
    </w:pPr>
    <w:rPr>
      <w:sz w:val="24"/>
      <w:szCs w:val="33"/>
    </w:rPr>
  </w:style>
  <w:style w:type="paragraph" w:styleId="a5">
    <w:name w:val="annotation text"/>
    <w:basedOn w:val="a"/>
    <w:qFormat/>
    <w:pPr>
      <w:jc w:val="left"/>
    </w:pPr>
  </w:style>
  <w:style w:type="paragraph" w:styleId="a6">
    <w:name w:val="Body Text Indent"/>
    <w:basedOn w:val="a"/>
    <w:pPr>
      <w:spacing w:line="560" w:lineRule="exact"/>
      <w:ind w:firstLineChars="200" w:firstLine="200"/>
    </w:pPr>
    <w:rPr>
      <w:rFonts w:ascii="宋体" w:hAnsi="Calibri"/>
      <w:sz w:val="28"/>
      <w:szCs w:val="2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pPr>
      <w:spacing w:beforeAutospacing="1" w:afterAutospacing="1"/>
      <w:jc w:val="left"/>
    </w:pPr>
    <w:rPr>
      <w:rFonts w:cs="Times New Roman"/>
      <w:kern w:val="0"/>
      <w:sz w:val="24"/>
    </w:rPr>
  </w:style>
  <w:style w:type="paragraph" w:styleId="2">
    <w:name w:val="Body Text First Indent 2"/>
    <w:basedOn w:val="a6"/>
    <w:uiPriority w:val="99"/>
    <w:unhideWhenUsed/>
    <w:qFormat/>
    <w:pPr>
      <w:ind w:firstLine="420"/>
    </w:pPr>
  </w:style>
  <w:style w:type="table" w:styleId="aa">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1"/>
    <w:qFormat/>
    <w:rPr>
      <w:b/>
      <w:bCs/>
    </w:rPr>
  </w:style>
  <w:style w:type="paragraph" w:customStyle="1" w:styleId="p0">
    <w:name w:val="p0"/>
    <w:basedOn w:val="a"/>
    <w:qFormat/>
    <w:pPr>
      <w:widowControl/>
    </w:pPr>
    <w:rPr>
      <w:rFonts w:ascii="Calibri" w:eastAsia="宋体" w:hAnsi="Calibri" w:cs="宋体"/>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982</Words>
  <Characters>5601</Characters>
  <Application>Microsoft Office Word</Application>
  <DocSecurity>0</DocSecurity>
  <Lines>46</Lines>
  <Paragraphs>13</Paragraphs>
  <ScaleCrop>false</ScaleCrop>
  <Company>Microsoft</Company>
  <LinksUpToDate>false</LinksUpToDate>
  <CharactersWithSpaces>6570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AutoBVT</cp:lastModifiedBy>
  <cp:revision>2</cp:revision>
  <cp:lastPrinted>2022-06-06T16:09:00Z</cp:lastPrinted>
  <dcterms:created xsi:type="dcterms:W3CDTF">2021-09-11T02:41:00Z</dcterms:created>
  <dcterms:modified xsi:type="dcterms:W3CDTF">2025-07-17T07:26:00Z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48C61CB29D3F4D9384F5922CF0F7FFB4</vt:lpwstr>
  </property>
</Properties>
</file>