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Times New Roman" w:hAnsi="Times New Roman" w:eastAsia="方正小标宋_GBK" w:cs="Times New Roman"/>
          <w:color w:val="000000"/>
          <w:kern w:val="0"/>
          <w:sz w:val="44"/>
          <w:szCs w:val="44"/>
          <w:lang w:bidi="ar"/>
        </w:rPr>
      </w:pPr>
      <w:bookmarkStart w:id="736" w:name="_GoBack"/>
      <w:bookmarkEnd w:id="736"/>
    </w:p>
    <w:p>
      <w:pPr>
        <w:widowControl/>
        <w:spacing w:line="600" w:lineRule="exact"/>
        <w:jc w:val="center"/>
        <w:rPr>
          <w:rFonts w:ascii="Times New Roman" w:hAnsi="Times New Roman" w:eastAsia="方正小标宋_GBK" w:cs="Times New Roman"/>
          <w:color w:val="000000"/>
          <w:kern w:val="0"/>
          <w:sz w:val="44"/>
          <w:szCs w:val="44"/>
          <w:lang w:bidi="ar"/>
        </w:rPr>
      </w:pPr>
    </w:p>
    <w:p>
      <w:pPr>
        <w:widowControl/>
        <w:spacing w:line="600" w:lineRule="exact"/>
        <w:jc w:val="center"/>
        <w:rPr>
          <w:rFonts w:ascii="Times New Roman" w:hAnsi="Times New Roman" w:eastAsia="方正小标宋_GBK" w:cs="Times New Roman"/>
          <w:color w:val="000000"/>
          <w:kern w:val="0"/>
          <w:sz w:val="44"/>
          <w:szCs w:val="44"/>
          <w:lang w:bidi="ar"/>
        </w:rPr>
      </w:pPr>
    </w:p>
    <w:p>
      <w:pPr>
        <w:widowControl/>
        <w:spacing w:line="600" w:lineRule="exact"/>
        <w:jc w:val="center"/>
        <w:rPr>
          <w:rFonts w:ascii="Times New Roman" w:hAnsi="Times New Roman" w:eastAsia="方正小标宋_GBK" w:cs="Times New Roman"/>
          <w:color w:val="000000"/>
          <w:kern w:val="0"/>
          <w:sz w:val="44"/>
          <w:szCs w:val="44"/>
          <w:lang w:bidi="ar"/>
        </w:rPr>
      </w:pPr>
    </w:p>
    <w:p>
      <w:pPr>
        <w:widowControl/>
        <w:spacing w:line="600" w:lineRule="exact"/>
        <w:jc w:val="center"/>
        <w:rPr>
          <w:rFonts w:ascii="Times New Roman" w:hAnsi="Times New Roman" w:eastAsia="方正小标宋_GBK" w:cs="Times New Roman"/>
          <w:color w:val="000000"/>
          <w:kern w:val="0"/>
          <w:sz w:val="44"/>
          <w:szCs w:val="44"/>
          <w:lang w:bidi="ar"/>
        </w:rPr>
      </w:pPr>
    </w:p>
    <w:p>
      <w:pPr>
        <w:widowControl/>
        <w:spacing w:line="600" w:lineRule="exact"/>
        <w:jc w:val="center"/>
        <w:rPr>
          <w:rFonts w:ascii="Times New Roman" w:hAnsi="Times New Roman" w:eastAsia="方正小标宋_GBK" w:cs="Times New Roman"/>
          <w:color w:val="000000"/>
          <w:kern w:val="0"/>
          <w:sz w:val="44"/>
          <w:szCs w:val="44"/>
          <w:lang w:bidi="ar"/>
        </w:rPr>
      </w:pPr>
    </w:p>
    <w:p>
      <w:pPr>
        <w:widowControl/>
        <w:spacing w:line="600" w:lineRule="exact"/>
        <w:jc w:val="center"/>
        <w:rPr>
          <w:rFonts w:ascii="Times New Roman" w:hAnsi="Times New Roman" w:eastAsia="方正小标宋_GBK" w:cs="Times New Roman"/>
          <w:color w:val="000000"/>
          <w:kern w:val="0"/>
          <w:sz w:val="44"/>
          <w:szCs w:val="44"/>
          <w:lang w:bidi="ar"/>
        </w:rPr>
      </w:pPr>
      <w:r>
        <w:rPr>
          <w:rFonts w:ascii="Times New Roman" w:hAnsi="Times New Roman" w:eastAsia="方正小标宋_GBK" w:cs="Times New Roman"/>
          <w:color w:val="000000"/>
          <w:kern w:val="0"/>
          <w:sz w:val="44"/>
          <w:szCs w:val="44"/>
          <w:lang w:bidi="ar"/>
        </w:rPr>
        <w:t>重庆市江北区发展和改革委员会</w:t>
      </w:r>
    </w:p>
    <w:p>
      <w:pPr>
        <w:widowControl/>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color w:val="000000"/>
          <w:kern w:val="0"/>
          <w:sz w:val="44"/>
          <w:szCs w:val="44"/>
          <w:lang w:bidi="ar"/>
        </w:rPr>
        <w:t>关于</w:t>
      </w:r>
      <w:r>
        <w:rPr>
          <w:rFonts w:ascii="Times New Roman" w:hAnsi="Times New Roman" w:eastAsia="方正小标宋_GBK" w:cs="Times New Roman"/>
          <w:color w:val="000000"/>
          <w:sz w:val="44"/>
          <w:szCs w:val="44"/>
        </w:rPr>
        <w:t>印发《江北区“十四五”公共服务规划》</w:t>
      </w:r>
      <w:r>
        <w:rPr>
          <w:rFonts w:ascii="Times New Roman" w:hAnsi="Times New Roman" w:eastAsia="方正小标宋_GBK" w:cs="Times New Roman"/>
          <w:color w:val="000000"/>
          <w:kern w:val="0"/>
          <w:sz w:val="44"/>
          <w:szCs w:val="44"/>
          <w:lang w:bidi="ar"/>
        </w:rPr>
        <w:t>的通知</w:t>
      </w:r>
    </w:p>
    <w:p>
      <w:pPr>
        <w:pStyle w:val="19"/>
        <w:widowControl/>
        <w:spacing w:line="600" w:lineRule="exact"/>
        <w:rPr>
          <w:rFonts w:hint="default" w:ascii="Times New Roman" w:hAnsi="Times New Roman" w:eastAsia="方正仿宋_GBK"/>
          <w:color w:val="000000"/>
          <w:sz w:val="32"/>
          <w:szCs w:val="32"/>
        </w:rPr>
      </w:pPr>
    </w:p>
    <w:p>
      <w:pPr>
        <w:spacing w:line="594" w:lineRule="exact"/>
        <w:rPr>
          <w:rFonts w:ascii="Times New Roman" w:hAnsi="Times New Roman" w:eastAsia="方正仿宋_GBK" w:cs="Times New Roman"/>
          <w:color w:val="000000"/>
          <w:sz w:val="32"/>
          <w:szCs w:val="32"/>
        </w:rPr>
      </w:pPr>
      <w:r>
        <w:rPr>
          <w:rFonts w:ascii="Times New Roman" w:eastAsia="方正仿宋_GBK"/>
          <w:sz w:val="32"/>
          <w:szCs w:val="32"/>
        </w:rPr>
        <w:t>各镇人民政府、街道办事处，区政府各部门，</w:t>
      </w:r>
      <w:r>
        <w:rPr>
          <w:rFonts w:ascii="Times New Roman" w:hAnsi="Times New Roman" w:eastAsia="方正仿宋_GBK" w:cs="Times New Roman"/>
          <w:color w:val="000000"/>
          <w:sz w:val="32"/>
          <w:szCs w:val="32"/>
        </w:rPr>
        <w:t>各人民团体，有关单位：</w:t>
      </w:r>
    </w:p>
    <w:p>
      <w:pPr>
        <w:widowControl/>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lang w:bidi="ar"/>
        </w:rPr>
        <w:t>《江北区“十四五”公共服务规划》已经区政府同意，现印</w:t>
      </w:r>
      <w:r>
        <w:rPr>
          <w:rFonts w:ascii="Times New Roman" w:hAnsi="Times New Roman" w:eastAsia="方正仿宋_GBK" w:cs="Times New Roman"/>
          <w:color w:val="000000"/>
          <w:sz w:val="32"/>
          <w:szCs w:val="32"/>
        </w:rPr>
        <w:t>发给你们，请认真贯彻执行。</w:t>
      </w:r>
    </w:p>
    <w:p>
      <w:pPr>
        <w:pStyle w:val="19"/>
        <w:widowControl/>
        <w:spacing w:line="600" w:lineRule="exact"/>
        <w:ind w:firstLine="640" w:firstLineChars="200"/>
        <w:rPr>
          <w:rFonts w:hint="default" w:ascii="Times New Roman" w:hAnsi="Times New Roman" w:eastAsia="方正仿宋_GBK"/>
          <w:sz w:val="32"/>
          <w:szCs w:val="32"/>
        </w:rPr>
      </w:pPr>
      <w:r>
        <w:rPr>
          <w:rFonts w:hint="default" w:ascii="Times New Roman" w:hAnsi="Times New Roman" w:eastAsia="方正仿宋_GBK"/>
          <w:sz w:val="32"/>
          <w:szCs w:val="32"/>
        </w:rPr>
        <w:t>                </w:t>
      </w:r>
    </w:p>
    <w:p>
      <w:pPr>
        <w:pStyle w:val="19"/>
        <w:widowControl/>
        <w:spacing w:line="600" w:lineRule="exact"/>
        <w:ind w:firstLine="640" w:firstLineChars="200"/>
        <w:rPr>
          <w:rFonts w:hint="default" w:ascii="Times New Roman" w:hAnsi="Times New Roman" w:eastAsia="方正仿宋_GBK"/>
          <w:sz w:val="32"/>
          <w:szCs w:val="32"/>
        </w:rPr>
      </w:pPr>
    </w:p>
    <w:p>
      <w:pPr>
        <w:pStyle w:val="19"/>
        <w:widowControl/>
        <w:spacing w:line="600" w:lineRule="exact"/>
        <w:ind w:firstLine="640" w:firstLineChars="200"/>
        <w:jc w:val="right"/>
        <w:rPr>
          <w:rFonts w:hint="default" w:ascii="Times New Roman" w:hAnsi="Times New Roman" w:eastAsia="方正仿宋_GBK"/>
          <w:color w:val="000000"/>
          <w:sz w:val="32"/>
          <w:szCs w:val="32"/>
        </w:rPr>
      </w:pPr>
      <w:r>
        <w:rPr>
          <w:rFonts w:hint="default" w:ascii="Times New Roman" w:hAnsi="Times New Roman" w:eastAsia="方正仿宋_GBK"/>
          <w:color w:val="000000"/>
          <w:sz w:val="32"/>
          <w:szCs w:val="32"/>
        </w:rPr>
        <w:t>重庆市江北区发展和改革委员会</w:t>
      </w:r>
    </w:p>
    <w:p>
      <w:pPr>
        <w:pStyle w:val="19"/>
        <w:widowControl/>
        <w:spacing w:line="600" w:lineRule="exact"/>
        <w:ind w:firstLine="640" w:firstLineChars="200"/>
        <w:jc w:val="center"/>
        <w:rPr>
          <w:rFonts w:hint="default" w:ascii="Times New Roman" w:hAnsi="Times New Roman" w:eastAsia="方正仿宋_GBK"/>
          <w:sz w:val="32"/>
          <w:szCs w:val="32"/>
        </w:rPr>
      </w:pPr>
      <w:r>
        <w:rPr>
          <w:rFonts w:hint="default" w:ascii="Times New Roman" w:hAnsi="Times New Roman" w:eastAsia="方正仿宋_GBK"/>
          <w:color w:val="000000"/>
          <w:sz w:val="32"/>
          <w:szCs w:val="32"/>
        </w:rPr>
        <w:t xml:space="preserve">                    2022年7月</w:t>
      </w:r>
      <w:r>
        <w:rPr>
          <w:rFonts w:ascii="Times New Roman" w:hAnsi="Times New Roman" w:eastAsia="方正仿宋_GBK"/>
          <w:color w:val="000000"/>
          <w:sz w:val="32"/>
          <w:szCs w:val="32"/>
        </w:rPr>
        <w:t>22</w:t>
      </w:r>
      <w:r>
        <w:rPr>
          <w:rFonts w:hint="default" w:ascii="Times New Roman" w:hAnsi="Times New Roman" w:eastAsia="方正仿宋_GBK"/>
          <w:color w:val="000000"/>
          <w:sz w:val="32"/>
          <w:szCs w:val="32"/>
        </w:rPr>
        <w:t>日</w:t>
      </w:r>
    </w:p>
    <w:p>
      <w:pPr>
        <w:adjustRightInd w:val="0"/>
        <w:snapToGrid w:val="0"/>
        <w:spacing w:line="600" w:lineRule="exact"/>
        <w:ind w:firstLine="643" w:firstLineChars="200"/>
        <w:jc w:val="center"/>
        <w:rPr>
          <w:rFonts w:ascii="Times New Roman" w:hAnsi="Times New Roman" w:eastAsia="方正仿宋_GBK" w:cs="Times New Roman"/>
          <w:b/>
          <w:bCs/>
          <w:sz w:val="32"/>
          <w:szCs w:val="32"/>
        </w:rPr>
        <w:sectPr>
          <w:footerReference r:id="rId3" w:type="default"/>
          <w:pgSz w:w="11906" w:h="16838"/>
          <w:pgMar w:top="1440" w:right="1800" w:bottom="1440" w:left="1800" w:header="851" w:footer="992" w:gutter="0"/>
          <w:cols w:space="425" w:num="1"/>
          <w:docGrid w:type="lines" w:linePitch="312" w:charSpace="0"/>
        </w:sectPr>
      </w:pPr>
    </w:p>
    <w:p>
      <w:pPr>
        <w:pStyle w:val="4"/>
        <w:rPr>
          <w:rFonts w:ascii="Times New Roman" w:hAnsi="Times New Roman" w:cs="Times New Roman"/>
        </w:rPr>
      </w:pPr>
    </w:p>
    <w:p>
      <w:pPr>
        <w:adjustRightInd w:val="0"/>
        <w:snapToGrid w:val="0"/>
        <w:spacing w:line="360" w:lineRule="auto"/>
        <w:jc w:val="center"/>
        <w:rPr>
          <w:rFonts w:ascii="Times New Roman" w:hAnsi="Times New Roman" w:eastAsia="方正小标宋_GBK" w:cs="Times New Roman"/>
          <w:b/>
          <w:bCs/>
          <w:sz w:val="36"/>
          <w:szCs w:val="36"/>
        </w:rPr>
      </w:pPr>
    </w:p>
    <w:p>
      <w:pPr>
        <w:adjustRightInd w:val="0"/>
        <w:snapToGrid w:val="0"/>
        <w:spacing w:line="360" w:lineRule="auto"/>
        <w:jc w:val="center"/>
        <w:rPr>
          <w:rFonts w:ascii="Times New Roman" w:hAnsi="Times New Roman" w:eastAsia="方正小标宋_GBK" w:cs="Times New Roman"/>
          <w:b/>
          <w:bCs/>
          <w:sz w:val="36"/>
          <w:szCs w:val="36"/>
        </w:rPr>
      </w:pPr>
    </w:p>
    <w:p>
      <w:pPr>
        <w:adjustRightInd w:val="0"/>
        <w:snapToGrid w:val="0"/>
        <w:spacing w:line="360" w:lineRule="auto"/>
        <w:jc w:val="center"/>
        <w:rPr>
          <w:rFonts w:ascii="Times New Roman" w:hAnsi="Times New Roman" w:eastAsia="方正小标宋_GBK" w:cs="Times New Roman"/>
          <w:b/>
          <w:bCs/>
          <w:sz w:val="36"/>
          <w:szCs w:val="36"/>
        </w:rPr>
      </w:pPr>
    </w:p>
    <w:p>
      <w:pPr>
        <w:adjustRightInd w:val="0"/>
        <w:snapToGrid w:val="0"/>
        <w:spacing w:line="360" w:lineRule="auto"/>
        <w:jc w:val="center"/>
        <w:rPr>
          <w:rFonts w:ascii="Times New Roman" w:hAnsi="Times New Roman" w:eastAsia="方正小标宋_GBK" w:cs="Times New Roman"/>
          <w:b/>
          <w:bCs/>
          <w:sz w:val="36"/>
          <w:szCs w:val="36"/>
        </w:rPr>
      </w:pPr>
    </w:p>
    <w:p>
      <w:pPr>
        <w:adjustRightInd w:val="0"/>
        <w:contextualSpacing/>
        <w:jc w:val="center"/>
        <w:rPr>
          <w:rFonts w:ascii="Times New Roman" w:hAnsi="Times New Roman" w:eastAsia="方正小标宋_GBK" w:cs="Times New Roman"/>
          <w:sz w:val="44"/>
          <w:szCs w:val="44"/>
        </w:rPr>
      </w:pPr>
      <w:r>
        <w:rPr>
          <w:rFonts w:ascii="Times New Roman" w:hAnsi="Times New Roman" w:eastAsia="方正小标宋_GBK" w:cs="Times New Roman"/>
          <w:bCs/>
          <w:sz w:val="44"/>
          <w:szCs w:val="44"/>
        </w:rPr>
        <w:t>江北区“十四五”公共服务规划</w:t>
      </w:r>
    </w:p>
    <w:p>
      <w:pPr>
        <w:tabs>
          <w:tab w:val="left" w:pos="6300"/>
        </w:tabs>
        <w:spacing w:line="360" w:lineRule="auto"/>
        <w:ind w:firstLine="570"/>
        <w:rPr>
          <w:rFonts w:ascii="Times New Roman" w:hAnsi="Times New Roman" w:eastAsia="方正楷体_GBK" w:cs="Times New Roman"/>
          <w:bCs/>
          <w:sz w:val="24"/>
          <w:szCs w:val="24"/>
        </w:rPr>
      </w:pPr>
    </w:p>
    <w:p>
      <w:pPr>
        <w:pStyle w:val="4"/>
        <w:numPr>
          <w:ilvl w:val="255"/>
          <w:numId w:val="0"/>
        </w:numPr>
        <w:ind w:left="480"/>
        <w:rPr>
          <w:rFonts w:ascii="Times New Roman" w:hAnsi="Times New Roman" w:eastAsia="方正楷体_GBK" w:cs="Times New Roman"/>
          <w:sz w:val="24"/>
          <w:szCs w:val="24"/>
        </w:rPr>
      </w:pPr>
    </w:p>
    <w:p>
      <w:pPr>
        <w:rPr>
          <w:rFonts w:ascii="Times New Roman" w:hAnsi="Times New Roman" w:eastAsia="方正楷体_GBK" w:cs="Times New Roman"/>
          <w:sz w:val="24"/>
          <w:szCs w:val="24"/>
        </w:rPr>
      </w:pPr>
    </w:p>
    <w:p>
      <w:pPr>
        <w:pStyle w:val="4"/>
        <w:rPr>
          <w:rFonts w:ascii="Times New Roman" w:hAnsi="Times New Roman" w:cs="Times New Roman"/>
        </w:rPr>
      </w:pPr>
    </w:p>
    <w:p>
      <w:pPr>
        <w:tabs>
          <w:tab w:val="left" w:pos="6300"/>
        </w:tabs>
        <w:spacing w:line="360" w:lineRule="auto"/>
        <w:ind w:firstLine="570"/>
        <w:rPr>
          <w:rFonts w:ascii="Times New Roman" w:hAnsi="Times New Roman" w:eastAsia="方正楷体_GBK" w:cs="Times New Roman"/>
          <w:bCs/>
          <w:sz w:val="28"/>
          <w:szCs w:val="28"/>
        </w:rPr>
      </w:pPr>
    </w:p>
    <w:p>
      <w:pPr>
        <w:tabs>
          <w:tab w:val="left" w:pos="6300"/>
        </w:tabs>
        <w:spacing w:line="360" w:lineRule="auto"/>
        <w:ind w:firstLine="570"/>
        <w:rPr>
          <w:rFonts w:ascii="Times New Roman" w:hAnsi="Times New Roman" w:eastAsia="方正楷体_GBK" w:cs="Times New Roman"/>
          <w:bCs/>
          <w:sz w:val="28"/>
          <w:szCs w:val="28"/>
        </w:rPr>
      </w:pPr>
    </w:p>
    <w:p>
      <w:pPr>
        <w:tabs>
          <w:tab w:val="left" w:pos="6300"/>
        </w:tabs>
        <w:spacing w:line="360" w:lineRule="auto"/>
        <w:ind w:firstLine="570"/>
        <w:rPr>
          <w:rFonts w:ascii="Times New Roman" w:hAnsi="Times New Roman" w:eastAsia="方正楷体_GBK" w:cs="Times New Roman"/>
          <w:bCs/>
          <w:sz w:val="28"/>
          <w:szCs w:val="28"/>
        </w:rPr>
      </w:pPr>
    </w:p>
    <w:p>
      <w:pPr>
        <w:tabs>
          <w:tab w:val="left" w:pos="6300"/>
        </w:tabs>
        <w:spacing w:line="360" w:lineRule="auto"/>
        <w:ind w:firstLine="570"/>
        <w:rPr>
          <w:rFonts w:ascii="Times New Roman" w:hAnsi="Times New Roman" w:eastAsia="方正楷体_GBK" w:cs="Times New Roman"/>
          <w:bCs/>
          <w:sz w:val="28"/>
          <w:szCs w:val="28"/>
        </w:rPr>
      </w:pPr>
    </w:p>
    <w:p>
      <w:pPr>
        <w:tabs>
          <w:tab w:val="left" w:pos="6300"/>
        </w:tabs>
        <w:spacing w:line="360" w:lineRule="auto"/>
        <w:ind w:firstLine="570"/>
        <w:rPr>
          <w:rFonts w:ascii="Times New Roman" w:hAnsi="Times New Roman" w:eastAsia="方正楷体_GBK" w:cs="Times New Roman"/>
          <w:bCs/>
          <w:sz w:val="28"/>
          <w:szCs w:val="28"/>
        </w:rPr>
      </w:pPr>
    </w:p>
    <w:p>
      <w:pPr>
        <w:tabs>
          <w:tab w:val="left" w:pos="6300"/>
        </w:tabs>
        <w:spacing w:line="360" w:lineRule="auto"/>
        <w:ind w:firstLine="570"/>
        <w:rPr>
          <w:rFonts w:ascii="Times New Roman" w:hAnsi="Times New Roman" w:eastAsia="方正楷体_GBK" w:cs="Times New Roman"/>
          <w:bCs/>
          <w:sz w:val="28"/>
          <w:szCs w:val="28"/>
        </w:rPr>
      </w:pPr>
    </w:p>
    <w:p>
      <w:pPr>
        <w:tabs>
          <w:tab w:val="left" w:pos="6300"/>
        </w:tabs>
        <w:spacing w:line="360" w:lineRule="auto"/>
        <w:ind w:firstLine="570"/>
        <w:rPr>
          <w:rFonts w:ascii="Times New Roman" w:hAnsi="Times New Roman" w:eastAsia="方正楷体_GBK" w:cs="Times New Roman"/>
          <w:bCs/>
          <w:sz w:val="28"/>
          <w:szCs w:val="28"/>
        </w:rPr>
      </w:pPr>
    </w:p>
    <w:p>
      <w:pPr>
        <w:tabs>
          <w:tab w:val="left" w:pos="3398"/>
        </w:tabs>
        <w:spacing w:line="360" w:lineRule="auto"/>
        <w:ind w:firstLine="570"/>
        <w:rPr>
          <w:rFonts w:ascii="Times New Roman" w:hAnsi="Times New Roman" w:eastAsia="方正楷体_GBK" w:cs="Times New Roman"/>
          <w:bCs/>
          <w:sz w:val="24"/>
          <w:szCs w:val="24"/>
        </w:rPr>
      </w:pPr>
      <w:r>
        <w:rPr>
          <w:rFonts w:ascii="Times New Roman" w:hAnsi="Times New Roman" w:eastAsia="方正楷体_GBK" w:cs="Times New Roman"/>
          <w:bCs/>
          <w:sz w:val="24"/>
          <w:szCs w:val="24"/>
        </w:rPr>
        <w:tab/>
      </w:r>
    </w:p>
    <w:p>
      <w:pPr>
        <w:tabs>
          <w:tab w:val="left" w:pos="3398"/>
        </w:tabs>
        <w:spacing w:line="360" w:lineRule="auto"/>
        <w:ind w:firstLine="570"/>
        <w:rPr>
          <w:rFonts w:ascii="Times New Roman" w:hAnsi="Times New Roman" w:eastAsia="方正楷体_GBK" w:cs="Times New Roman"/>
          <w:bCs/>
          <w:sz w:val="24"/>
          <w:szCs w:val="24"/>
        </w:rPr>
      </w:pPr>
    </w:p>
    <w:p>
      <w:pPr>
        <w:tabs>
          <w:tab w:val="left" w:pos="6300"/>
        </w:tabs>
        <w:spacing w:line="360" w:lineRule="auto"/>
        <w:jc w:val="center"/>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二〇二二年六月</w:t>
      </w:r>
    </w:p>
    <w:p>
      <w:pPr>
        <w:tabs>
          <w:tab w:val="left" w:pos="6300"/>
        </w:tabs>
        <w:spacing w:line="360" w:lineRule="auto"/>
        <w:ind w:firstLine="570"/>
        <w:rPr>
          <w:rFonts w:ascii="Times New Roman" w:hAnsi="Times New Roman" w:eastAsia="方正楷体_GBK" w:cs="Times New Roman"/>
          <w:bCs/>
          <w:sz w:val="24"/>
          <w:szCs w:val="24"/>
        </w:rPr>
      </w:pPr>
    </w:p>
    <w:p>
      <w:pPr>
        <w:tabs>
          <w:tab w:val="left" w:pos="6300"/>
        </w:tabs>
        <w:spacing w:line="360" w:lineRule="auto"/>
        <w:ind w:firstLine="570"/>
        <w:rPr>
          <w:rFonts w:ascii="Times New Roman" w:hAnsi="Times New Roman" w:eastAsia="方正楷体_GBK" w:cs="Times New Roman"/>
          <w:bCs/>
          <w:sz w:val="24"/>
          <w:szCs w:val="24"/>
        </w:rPr>
      </w:pPr>
    </w:p>
    <w:p>
      <w:pPr>
        <w:tabs>
          <w:tab w:val="left" w:pos="6300"/>
        </w:tabs>
        <w:spacing w:line="360" w:lineRule="auto"/>
        <w:ind w:firstLine="570"/>
        <w:rPr>
          <w:rFonts w:ascii="Times New Roman" w:hAnsi="Times New Roman" w:eastAsia="方正楷体_GBK" w:cs="Times New Roman"/>
          <w:bCs/>
          <w:sz w:val="24"/>
          <w:szCs w:val="24"/>
        </w:rPr>
      </w:pPr>
    </w:p>
    <w:p>
      <w:pPr>
        <w:tabs>
          <w:tab w:val="left" w:pos="6300"/>
        </w:tabs>
        <w:spacing w:line="360" w:lineRule="auto"/>
        <w:ind w:firstLine="570"/>
        <w:rPr>
          <w:rFonts w:ascii="Times New Roman" w:hAnsi="Times New Roman" w:eastAsia="方正楷体_GBK" w:cs="Times New Roman"/>
          <w:bCs/>
          <w:sz w:val="24"/>
          <w:szCs w:val="24"/>
        </w:rPr>
        <w:sectPr>
          <w:pgSz w:w="11906" w:h="16838"/>
          <w:pgMar w:top="1440" w:right="1800" w:bottom="1440" w:left="1800" w:header="851" w:footer="992" w:gutter="0"/>
          <w:cols w:space="425" w:num="1"/>
          <w:docGrid w:type="lines" w:linePitch="312" w:charSpace="0"/>
        </w:sectPr>
      </w:pPr>
    </w:p>
    <w:p>
      <w:pPr>
        <w:pStyle w:val="16"/>
        <w:rPr>
          <w:rFonts w:ascii="Times New Roman" w:hAnsi="Times New Roman" w:eastAsia="方正黑体_GBK"/>
          <w:b w:val="0"/>
          <w:bCs/>
          <w:sz w:val="36"/>
          <w:szCs w:val="36"/>
        </w:rPr>
      </w:pPr>
      <w:r>
        <w:rPr>
          <w:rFonts w:ascii="Times New Roman" w:hAnsi="Times New Roman"/>
        </w:rPr>
        <w:t xml:space="preserve">                   </w:t>
      </w:r>
      <w:r>
        <w:rPr>
          <w:rFonts w:ascii="Times New Roman" w:hAnsi="Times New Roman"/>
          <w:sz w:val="36"/>
          <w:szCs w:val="36"/>
        </w:rPr>
        <w:t xml:space="preserve"> </w:t>
      </w:r>
      <w:r>
        <w:rPr>
          <w:rFonts w:ascii="Times New Roman" w:hAnsi="Times New Roman" w:eastAsia="方正黑体_GBK"/>
          <w:b w:val="0"/>
          <w:bCs/>
          <w:sz w:val="36"/>
          <w:szCs w:val="36"/>
        </w:rPr>
        <w:t xml:space="preserve"> 目  录</w:t>
      </w:r>
    </w:p>
    <w:p>
      <w:pPr>
        <w:jc w:val="center"/>
        <w:rPr>
          <w:rFonts w:ascii="Times New Roman" w:hAnsi="Times New Roman" w:cs="Times New Roman"/>
        </w:rPr>
      </w:pPr>
    </w:p>
    <w:p>
      <w:pPr>
        <w:pStyle w:val="16"/>
        <w:tabs>
          <w:tab w:val="right" w:leader="dot" w:pos="8306"/>
          <w:tab w:val="clear" w:pos="8296"/>
        </w:tabs>
        <w:spacing w:line="570" w:lineRule="exact"/>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TOC \o "1-3" \h \u </w:instrText>
      </w:r>
      <w:r>
        <w:rPr>
          <w:rFonts w:ascii="Times New Roman" w:hAnsi="Times New Roman"/>
          <w:sz w:val="28"/>
          <w:szCs w:val="28"/>
        </w:rPr>
        <w:fldChar w:fldCharType="separate"/>
      </w:r>
      <w:r>
        <w:fldChar w:fldCharType="begin"/>
      </w:r>
      <w:r>
        <w:instrText xml:space="preserve"> HYPERLINK \l "_Toc26671" </w:instrText>
      </w:r>
      <w:r>
        <w:fldChar w:fldCharType="separate"/>
      </w:r>
      <w:r>
        <w:rPr>
          <w:rFonts w:ascii="Times New Roman" w:hAnsi="Times New Roman" w:eastAsia="方正黑体_GBK"/>
          <w:bCs/>
          <w:sz w:val="28"/>
          <w:szCs w:val="28"/>
        </w:rPr>
        <w:t>第一章 规划背景</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_Toc26671 \h </w:instrText>
      </w:r>
      <w:r>
        <w:rPr>
          <w:rFonts w:ascii="Times New Roman" w:hAnsi="Times New Roman"/>
          <w:sz w:val="28"/>
          <w:szCs w:val="28"/>
        </w:rPr>
        <w:fldChar w:fldCharType="separate"/>
      </w:r>
      <w:r>
        <w:rPr>
          <w:rFonts w:ascii="Times New Roman" w:hAnsi="Times New Roman"/>
          <w:sz w:val="28"/>
          <w:szCs w:val="28"/>
        </w:rPr>
        <w:t>- 1 -</w:t>
      </w:r>
      <w:r>
        <w:rPr>
          <w:rFonts w:ascii="Times New Roman" w:hAnsi="Times New Roman"/>
          <w:sz w:val="28"/>
          <w:szCs w:val="28"/>
        </w:rPr>
        <w:fldChar w:fldCharType="end"/>
      </w:r>
      <w:r>
        <w:rPr>
          <w:rFonts w:ascii="Times New Roman" w:hAnsi="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"_Toc2012" </w:instrText>
      </w:r>
      <w:r>
        <w:fldChar w:fldCharType="separate"/>
      </w:r>
      <w:r>
        <w:rPr>
          <w:rFonts w:ascii="Times New Roman" w:hAnsi="Times New Roman" w:eastAsia="方正楷体_GBK" w:cs="Times New Roman"/>
          <w:sz w:val="28"/>
          <w:szCs w:val="28"/>
        </w:rPr>
        <w:t>第一节 发展基础</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_Toc2012 \h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"_Toc29432" </w:instrText>
      </w:r>
      <w:r>
        <w:fldChar w:fldCharType="separate"/>
      </w:r>
      <w:r>
        <w:rPr>
          <w:rFonts w:ascii="Times New Roman" w:hAnsi="Times New Roman" w:eastAsia="方正楷体_GBK" w:cs="Times New Roman"/>
          <w:sz w:val="28"/>
          <w:szCs w:val="28"/>
        </w:rPr>
        <w:t>第二节 机遇挑战</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_Toc29432 \h </w:instrText>
      </w:r>
      <w:r>
        <w:rPr>
          <w:rFonts w:ascii="Times New Roman" w:hAnsi="Times New Roman" w:cs="Times New Roman"/>
          <w:sz w:val="28"/>
          <w:szCs w:val="28"/>
        </w:rPr>
        <w:fldChar w:fldCharType="separate"/>
      </w:r>
      <w:r>
        <w:rPr>
          <w:rFonts w:ascii="Times New Roman" w:hAnsi="Times New Roman" w:cs="Times New Roman"/>
          <w:sz w:val="28"/>
          <w:szCs w:val="28"/>
        </w:rPr>
        <w:t>- 5 -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306"/>
          <w:tab w:val="clear" w:pos="8296"/>
        </w:tabs>
        <w:spacing w:line="570" w:lineRule="exact"/>
        <w:rPr>
          <w:rFonts w:ascii="Times New Roman" w:hAnsi="Times New Roman"/>
          <w:sz w:val="28"/>
          <w:szCs w:val="28"/>
        </w:rPr>
      </w:pPr>
      <w:r>
        <w:fldChar w:fldCharType="begin"/>
      </w:r>
      <w:r>
        <w:instrText xml:space="preserve"> HYPERLINK \l "_Toc2663" </w:instrText>
      </w:r>
      <w:r>
        <w:fldChar w:fldCharType="separate"/>
      </w:r>
      <w:r>
        <w:rPr>
          <w:rFonts w:ascii="Times New Roman" w:hAnsi="Times New Roman" w:eastAsia="方正黑体_GBK"/>
          <w:bCs/>
          <w:sz w:val="28"/>
          <w:szCs w:val="28"/>
        </w:rPr>
        <w:t>第二章 总体思路</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_Toc2663 \h </w:instrText>
      </w:r>
      <w:r>
        <w:rPr>
          <w:rFonts w:ascii="Times New Roman" w:hAnsi="Times New Roman"/>
          <w:sz w:val="28"/>
          <w:szCs w:val="28"/>
        </w:rPr>
        <w:fldChar w:fldCharType="separate"/>
      </w:r>
      <w:r>
        <w:rPr>
          <w:rFonts w:ascii="Times New Roman" w:hAnsi="Times New Roman"/>
          <w:sz w:val="28"/>
          <w:szCs w:val="28"/>
        </w:rPr>
        <w:t>- 8 -</w:t>
      </w:r>
      <w:r>
        <w:rPr>
          <w:rFonts w:ascii="Times New Roman" w:hAnsi="Times New Roman"/>
          <w:sz w:val="28"/>
          <w:szCs w:val="28"/>
        </w:rPr>
        <w:fldChar w:fldCharType="end"/>
      </w:r>
      <w:r>
        <w:rPr>
          <w:rFonts w:ascii="Times New Roman" w:hAnsi="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"_Toc21567" </w:instrText>
      </w:r>
      <w:r>
        <w:fldChar w:fldCharType="separate"/>
      </w:r>
      <w:r>
        <w:rPr>
          <w:rFonts w:ascii="Times New Roman" w:hAnsi="Times New Roman" w:eastAsia="方正楷体_GBK" w:cs="Times New Roman"/>
          <w:sz w:val="28"/>
          <w:szCs w:val="28"/>
        </w:rPr>
        <w:t>第一节 指导思想</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_Toc21567 \h </w:instrText>
      </w:r>
      <w:r>
        <w:rPr>
          <w:rFonts w:ascii="Times New Roman" w:hAnsi="Times New Roman" w:cs="Times New Roman"/>
          <w:sz w:val="28"/>
          <w:szCs w:val="28"/>
        </w:rPr>
        <w:fldChar w:fldCharType="separate"/>
      </w:r>
      <w:r>
        <w:rPr>
          <w:rFonts w:ascii="Times New Roman" w:hAnsi="Times New Roman" w:cs="Times New Roman"/>
          <w:sz w:val="28"/>
          <w:szCs w:val="28"/>
        </w:rPr>
        <w:t>- 8 -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"_Toc14075" </w:instrText>
      </w:r>
      <w:r>
        <w:fldChar w:fldCharType="separate"/>
      </w:r>
      <w:r>
        <w:rPr>
          <w:rFonts w:ascii="Times New Roman" w:hAnsi="Times New Roman" w:eastAsia="方正楷体_GBK" w:cs="Times New Roman"/>
          <w:sz w:val="28"/>
          <w:szCs w:val="28"/>
        </w:rPr>
        <w:t>第二节 基本原则</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_Toc14075 \h </w:instrText>
      </w:r>
      <w:r>
        <w:rPr>
          <w:rFonts w:ascii="Times New Roman" w:hAnsi="Times New Roman" w:cs="Times New Roman"/>
          <w:sz w:val="28"/>
          <w:szCs w:val="28"/>
        </w:rPr>
        <w:fldChar w:fldCharType="separate"/>
      </w:r>
      <w:r>
        <w:rPr>
          <w:rFonts w:ascii="Times New Roman" w:hAnsi="Times New Roman" w:cs="Times New Roman"/>
          <w:sz w:val="28"/>
          <w:szCs w:val="28"/>
        </w:rPr>
        <w:t>- 9 -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"_Toc15341" </w:instrText>
      </w:r>
      <w:r>
        <w:fldChar w:fldCharType="separate"/>
      </w:r>
      <w:r>
        <w:rPr>
          <w:rFonts w:ascii="Times New Roman" w:hAnsi="Times New Roman" w:eastAsia="方正楷体_GBK" w:cs="Times New Roman"/>
          <w:sz w:val="28"/>
          <w:szCs w:val="28"/>
        </w:rPr>
        <w:t>第三节 总体要求</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_Toc15341 \h </w:instrText>
      </w:r>
      <w:r>
        <w:rPr>
          <w:rFonts w:ascii="Times New Roman" w:hAnsi="Times New Roman" w:cs="Times New Roman"/>
          <w:sz w:val="28"/>
          <w:szCs w:val="28"/>
        </w:rPr>
        <w:fldChar w:fldCharType="separate"/>
      </w:r>
      <w:r>
        <w:rPr>
          <w:rFonts w:ascii="Times New Roman" w:hAnsi="Times New Roman" w:cs="Times New Roman"/>
          <w:sz w:val="28"/>
          <w:szCs w:val="28"/>
        </w:rPr>
        <w:t>- 11 -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306"/>
          <w:tab w:val="clear" w:pos="8296"/>
        </w:tabs>
        <w:spacing w:line="570" w:lineRule="exact"/>
        <w:rPr>
          <w:rFonts w:ascii="Times New Roman" w:hAnsi="Times New Roman"/>
          <w:sz w:val="28"/>
          <w:szCs w:val="28"/>
        </w:rPr>
      </w:pPr>
      <w:r>
        <w:fldChar w:fldCharType="begin"/>
      </w:r>
      <w:r>
        <w:instrText xml:space="preserve"> HYPERLINK \l "_Toc10537" </w:instrText>
      </w:r>
      <w:r>
        <w:fldChar w:fldCharType="separate"/>
      </w:r>
      <w:r>
        <w:rPr>
          <w:rFonts w:ascii="Times New Roman" w:hAnsi="Times New Roman" w:eastAsia="方正黑体_GBK"/>
          <w:bCs/>
          <w:sz w:val="28"/>
          <w:szCs w:val="28"/>
        </w:rPr>
        <w:t>第三章 系统提升公共服务效能</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_Toc10537 \h </w:instrText>
      </w:r>
      <w:r>
        <w:rPr>
          <w:rFonts w:ascii="Times New Roman" w:hAnsi="Times New Roman"/>
          <w:sz w:val="28"/>
          <w:szCs w:val="28"/>
        </w:rPr>
        <w:fldChar w:fldCharType="separate"/>
      </w:r>
      <w:r>
        <w:rPr>
          <w:rFonts w:ascii="Times New Roman" w:hAnsi="Times New Roman"/>
          <w:sz w:val="28"/>
          <w:szCs w:val="28"/>
        </w:rPr>
        <w:t>- 18 -</w:t>
      </w:r>
      <w:r>
        <w:rPr>
          <w:rFonts w:ascii="Times New Roman" w:hAnsi="Times New Roman"/>
          <w:sz w:val="28"/>
          <w:szCs w:val="28"/>
        </w:rPr>
        <w:fldChar w:fldCharType="end"/>
      </w:r>
      <w:r>
        <w:rPr>
          <w:rFonts w:ascii="Times New Roman" w:hAnsi="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"_Toc7349" </w:instrText>
      </w:r>
      <w:r>
        <w:fldChar w:fldCharType="separate"/>
      </w:r>
      <w:r>
        <w:rPr>
          <w:rFonts w:ascii="Times New Roman" w:hAnsi="Times New Roman" w:eastAsia="方正楷体_GBK" w:cs="Times New Roman"/>
          <w:sz w:val="28"/>
          <w:szCs w:val="28"/>
        </w:rPr>
        <w:t>第一节 系统提升基本公共服务均等化水平</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_Toc7349 \h </w:instrText>
      </w:r>
      <w:r>
        <w:rPr>
          <w:rFonts w:ascii="Times New Roman" w:hAnsi="Times New Roman" w:cs="Times New Roman"/>
          <w:sz w:val="28"/>
          <w:szCs w:val="28"/>
        </w:rPr>
        <w:fldChar w:fldCharType="separate"/>
      </w:r>
      <w:r>
        <w:rPr>
          <w:rFonts w:ascii="Times New Roman" w:hAnsi="Times New Roman" w:cs="Times New Roman"/>
          <w:sz w:val="28"/>
          <w:szCs w:val="28"/>
        </w:rPr>
        <w:t>- 18 -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"_Toc9701" </w:instrText>
      </w:r>
      <w:r>
        <w:fldChar w:fldCharType="separate"/>
      </w:r>
      <w:r>
        <w:rPr>
          <w:rFonts w:ascii="Times New Roman" w:hAnsi="Times New Roman" w:eastAsia="方正楷体_GBK" w:cs="Times New Roman"/>
          <w:bCs/>
          <w:sz w:val="28"/>
          <w:szCs w:val="28"/>
        </w:rPr>
        <w:t>第二节 系统提升非基本公共服务普惠化水平</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_Toc9701 \h </w:instrText>
      </w:r>
      <w:r>
        <w:rPr>
          <w:rFonts w:ascii="Times New Roman" w:hAnsi="Times New Roman" w:cs="Times New Roman"/>
          <w:sz w:val="28"/>
          <w:szCs w:val="28"/>
        </w:rPr>
        <w:fldChar w:fldCharType="separate"/>
      </w:r>
      <w:r>
        <w:rPr>
          <w:rFonts w:ascii="Times New Roman" w:hAnsi="Times New Roman" w:cs="Times New Roman"/>
          <w:sz w:val="28"/>
          <w:szCs w:val="28"/>
        </w:rPr>
        <w:t>- 22 -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"_Toc29384" </w:instrText>
      </w:r>
      <w:r>
        <w:fldChar w:fldCharType="separate"/>
      </w:r>
      <w:r>
        <w:rPr>
          <w:rFonts w:ascii="Times New Roman" w:hAnsi="Times New Roman" w:eastAsia="方正楷体_GBK" w:cs="Times New Roman"/>
          <w:bCs/>
          <w:sz w:val="28"/>
          <w:szCs w:val="28"/>
        </w:rPr>
        <w:t>第三节 系统提升生活服务业高质量水平</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_Toc29384 \h </w:instrText>
      </w:r>
      <w:r>
        <w:rPr>
          <w:rFonts w:ascii="Times New Roman" w:hAnsi="Times New Roman" w:cs="Times New Roman"/>
          <w:sz w:val="28"/>
          <w:szCs w:val="28"/>
        </w:rPr>
        <w:fldChar w:fldCharType="separate"/>
      </w:r>
      <w:r>
        <w:rPr>
          <w:rFonts w:ascii="Times New Roman" w:hAnsi="Times New Roman" w:cs="Times New Roman"/>
          <w:sz w:val="28"/>
          <w:szCs w:val="28"/>
        </w:rPr>
        <w:t>- 24 -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"_Toc22261" </w:instrText>
      </w:r>
      <w:r>
        <w:fldChar w:fldCharType="separate"/>
      </w:r>
      <w:r>
        <w:rPr>
          <w:rFonts w:ascii="Times New Roman" w:hAnsi="Times New Roman" w:eastAsia="方正楷体_GBK" w:cs="Times New Roman"/>
          <w:bCs/>
          <w:sz w:val="28"/>
          <w:szCs w:val="28"/>
        </w:rPr>
        <w:t>第四节 系统提升公共服务共建共享水平</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_Toc22261 \h </w:instrText>
      </w:r>
      <w:r>
        <w:rPr>
          <w:rFonts w:ascii="Times New Roman" w:hAnsi="Times New Roman" w:cs="Times New Roman"/>
          <w:sz w:val="28"/>
          <w:szCs w:val="28"/>
        </w:rPr>
        <w:fldChar w:fldCharType="separate"/>
      </w:r>
      <w:r>
        <w:rPr>
          <w:rFonts w:ascii="Times New Roman" w:hAnsi="Times New Roman" w:cs="Times New Roman"/>
          <w:sz w:val="28"/>
          <w:szCs w:val="28"/>
        </w:rPr>
        <w:t>- 25 -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"_Toc32093" </w:instrText>
      </w:r>
      <w:r>
        <w:fldChar w:fldCharType="separate"/>
      </w:r>
      <w:r>
        <w:rPr>
          <w:rFonts w:ascii="Times New Roman" w:hAnsi="Times New Roman" w:eastAsia="方正楷体_GBK" w:cs="Times New Roman"/>
          <w:sz w:val="28"/>
          <w:szCs w:val="28"/>
        </w:rPr>
        <w:t>第五节 系统提升公共服务数字服务水平</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_Toc32093 \h </w:instrText>
      </w:r>
      <w:r>
        <w:rPr>
          <w:rFonts w:ascii="Times New Roman" w:hAnsi="Times New Roman" w:cs="Times New Roman"/>
          <w:sz w:val="28"/>
          <w:szCs w:val="28"/>
        </w:rPr>
        <w:fldChar w:fldCharType="separate"/>
      </w:r>
      <w:r>
        <w:rPr>
          <w:rFonts w:ascii="Times New Roman" w:hAnsi="Times New Roman" w:cs="Times New Roman"/>
          <w:sz w:val="28"/>
          <w:szCs w:val="28"/>
        </w:rPr>
        <w:t>- 28 -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"_Toc14093" </w:instrText>
      </w:r>
      <w:r>
        <w:fldChar w:fldCharType="separate"/>
      </w:r>
      <w:r>
        <w:rPr>
          <w:rFonts w:ascii="Times New Roman" w:hAnsi="Times New Roman" w:eastAsia="方正楷体_GBK" w:cs="Times New Roman"/>
          <w:bCs/>
          <w:sz w:val="28"/>
          <w:szCs w:val="28"/>
        </w:rPr>
        <w:t>第六节 系统提升与人口相适应的公共服务水平</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_Toc14093 \h </w:instrText>
      </w:r>
      <w:r>
        <w:rPr>
          <w:rFonts w:ascii="Times New Roman" w:hAnsi="Times New Roman" w:cs="Times New Roman"/>
          <w:sz w:val="28"/>
          <w:szCs w:val="28"/>
        </w:rPr>
        <w:fldChar w:fldCharType="separate"/>
      </w:r>
      <w:r>
        <w:rPr>
          <w:rFonts w:ascii="Times New Roman" w:hAnsi="Times New Roman" w:cs="Times New Roman"/>
          <w:sz w:val="28"/>
          <w:szCs w:val="28"/>
        </w:rPr>
        <w:t>- 30 -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306"/>
          <w:tab w:val="clear" w:pos="8296"/>
        </w:tabs>
        <w:spacing w:line="570" w:lineRule="exact"/>
        <w:rPr>
          <w:rFonts w:ascii="Times New Roman" w:hAnsi="Times New Roman"/>
          <w:sz w:val="28"/>
          <w:szCs w:val="28"/>
        </w:rPr>
      </w:pPr>
      <w:r>
        <w:fldChar w:fldCharType="begin"/>
      </w:r>
      <w:r>
        <w:instrText xml:space="preserve"> HYPERLINK \l "_Toc21048" </w:instrText>
      </w:r>
      <w:r>
        <w:fldChar w:fldCharType="separate"/>
      </w:r>
      <w:r>
        <w:rPr>
          <w:rFonts w:ascii="Times New Roman" w:hAnsi="Times New Roman" w:eastAsia="方正黑体_GBK"/>
          <w:bCs/>
          <w:sz w:val="28"/>
          <w:szCs w:val="28"/>
        </w:rPr>
        <w:t>第四章 补齐基本公共服务短板</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_Toc21048 \h </w:instrText>
      </w:r>
      <w:r>
        <w:rPr>
          <w:rFonts w:ascii="Times New Roman" w:hAnsi="Times New Roman"/>
          <w:sz w:val="28"/>
          <w:szCs w:val="28"/>
        </w:rPr>
        <w:fldChar w:fldCharType="separate"/>
      </w:r>
      <w:r>
        <w:rPr>
          <w:rFonts w:ascii="Times New Roman" w:hAnsi="Times New Roman"/>
          <w:sz w:val="28"/>
          <w:szCs w:val="28"/>
        </w:rPr>
        <w:t>- 32 -</w:t>
      </w:r>
      <w:r>
        <w:rPr>
          <w:rFonts w:ascii="Times New Roman" w:hAnsi="Times New Roman"/>
          <w:sz w:val="28"/>
          <w:szCs w:val="28"/>
        </w:rPr>
        <w:fldChar w:fldCharType="end"/>
      </w:r>
      <w:r>
        <w:rPr>
          <w:rFonts w:ascii="Times New Roman" w:hAnsi="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"_Toc31541" </w:instrText>
      </w:r>
      <w:r>
        <w:fldChar w:fldCharType="separate"/>
      </w:r>
      <w:r>
        <w:rPr>
          <w:rFonts w:ascii="Times New Roman" w:hAnsi="Times New Roman" w:eastAsia="方正楷体_GBK" w:cs="Times New Roman"/>
          <w:sz w:val="28"/>
          <w:szCs w:val="28"/>
        </w:rPr>
        <w:t>第一节 不断提高优生优育服务水平</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_Toc31541 \h </w:instrText>
      </w:r>
      <w:r>
        <w:rPr>
          <w:rFonts w:ascii="Times New Roman" w:hAnsi="Times New Roman" w:cs="Times New Roman"/>
          <w:sz w:val="28"/>
          <w:szCs w:val="28"/>
        </w:rPr>
        <w:fldChar w:fldCharType="separate"/>
      </w:r>
      <w:r>
        <w:rPr>
          <w:rFonts w:ascii="Times New Roman" w:hAnsi="Times New Roman" w:cs="Times New Roman"/>
          <w:sz w:val="28"/>
          <w:szCs w:val="28"/>
        </w:rPr>
        <w:t>- 32 -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"_Toc22323" </w:instrText>
      </w:r>
      <w:r>
        <w:fldChar w:fldCharType="separate"/>
      </w:r>
      <w:r>
        <w:rPr>
          <w:rFonts w:ascii="Times New Roman" w:hAnsi="Times New Roman" w:eastAsia="方正楷体_GBK" w:cs="Times New Roman"/>
          <w:sz w:val="28"/>
          <w:szCs w:val="28"/>
        </w:rPr>
        <w:t>第二节 着力完善义务教育服务体系</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_Toc22323 \h </w:instrText>
      </w:r>
      <w:r>
        <w:rPr>
          <w:rFonts w:ascii="Times New Roman" w:hAnsi="Times New Roman" w:cs="Times New Roman"/>
          <w:sz w:val="28"/>
          <w:szCs w:val="28"/>
        </w:rPr>
        <w:fldChar w:fldCharType="separate"/>
      </w:r>
      <w:r>
        <w:rPr>
          <w:rFonts w:ascii="Times New Roman" w:hAnsi="Times New Roman" w:cs="Times New Roman"/>
          <w:sz w:val="28"/>
          <w:szCs w:val="28"/>
        </w:rPr>
        <w:t>- 33 -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"_Toc11022" </w:instrText>
      </w:r>
      <w:r>
        <w:fldChar w:fldCharType="separate"/>
      </w:r>
      <w:r>
        <w:rPr>
          <w:rFonts w:ascii="Times New Roman" w:hAnsi="Times New Roman" w:eastAsia="方正楷体_GBK" w:cs="Times New Roman"/>
          <w:sz w:val="28"/>
          <w:szCs w:val="28"/>
        </w:rPr>
        <w:t>第三节 不断提升劳动就业服务水平</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_Toc11022 \h </w:instrText>
      </w:r>
      <w:r>
        <w:rPr>
          <w:rFonts w:ascii="Times New Roman" w:hAnsi="Times New Roman" w:cs="Times New Roman"/>
          <w:sz w:val="28"/>
          <w:szCs w:val="28"/>
        </w:rPr>
        <w:fldChar w:fldCharType="separate"/>
      </w:r>
      <w:r>
        <w:rPr>
          <w:rFonts w:ascii="Times New Roman" w:hAnsi="Times New Roman" w:cs="Times New Roman"/>
          <w:sz w:val="28"/>
          <w:szCs w:val="28"/>
        </w:rPr>
        <w:t>- 35 -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"_Toc29163" </w:instrText>
      </w:r>
      <w:r>
        <w:fldChar w:fldCharType="separate"/>
      </w:r>
      <w:r>
        <w:rPr>
          <w:rFonts w:ascii="Times New Roman" w:hAnsi="Times New Roman" w:eastAsia="方正楷体_GBK" w:cs="Times New Roman"/>
          <w:sz w:val="28"/>
          <w:szCs w:val="28"/>
        </w:rPr>
        <w:t>第四节 系统完善医疗卫生服务体系</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_Toc29163 \h </w:instrText>
      </w:r>
      <w:r>
        <w:rPr>
          <w:rFonts w:ascii="Times New Roman" w:hAnsi="Times New Roman" w:cs="Times New Roman"/>
          <w:sz w:val="28"/>
          <w:szCs w:val="28"/>
        </w:rPr>
        <w:fldChar w:fldCharType="separate"/>
      </w:r>
      <w:r>
        <w:rPr>
          <w:rFonts w:ascii="Times New Roman" w:hAnsi="Times New Roman" w:cs="Times New Roman"/>
          <w:sz w:val="28"/>
          <w:szCs w:val="28"/>
        </w:rPr>
        <w:t>- 37 -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"_Toc10296" </w:instrText>
      </w:r>
      <w:r>
        <w:fldChar w:fldCharType="separate"/>
      </w:r>
      <w:r>
        <w:rPr>
          <w:rFonts w:ascii="Times New Roman" w:hAnsi="Times New Roman" w:eastAsia="方正楷体_GBK" w:cs="Times New Roman"/>
          <w:sz w:val="28"/>
          <w:szCs w:val="28"/>
        </w:rPr>
        <w:t>第五节 切实保障基本养老服务需求</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_Toc10296 \h </w:instrText>
      </w:r>
      <w:r>
        <w:rPr>
          <w:rFonts w:ascii="Times New Roman" w:hAnsi="Times New Roman" w:cs="Times New Roman"/>
          <w:sz w:val="28"/>
          <w:szCs w:val="28"/>
        </w:rPr>
        <w:fldChar w:fldCharType="separate"/>
      </w:r>
      <w:r>
        <w:rPr>
          <w:rFonts w:ascii="Times New Roman" w:hAnsi="Times New Roman" w:cs="Times New Roman"/>
          <w:sz w:val="28"/>
          <w:szCs w:val="28"/>
        </w:rPr>
        <w:t>- 40 -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"_Toc11798" </w:instrText>
      </w:r>
      <w:r>
        <w:fldChar w:fldCharType="separate"/>
      </w:r>
      <w:r>
        <w:rPr>
          <w:rFonts w:ascii="Times New Roman" w:hAnsi="Times New Roman" w:eastAsia="方正楷体_GBK" w:cs="Times New Roman"/>
          <w:sz w:val="28"/>
          <w:szCs w:val="28"/>
        </w:rPr>
        <w:t>第六节 不断加强公共文化服务供给</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_Toc11798 \h </w:instrText>
      </w:r>
      <w:r>
        <w:rPr>
          <w:rFonts w:ascii="Times New Roman" w:hAnsi="Times New Roman" w:cs="Times New Roman"/>
          <w:sz w:val="28"/>
          <w:szCs w:val="28"/>
        </w:rPr>
        <w:fldChar w:fldCharType="separate"/>
      </w:r>
      <w:r>
        <w:rPr>
          <w:rFonts w:ascii="Times New Roman" w:hAnsi="Times New Roman" w:cs="Times New Roman"/>
          <w:sz w:val="28"/>
          <w:szCs w:val="28"/>
        </w:rPr>
        <w:t>- 42 -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"_Toc1501" </w:instrText>
      </w:r>
      <w:r>
        <w:fldChar w:fldCharType="separate"/>
      </w:r>
      <w:r>
        <w:rPr>
          <w:rFonts w:ascii="Times New Roman" w:hAnsi="Times New Roman" w:eastAsia="方正楷体_GBK" w:cs="Times New Roman"/>
          <w:sz w:val="28"/>
          <w:szCs w:val="28"/>
        </w:rPr>
        <w:t>第七节 着力丰富公共体育服务内容</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_Toc1501 \h </w:instrText>
      </w:r>
      <w:r>
        <w:rPr>
          <w:rFonts w:ascii="Times New Roman" w:hAnsi="Times New Roman" w:cs="Times New Roman"/>
          <w:sz w:val="28"/>
          <w:szCs w:val="28"/>
        </w:rPr>
        <w:fldChar w:fldCharType="separate"/>
      </w:r>
      <w:r>
        <w:rPr>
          <w:rFonts w:ascii="Times New Roman" w:hAnsi="Times New Roman" w:cs="Times New Roman"/>
          <w:sz w:val="28"/>
          <w:szCs w:val="28"/>
        </w:rPr>
        <w:t>- 44 -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"_Toc22356" </w:instrText>
      </w:r>
      <w:r>
        <w:fldChar w:fldCharType="separate"/>
      </w:r>
      <w:r>
        <w:rPr>
          <w:rFonts w:ascii="Times New Roman" w:hAnsi="Times New Roman" w:eastAsia="方正楷体_GBK" w:cs="Times New Roman"/>
          <w:sz w:val="28"/>
          <w:szCs w:val="28"/>
        </w:rPr>
        <w:t>第八节 扎实推进基本住房保障建设</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_Toc22356 \h </w:instrText>
      </w:r>
      <w:r>
        <w:rPr>
          <w:rFonts w:ascii="Times New Roman" w:hAnsi="Times New Roman" w:cs="Times New Roman"/>
          <w:sz w:val="28"/>
          <w:szCs w:val="28"/>
        </w:rPr>
        <w:fldChar w:fldCharType="separate"/>
      </w:r>
      <w:r>
        <w:rPr>
          <w:rFonts w:ascii="Times New Roman" w:hAnsi="Times New Roman" w:cs="Times New Roman"/>
          <w:sz w:val="28"/>
          <w:szCs w:val="28"/>
        </w:rPr>
        <w:t>- 46 -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"_Toc22964" </w:instrText>
      </w:r>
      <w:r>
        <w:fldChar w:fldCharType="separate"/>
      </w:r>
      <w:r>
        <w:rPr>
          <w:rFonts w:ascii="Times New Roman" w:hAnsi="Times New Roman" w:eastAsia="方正楷体_GBK" w:cs="Times New Roman"/>
          <w:sz w:val="28"/>
          <w:szCs w:val="28"/>
        </w:rPr>
        <w:t>第九节 不断健全基本社会服务体系</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_Toc22964 \h </w:instrText>
      </w:r>
      <w:r>
        <w:rPr>
          <w:rFonts w:ascii="Times New Roman" w:hAnsi="Times New Roman" w:cs="Times New Roman"/>
          <w:sz w:val="28"/>
          <w:szCs w:val="28"/>
        </w:rPr>
        <w:fldChar w:fldCharType="separate"/>
      </w:r>
      <w:r>
        <w:rPr>
          <w:rFonts w:ascii="Times New Roman" w:hAnsi="Times New Roman" w:cs="Times New Roman"/>
          <w:sz w:val="28"/>
          <w:szCs w:val="28"/>
        </w:rPr>
        <w:t>- 47 -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306"/>
          <w:tab w:val="clear" w:pos="8296"/>
        </w:tabs>
        <w:spacing w:line="570" w:lineRule="exact"/>
        <w:rPr>
          <w:rFonts w:ascii="Times New Roman" w:hAnsi="Times New Roman"/>
          <w:sz w:val="28"/>
          <w:szCs w:val="28"/>
        </w:rPr>
      </w:pPr>
      <w:r>
        <w:fldChar w:fldCharType="begin"/>
      </w:r>
      <w:r>
        <w:instrText xml:space="preserve"> HYPERLINK \l "_Toc10935" </w:instrText>
      </w:r>
      <w:r>
        <w:fldChar w:fldCharType="separate"/>
      </w:r>
      <w:r>
        <w:rPr>
          <w:rFonts w:ascii="Times New Roman" w:hAnsi="Times New Roman" w:eastAsia="方正黑体_GBK"/>
          <w:bCs/>
          <w:sz w:val="28"/>
          <w:szCs w:val="28"/>
        </w:rPr>
        <w:t>第五章 扩大普惠性非基本公共服务供给</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_Toc10935 \h </w:instrText>
      </w:r>
      <w:r>
        <w:rPr>
          <w:rFonts w:ascii="Times New Roman" w:hAnsi="Times New Roman"/>
          <w:sz w:val="28"/>
          <w:szCs w:val="28"/>
        </w:rPr>
        <w:fldChar w:fldCharType="separate"/>
      </w:r>
      <w:r>
        <w:rPr>
          <w:rFonts w:ascii="Times New Roman" w:hAnsi="Times New Roman"/>
          <w:sz w:val="28"/>
          <w:szCs w:val="28"/>
        </w:rPr>
        <w:t>- 51 -</w:t>
      </w:r>
      <w:r>
        <w:rPr>
          <w:rFonts w:ascii="Times New Roman" w:hAnsi="Times New Roman"/>
          <w:sz w:val="28"/>
          <w:szCs w:val="28"/>
        </w:rPr>
        <w:fldChar w:fldCharType="end"/>
      </w:r>
      <w:r>
        <w:rPr>
          <w:rFonts w:ascii="Times New Roman" w:hAnsi="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"_Toc14837" </w:instrText>
      </w:r>
      <w:r>
        <w:fldChar w:fldCharType="separate"/>
      </w:r>
      <w:r>
        <w:rPr>
          <w:rFonts w:ascii="Times New Roman" w:hAnsi="Times New Roman" w:eastAsia="方正楷体_GBK" w:cs="Times New Roman"/>
          <w:bCs/>
          <w:sz w:val="28"/>
          <w:szCs w:val="28"/>
        </w:rPr>
        <w:t>第一节 不断健全婴幼儿照护服务体系</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_Toc14837 \h </w:instrText>
      </w:r>
      <w:r>
        <w:rPr>
          <w:rFonts w:ascii="Times New Roman" w:hAnsi="Times New Roman" w:cs="Times New Roman"/>
          <w:sz w:val="28"/>
          <w:szCs w:val="28"/>
        </w:rPr>
        <w:fldChar w:fldCharType="separate"/>
      </w:r>
      <w:r>
        <w:rPr>
          <w:rFonts w:ascii="Times New Roman" w:hAnsi="Times New Roman" w:cs="Times New Roman"/>
          <w:sz w:val="28"/>
          <w:szCs w:val="28"/>
        </w:rPr>
        <w:t>- 51 -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"_Toc9558" </w:instrText>
      </w:r>
      <w:r>
        <w:fldChar w:fldCharType="separate"/>
      </w:r>
      <w:r>
        <w:rPr>
          <w:rFonts w:ascii="Times New Roman" w:hAnsi="Times New Roman" w:eastAsia="方正楷体_GBK" w:cs="Times New Roman"/>
          <w:bCs/>
          <w:sz w:val="28"/>
          <w:szCs w:val="28"/>
        </w:rPr>
        <w:t>第二节 着力推动普惠性学前教育发展</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_Toc9558 \h </w:instrText>
      </w:r>
      <w:r>
        <w:rPr>
          <w:rFonts w:ascii="Times New Roman" w:hAnsi="Times New Roman" w:cs="Times New Roman"/>
          <w:sz w:val="28"/>
          <w:szCs w:val="28"/>
        </w:rPr>
        <w:fldChar w:fldCharType="separate"/>
      </w:r>
      <w:r>
        <w:rPr>
          <w:rFonts w:ascii="Times New Roman" w:hAnsi="Times New Roman" w:cs="Times New Roman"/>
          <w:sz w:val="28"/>
          <w:szCs w:val="28"/>
        </w:rPr>
        <w:t>- 54 -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"_Toc30742" </w:instrText>
      </w:r>
      <w:r>
        <w:fldChar w:fldCharType="separate"/>
      </w:r>
      <w:r>
        <w:rPr>
          <w:rFonts w:ascii="Times New Roman" w:hAnsi="Times New Roman" w:eastAsia="方正楷体_GBK" w:cs="Times New Roman"/>
          <w:bCs/>
          <w:sz w:val="28"/>
          <w:szCs w:val="28"/>
        </w:rPr>
        <w:t>第三节 持续推动高中等普惠教育发展</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_Toc30742 \h </w:instrText>
      </w:r>
      <w:r>
        <w:rPr>
          <w:rFonts w:ascii="Times New Roman" w:hAnsi="Times New Roman" w:cs="Times New Roman"/>
          <w:sz w:val="28"/>
          <w:szCs w:val="28"/>
        </w:rPr>
        <w:fldChar w:fldCharType="separate"/>
      </w:r>
      <w:r>
        <w:rPr>
          <w:rFonts w:ascii="Times New Roman" w:hAnsi="Times New Roman" w:cs="Times New Roman"/>
          <w:sz w:val="28"/>
          <w:szCs w:val="28"/>
        </w:rPr>
        <w:t>- 55 -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"_Toc24737" </w:instrText>
      </w:r>
      <w:r>
        <w:fldChar w:fldCharType="separate"/>
      </w:r>
      <w:r>
        <w:rPr>
          <w:rFonts w:ascii="Times New Roman" w:hAnsi="Times New Roman" w:eastAsia="方正楷体_GBK" w:cs="Times New Roman"/>
          <w:bCs/>
          <w:sz w:val="28"/>
          <w:szCs w:val="28"/>
        </w:rPr>
        <w:t>第四节 大力推动普惠性养老服务升级</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_Toc24737 \h </w:instrText>
      </w:r>
      <w:r>
        <w:rPr>
          <w:rFonts w:ascii="Times New Roman" w:hAnsi="Times New Roman" w:cs="Times New Roman"/>
          <w:sz w:val="28"/>
          <w:szCs w:val="28"/>
        </w:rPr>
        <w:fldChar w:fldCharType="separate"/>
      </w:r>
      <w:r>
        <w:rPr>
          <w:rFonts w:ascii="Times New Roman" w:hAnsi="Times New Roman" w:cs="Times New Roman"/>
          <w:sz w:val="28"/>
          <w:szCs w:val="28"/>
        </w:rPr>
        <w:t>- 57 -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"_Toc26186" </w:instrText>
      </w:r>
      <w:r>
        <w:fldChar w:fldCharType="separate"/>
      </w:r>
      <w:r>
        <w:rPr>
          <w:rFonts w:ascii="Times New Roman" w:hAnsi="Times New Roman" w:eastAsia="方正楷体_GBK" w:cs="Times New Roman"/>
          <w:bCs/>
          <w:sz w:val="28"/>
          <w:szCs w:val="28"/>
        </w:rPr>
        <w:t>第五节 着力增强普惠性医疗服务能力</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_Toc26186 \h </w:instrText>
      </w:r>
      <w:r>
        <w:rPr>
          <w:rFonts w:ascii="Times New Roman" w:hAnsi="Times New Roman" w:cs="Times New Roman"/>
          <w:sz w:val="28"/>
          <w:szCs w:val="28"/>
        </w:rPr>
        <w:fldChar w:fldCharType="separate"/>
      </w:r>
      <w:r>
        <w:rPr>
          <w:rFonts w:ascii="Times New Roman" w:hAnsi="Times New Roman" w:cs="Times New Roman"/>
          <w:sz w:val="28"/>
          <w:szCs w:val="28"/>
        </w:rPr>
        <w:t>- 61 -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"_Toc12897" </w:instrText>
      </w:r>
      <w:r>
        <w:fldChar w:fldCharType="separate"/>
      </w:r>
      <w:r>
        <w:rPr>
          <w:rFonts w:ascii="Times New Roman" w:hAnsi="Times New Roman" w:eastAsia="方正楷体_GBK" w:cs="Times New Roman"/>
          <w:bCs/>
          <w:sz w:val="28"/>
          <w:szCs w:val="28"/>
        </w:rPr>
        <w:t>第六节 不断增强普惠性文化服务能力</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_Toc12897 \h </w:instrText>
      </w:r>
      <w:r>
        <w:rPr>
          <w:rFonts w:ascii="Times New Roman" w:hAnsi="Times New Roman" w:cs="Times New Roman"/>
          <w:sz w:val="28"/>
          <w:szCs w:val="28"/>
        </w:rPr>
        <w:fldChar w:fldCharType="separate"/>
      </w:r>
      <w:r>
        <w:rPr>
          <w:rFonts w:ascii="Times New Roman" w:hAnsi="Times New Roman" w:cs="Times New Roman"/>
          <w:sz w:val="28"/>
          <w:szCs w:val="28"/>
        </w:rPr>
        <w:t>- 62 -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"_Toc9751" </w:instrText>
      </w:r>
      <w:r>
        <w:fldChar w:fldCharType="separate"/>
      </w:r>
      <w:r>
        <w:rPr>
          <w:rFonts w:ascii="Times New Roman" w:hAnsi="Times New Roman" w:eastAsia="方正楷体_GBK" w:cs="Times New Roman"/>
          <w:bCs/>
          <w:sz w:val="28"/>
          <w:szCs w:val="28"/>
        </w:rPr>
        <w:t>第七节 积极推进普惠性体育服务发展</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_Toc9751 \h </w:instrText>
      </w:r>
      <w:r>
        <w:rPr>
          <w:rFonts w:ascii="Times New Roman" w:hAnsi="Times New Roman" w:cs="Times New Roman"/>
          <w:sz w:val="28"/>
          <w:szCs w:val="28"/>
        </w:rPr>
        <w:fldChar w:fldCharType="separate"/>
      </w:r>
      <w:r>
        <w:rPr>
          <w:rFonts w:ascii="Times New Roman" w:hAnsi="Times New Roman" w:cs="Times New Roman"/>
          <w:sz w:val="28"/>
          <w:szCs w:val="28"/>
        </w:rPr>
        <w:t>- 64 -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306"/>
          <w:tab w:val="clear" w:pos="8296"/>
        </w:tabs>
        <w:spacing w:line="570" w:lineRule="exact"/>
        <w:rPr>
          <w:rFonts w:ascii="Times New Roman" w:hAnsi="Times New Roman"/>
          <w:sz w:val="28"/>
          <w:szCs w:val="28"/>
        </w:rPr>
      </w:pPr>
      <w:r>
        <w:fldChar w:fldCharType="begin"/>
      </w:r>
      <w:r>
        <w:instrText xml:space="preserve"> HYPERLINK \l "_Toc13687" </w:instrText>
      </w:r>
      <w:r>
        <w:fldChar w:fldCharType="separate"/>
      </w:r>
      <w:r>
        <w:rPr>
          <w:rFonts w:ascii="Times New Roman" w:hAnsi="Times New Roman" w:eastAsia="方正黑体_GBK"/>
          <w:bCs/>
          <w:sz w:val="28"/>
          <w:szCs w:val="28"/>
        </w:rPr>
        <w:t>第六章 促进多样化多层次生活服务优质发展</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_Toc13687 \h </w:instrText>
      </w:r>
      <w:r>
        <w:rPr>
          <w:rFonts w:ascii="Times New Roman" w:hAnsi="Times New Roman"/>
          <w:sz w:val="28"/>
          <w:szCs w:val="28"/>
        </w:rPr>
        <w:fldChar w:fldCharType="separate"/>
      </w:r>
      <w:r>
        <w:rPr>
          <w:rFonts w:ascii="Times New Roman" w:hAnsi="Times New Roman"/>
          <w:sz w:val="28"/>
          <w:szCs w:val="28"/>
        </w:rPr>
        <w:t>- 65 -</w:t>
      </w:r>
      <w:r>
        <w:rPr>
          <w:rFonts w:ascii="Times New Roman" w:hAnsi="Times New Roman"/>
          <w:sz w:val="28"/>
          <w:szCs w:val="28"/>
        </w:rPr>
        <w:fldChar w:fldCharType="end"/>
      </w:r>
      <w:r>
        <w:rPr>
          <w:rFonts w:ascii="Times New Roman" w:hAnsi="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"_Toc12415" </w:instrText>
      </w:r>
      <w:r>
        <w:fldChar w:fldCharType="separate"/>
      </w:r>
      <w:r>
        <w:rPr>
          <w:rFonts w:ascii="Times New Roman" w:hAnsi="Times New Roman" w:eastAsia="方正楷体_GBK" w:cs="Times New Roman"/>
          <w:bCs/>
          <w:sz w:val="28"/>
          <w:szCs w:val="28"/>
        </w:rPr>
        <w:t>第一节 积极培育养老托育服务产业集群</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_Toc12415 \h </w:instrText>
      </w:r>
      <w:r>
        <w:rPr>
          <w:rFonts w:ascii="Times New Roman" w:hAnsi="Times New Roman" w:cs="Times New Roman"/>
          <w:sz w:val="28"/>
          <w:szCs w:val="28"/>
        </w:rPr>
        <w:fldChar w:fldCharType="separate"/>
      </w:r>
      <w:r>
        <w:rPr>
          <w:rFonts w:ascii="Times New Roman" w:hAnsi="Times New Roman" w:cs="Times New Roman"/>
          <w:sz w:val="28"/>
          <w:szCs w:val="28"/>
        </w:rPr>
        <w:t>- 65 -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"_Toc18910" </w:instrText>
      </w:r>
      <w:r>
        <w:fldChar w:fldCharType="separate"/>
      </w:r>
      <w:r>
        <w:rPr>
          <w:rFonts w:ascii="Times New Roman" w:hAnsi="Times New Roman" w:eastAsia="方正楷体_GBK" w:cs="Times New Roman"/>
          <w:bCs/>
          <w:sz w:val="28"/>
          <w:szCs w:val="28"/>
        </w:rPr>
        <w:t>第二节 着力发展优质医疗康养服务业</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_Toc18910 \h </w:instrText>
      </w:r>
      <w:r>
        <w:rPr>
          <w:rFonts w:ascii="Times New Roman" w:hAnsi="Times New Roman" w:cs="Times New Roman"/>
          <w:sz w:val="28"/>
          <w:szCs w:val="28"/>
        </w:rPr>
        <w:fldChar w:fldCharType="separate"/>
      </w:r>
      <w:r>
        <w:rPr>
          <w:rFonts w:ascii="Times New Roman" w:hAnsi="Times New Roman" w:cs="Times New Roman"/>
          <w:sz w:val="28"/>
          <w:szCs w:val="28"/>
        </w:rPr>
        <w:t>- 66 -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"_Toc3216" </w:instrText>
      </w:r>
      <w:r>
        <w:fldChar w:fldCharType="separate"/>
      </w:r>
      <w:r>
        <w:rPr>
          <w:rFonts w:ascii="Times New Roman" w:hAnsi="Times New Roman" w:eastAsia="方正楷体_GBK" w:cs="Times New Roman"/>
          <w:bCs/>
          <w:sz w:val="28"/>
          <w:szCs w:val="28"/>
        </w:rPr>
        <w:t>第三节 大力发展现代体育健身服务业</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_Toc3216 \h </w:instrText>
      </w:r>
      <w:r>
        <w:rPr>
          <w:rFonts w:ascii="Times New Roman" w:hAnsi="Times New Roman" w:cs="Times New Roman"/>
          <w:sz w:val="28"/>
          <w:szCs w:val="28"/>
        </w:rPr>
        <w:fldChar w:fldCharType="separate"/>
      </w:r>
      <w:r>
        <w:rPr>
          <w:rFonts w:ascii="Times New Roman" w:hAnsi="Times New Roman" w:cs="Times New Roman"/>
          <w:sz w:val="28"/>
          <w:szCs w:val="28"/>
        </w:rPr>
        <w:t>- 68 -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"_Toc19837" </w:instrText>
      </w:r>
      <w:r>
        <w:fldChar w:fldCharType="separate"/>
      </w:r>
      <w:r>
        <w:rPr>
          <w:rFonts w:ascii="Times New Roman" w:hAnsi="Times New Roman" w:eastAsia="方正楷体_GBK" w:cs="Times New Roman"/>
          <w:bCs/>
          <w:sz w:val="28"/>
          <w:szCs w:val="28"/>
        </w:rPr>
        <w:t>第四节 持续壮大特色文化旅游服务业</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_Toc19837 \h </w:instrText>
      </w:r>
      <w:r>
        <w:rPr>
          <w:rFonts w:ascii="Times New Roman" w:hAnsi="Times New Roman" w:cs="Times New Roman"/>
          <w:sz w:val="28"/>
          <w:szCs w:val="28"/>
        </w:rPr>
        <w:fldChar w:fldCharType="separate"/>
      </w:r>
      <w:r>
        <w:rPr>
          <w:rFonts w:ascii="Times New Roman" w:hAnsi="Times New Roman" w:cs="Times New Roman"/>
          <w:sz w:val="28"/>
          <w:szCs w:val="28"/>
        </w:rPr>
        <w:t>- 70 -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"_Toc3928" </w:instrText>
      </w:r>
      <w:r>
        <w:fldChar w:fldCharType="separate"/>
      </w:r>
      <w:r>
        <w:rPr>
          <w:rFonts w:ascii="Times New Roman" w:hAnsi="Times New Roman" w:eastAsia="方正楷体_GBK" w:cs="Times New Roman"/>
          <w:bCs/>
          <w:sz w:val="28"/>
          <w:szCs w:val="28"/>
        </w:rPr>
        <w:t>第五节 推动发展多样化教育培训业</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_Toc3928 \h </w:instrText>
      </w:r>
      <w:r>
        <w:rPr>
          <w:rFonts w:ascii="Times New Roman" w:hAnsi="Times New Roman" w:cs="Times New Roman"/>
          <w:sz w:val="28"/>
          <w:szCs w:val="28"/>
        </w:rPr>
        <w:fldChar w:fldCharType="separate"/>
      </w:r>
      <w:r>
        <w:rPr>
          <w:rFonts w:ascii="Times New Roman" w:hAnsi="Times New Roman" w:cs="Times New Roman"/>
          <w:sz w:val="28"/>
          <w:szCs w:val="28"/>
        </w:rPr>
        <w:t>- 73 -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"_Toc7373" </w:instrText>
      </w:r>
      <w:r>
        <w:fldChar w:fldCharType="separate"/>
      </w:r>
      <w:r>
        <w:rPr>
          <w:rFonts w:ascii="Times New Roman" w:hAnsi="Times New Roman" w:eastAsia="方正楷体_GBK" w:cs="Times New Roman"/>
          <w:bCs/>
          <w:sz w:val="28"/>
          <w:szCs w:val="28"/>
        </w:rPr>
        <w:t>第六节 扩容提质多类型家政服务业</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_Toc7373 \h </w:instrText>
      </w:r>
      <w:r>
        <w:rPr>
          <w:rFonts w:ascii="Times New Roman" w:hAnsi="Times New Roman" w:cs="Times New Roman"/>
          <w:sz w:val="28"/>
          <w:szCs w:val="28"/>
        </w:rPr>
        <w:fldChar w:fldCharType="separate"/>
      </w:r>
      <w:r>
        <w:rPr>
          <w:rFonts w:ascii="Times New Roman" w:hAnsi="Times New Roman" w:cs="Times New Roman"/>
          <w:sz w:val="28"/>
          <w:szCs w:val="28"/>
        </w:rPr>
        <w:t>- 73 -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306"/>
          <w:tab w:val="clear" w:pos="8296"/>
        </w:tabs>
        <w:spacing w:line="570" w:lineRule="exact"/>
        <w:rPr>
          <w:rFonts w:ascii="Times New Roman" w:hAnsi="Times New Roman"/>
          <w:sz w:val="28"/>
          <w:szCs w:val="28"/>
        </w:rPr>
      </w:pPr>
      <w:r>
        <w:fldChar w:fldCharType="begin"/>
      </w:r>
      <w:r>
        <w:instrText xml:space="preserve"> HYPERLINK \l "_Toc6287" </w:instrText>
      </w:r>
      <w:r>
        <w:fldChar w:fldCharType="separate"/>
      </w:r>
      <w:r>
        <w:rPr>
          <w:rFonts w:ascii="Times New Roman" w:hAnsi="Times New Roman" w:eastAsia="方正黑体_GBK"/>
          <w:bCs/>
          <w:sz w:val="28"/>
          <w:szCs w:val="28"/>
        </w:rPr>
        <w:t>第七章 规划保障</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_Toc6287 \h </w:instrText>
      </w:r>
      <w:r>
        <w:rPr>
          <w:rFonts w:ascii="Times New Roman" w:hAnsi="Times New Roman"/>
          <w:sz w:val="28"/>
          <w:szCs w:val="28"/>
        </w:rPr>
        <w:fldChar w:fldCharType="separate"/>
      </w:r>
      <w:r>
        <w:rPr>
          <w:rFonts w:ascii="Times New Roman" w:hAnsi="Times New Roman"/>
          <w:sz w:val="28"/>
          <w:szCs w:val="28"/>
        </w:rPr>
        <w:t>- 74 -</w:t>
      </w:r>
      <w:r>
        <w:rPr>
          <w:rFonts w:ascii="Times New Roman" w:hAnsi="Times New Roman"/>
          <w:sz w:val="28"/>
          <w:szCs w:val="28"/>
        </w:rPr>
        <w:fldChar w:fldCharType="end"/>
      </w:r>
      <w:r>
        <w:rPr>
          <w:rFonts w:ascii="Times New Roman" w:hAnsi="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"_Toc8538" </w:instrText>
      </w:r>
      <w:r>
        <w:fldChar w:fldCharType="separate"/>
      </w:r>
      <w:r>
        <w:rPr>
          <w:rFonts w:ascii="Times New Roman" w:hAnsi="Times New Roman" w:eastAsia="方正楷体_GBK" w:cs="Times New Roman"/>
          <w:bCs/>
          <w:sz w:val="28"/>
          <w:szCs w:val="28"/>
        </w:rPr>
        <w:t>第一节 加强组织领导</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_Toc8538 \h </w:instrText>
      </w:r>
      <w:r>
        <w:rPr>
          <w:rFonts w:ascii="Times New Roman" w:hAnsi="Times New Roman" w:cs="Times New Roman"/>
          <w:sz w:val="28"/>
          <w:szCs w:val="28"/>
        </w:rPr>
        <w:fldChar w:fldCharType="separate"/>
      </w:r>
      <w:r>
        <w:rPr>
          <w:rFonts w:ascii="Times New Roman" w:hAnsi="Times New Roman" w:cs="Times New Roman"/>
          <w:sz w:val="28"/>
          <w:szCs w:val="28"/>
        </w:rPr>
        <w:t>- 74 -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"_Toc6514" </w:instrText>
      </w:r>
      <w:r>
        <w:fldChar w:fldCharType="separate"/>
      </w:r>
      <w:r>
        <w:rPr>
          <w:rFonts w:ascii="Times New Roman" w:hAnsi="Times New Roman" w:eastAsia="方正楷体_GBK" w:cs="Times New Roman"/>
          <w:bCs/>
          <w:sz w:val="28"/>
          <w:szCs w:val="28"/>
        </w:rPr>
        <w:t>第二节 优化供给格局</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_Toc6514 \h </w:instrText>
      </w:r>
      <w:r>
        <w:rPr>
          <w:rFonts w:ascii="Times New Roman" w:hAnsi="Times New Roman" w:cs="Times New Roman"/>
          <w:sz w:val="28"/>
          <w:szCs w:val="28"/>
        </w:rPr>
        <w:fldChar w:fldCharType="separate"/>
      </w:r>
      <w:r>
        <w:rPr>
          <w:rFonts w:ascii="Times New Roman" w:hAnsi="Times New Roman" w:cs="Times New Roman"/>
          <w:sz w:val="28"/>
          <w:szCs w:val="28"/>
        </w:rPr>
        <w:t>- 75 -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"_Toc9644" </w:instrText>
      </w:r>
      <w:r>
        <w:fldChar w:fldCharType="separate"/>
      </w:r>
      <w:r>
        <w:rPr>
          <w:rFonts w:ascii="Times New Roman" w:hAnsi="Times New Roman" w:eastAsia="方正楷体_GBK" w:cs="Times New Roman"/>
          <w:bCs/>
          <w:sz w:val="28"/>
          <w:szCs w:val="28"/>
        </w:rPr>
        <w:t>第三节 保障资金投入</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_Toc9644 \h </w:instrText>
      </w:r>
      <w:r>
        <w:rPr>
          <w:rFonts w:ascii="Times New Roman" w:hAnsi="Times New Roman" w:cs="Times New Roman"/>
          <w:sz w:val="28"/>
          <w:szCs w:val="28"/>
        </w:rPr>
        <w:fldChar w:fldCharType="separate"/>
      </w:r>
      <w:r>
        <w:rPr>
          <w:rFonts w:ascii="Times New Roman" w:hAnsi="Times New Roman" w:cs="Times New Roman"/>
          <w:sz w:val="28"/>
          <w:szCs w:val="28"/>
        </w:rPr>
        <w:t>- 75 -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8"/>
        <w:tabs>
          <w:tab w:val="right" w:leader="dot" w:pos="8306"/>
        </w:tabs>
        <w:spacing w:line="570" w:lineRule="exact"/>
        <w:rPr>
          <w:rFonts w:ascii="Times New Roman" w:hAnsi="Times New Roman" w:cs="Times New Roman"/>
          <w:sz w:val="28"/>
          <w:szCs w:val="28"/>
        </w:rPr>
      </w:pPr>
      <w:r>
        <w:fldChar w:fldCharType="begin"/>
      </w:r>
      <w:r>
        <w:instrText xml:space="preserve"> HYPERLINK \l "_Toc24490" </w:instrText>
      </w:r>
      <w:r>
        <w:fldChar w:fldCharType="separate"/>
      </w:r>
      <w:r>
        <w:rPr>
          <w:rFonts w:ascii="Times New Roman" w:hAnsi="Times New Roman" w:eastAsia="方正楷体_GBK" w:cs="Times New Roman"/>
          <w:bCs/>
          <w:sz w:val="28"/>
          <w:szCs w:val="28"/>
        </w:rPr>
        <w:t>第四节 强化监督评估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_Toc24490 \h </w:instrText>
      </w:r>
      <w:r>
        <w:rPr>
          <w:rFonts w:ascii="Times New Roman" w:hAnsi="Times New Roman" w:cs="Times New Roman"/>
          <w:sz w:val="28"/>
          <w:szCs w:val="28"/>
        </w:rPr>
        <w:fldChar w:fldCharType="separate"/>
      </w:r>
      <w:r>
        <w:rPr>
          <w:rFonts w:ascii="Times New Roman" w:hAnsi="Times New Roman" w:cs="Times New Roman"/>
          <w:sz w:val="28"/>
          <w:szCs w:val="28"/>
        </w:rPr>
        <w:t>- 75 -</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306"/>
          <w:tab w:val="clear" w:pos="8296"/>
        </w:tabs>
        <w:spacing w:line="570" w:lineRule="exact"/>
        <w:rPr>
          <w:rFonts w:ascii="Times New Roman" w:hAnsi="Times New Roman"/>
          <w:sz w:val="28"/>
          <w:szCs w:val="28"/>
        </w:rPr>
      </w:pPr>
      <w:r>
        <w:fldChar w:fldCharType="begin"/>
      </w:r>
      <w:r>
        <w:instrText xml:space="preserve"> HYPERLINK \l "_Toc8477" </w:instrText>
      </w:r>
      <w:r>
        <w:fldChar w:fldCharType="separate"/>
      </w:r>
      <w:r>
        <w:rPr>
          <w:rFonts w:ascii="Times New Roman" w:hAnsi="Times New Roman" w:eastAsia="方正黑体_GBK"/>
          <w:bCs/>
          <w:sz w:val="28"/>
          <w:szCs w:val="28"/>
        </w:rPr>
        <w:t>名词解释</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_Toc8477 \h </w:instrText>
      </w:r>
      <w:r>
        <w:rPr>
          <w:rFonts w:ascii="Times New Roman" w:hAnsi="Times New Roman"/>
          <w:sz w:val="28"/>
          <w:szCs w:val="28"/>
        </w:rPr>
        <w:fldChar w:fldCharType="separate"/>
      </w:r>
      <w:r>
        <w:rPr>
          <w:rFonts w:ascii="Times New Roman" w:hAnsi="Times New Roman"/>
          <w:sz w:val="28"/>
          <w:szCs w:val="28"/>
        </w:rPr>
        <w:t>- 77 -</w:t>
      </w:r>
      <w:r>
        <w:rPr>
          <w:rFonts w:ascii="Times New Roman" w:hAnsi="Times New Roman"/>
          <w:sz w:val="28"/>
          <w:szCs w:val="28"/>
        </w:rPr>
        <w:fldChar w:fldCharType="end"/>
      </w:r>
      <w:r>
        <w:rPr>
          <w:rFonts w:ascii="Times New Roman" w:hAnsi="Times New Roman"/>
          <w:sz w:val="28"/>
          <w:szCs w:val="28"/>
        </w:rPr>
        <w:fldChar w:fldCharType="end"/>
      </w:r>
    </w:p>
    <w:p>
      <w:pPr>
        <w:spacing w:line="570" w:lineRule="exact"/>
        <w:rPr>
          <w:rFonts w:ascii="Times New Roman" w:hAnsi="Times New Roman" w:cs="Times New Roman"/>
          <w:sz w:val="28"/>
          <w:szCs w:val="28"/>
        </w:rPr>
      </w:pPr>
      <w:r>
        <w:rPr>
          <w:rFonts w:ascii="Times New Roman" w:hAnsi="Times New Roman" w:cs="Times New Roman"/>
          <w:sz w:val="28"/>
          <w:szCs w:val="28"/>
        </w:rPr>
        <w:fldChar w:fldCharType="end"/>
      </w:r>
    </w:p>
    <w:p>
      <w:pPr>
        <w:tabs>
          <w:tab w:val="left" w:pos="6300"/>
        </w:tabs>
        <w:spacing w:line="560" w:lineRule="exact"/>
        <w:ind w:firstLine="560" w:firstLineChars="200"/>
        <w:contextualSpacing/>
        <w:rPr>
          <w:rFonts w:ascii="Times New Roman" w:hAnsi="Times New Roman" w:cs="Times New Roman"/>
          <w:bCs/>
          <w:sz w:val="28"/>
          <w:szCs w:val="28"/>
        </w:rPr>
        <w:sectPr>
          <w:footerReference r:id="rId4" w:type="default"/>
          <w:pgSz w:w="11906" w:h="16838"/>
          <w:pgMar w:top="1440" w:right="1800" w:bottom="1440" w:left="1800" w:header="851" w:footer="992" w:gutter="0"/>
          <w:pgNumType w:fmt="upperRoman" w:start="1"/>
          <w:cols w:space="425" w:num="1"/>
          <w:docGrid w:type="lines" w:linePitch="312" w:charSpace="0"/>
        </w:sectPr>
      </w:pPr>
    </w:p>
    <w:p>
      <w:pPr>
        <w:tabs>
          <w:tab w:val="left" w:pos="6300"/>
        </w:tabs>
        <w:spacing w:line="600" w:lineRule="exact"/>
        <w:ind w:firstLine="640"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sz w:val="32"/>
          <w:szCs w:val="32"/>
        </w:rPr>
        <w:t>公共服务关乎民心，连接民心。</w:t>
      </w:r>
      <w:r>
        <w:rPr>
          <w:rFonts w:ascii="Times New Roman" w:hAnsi="Times New Roman" w:eastAsia="方正仿宋_GBK" w:cs="Times New Roman"/>
          <w:bCs/>
          <w:sz w:val="32"/>
          <w:szCs w:val="32"/>
        </w:rPr>
        <w:t>“十四五”时期是我国在全面建成小康社会、实现第一个百年奋斗目标之后，乘势而上开启全面建设社会主义现代化国家新征程、向第二个百年奋斗目标进军的第一个五年，</w:t>
      </w:r>
      <w:r>
        <w:rPr>
          <w:rFonts w:ascii="Times New Roman" w:hAnsi="Times New Roman" w:eastAsia="方正仿宋_GBK" w:cs="Times New Roman"/>
          <w:sz w:val="32"/>
          <w:szCs w:val="32"/>
        </w:rPr>
        <w:t>是重庆建设高质量发展高品质生活新范例的关键时期，是江北区建设高质量发展示范区、高品质生活示范区的重要时期。</w:t>
      </w:r>
      <w:r>
        <w:rPr>
          <w:rFonts w:ascii="Times New Roman" w:hAnsi="Times New Roman" w:eastAsia="方正仿宋_GBK" w:cs="Times New Roman"/>
          <w:bCs/>
          <w:sz w:val="32"/>
          <w:szCs w:val="32"/>
        </w:rPr>
        <w:t>推动公共服务发展，健全完善公共服务体系，持续推进基本公共服务均等化，着力扩大非基本公共服务普惠化，不断提升生活服务优质化，是满足人民日益增长的美好生活需要，增强人民获得感、幸福感、安全感，促进人的全面发展和社会全面进步的重大举措。为高质量推进江北区公共服务发展，根据国家《“十四五”公共服务规划》《重庆市国民经济和社会发展第十四个五年规划和二〇三五年远景目标纲要》《重庆市“十四五”公共服务规划》《重庆市江北区国民经济和社会发展第十四个五年规划和二〇三五年远景目标纲要》，编制本规划，规划实施期限为2021—2025年。</w:t>
      </w:r>
    </w:p>
    <w:p>
      <w:pPr>
        <w:tabs>
          <w:tab w:val="left" w:pos="6300"/>
        </w:tabs>
        <w:spacing w:line="360" w:lineRule="auto"/>
        <w:jc w:val="center"/>
        <w:outlineLvl w:val="0"/>
        <w:rPr>
          <w:rFonts w:ascii="Times New Roman" w:hAnsi="Times New Roman" w:eastAsia="方正黑体_GBK" w:cs="Times New Roman"/>
          <w:bCs/>
          <w:sz w:val="32"/>
          <w:szCs w:val="32"/>
        </w:rPr>
      </w:pPr>
      <w:bookmarkStart w:id="0" w:name="_Toc11550"/>
      <w:bookmarkStart w:id="1" w:name="_Toc30541"/>
      <w:bookmarkStart w:id="2" w:name="_Toc31092"/>
      <w:bookmarkStart w:id="3" w:name="_Toc26478"/>
      <w:bookmarkStart w:id="4" w:name="_Toc12820"/>
      <w:bookmarkStart w:id="5" w:name="_Toc1809"/>
      <w:bookmarkStart w:id="6" w:name="_Toc23636"/>
      <w:bookmarkStart w:id="7" w:name="_Toc14849"/>
      <w:bookmarkStart w:id="8" w:name="_Toc14346"/>
      <w:bookmarkStart w:id="9" w:name="_Toc77438423"/>
      <w:bookmarkStart w:id="10" w:name="_Toc26671"/>
      <w:bookmarkStart w:id="11" w:name="_Toc29255"/>
      <w:bookmarkStart w:id="12" w:name="_Toc21046"/>
      <w:bookmarkStart w:id="13" w:name="_Toc32621"/>
      <w:bookmarkStart w:id="14" w:name="_Toc27503"/>
      <w:bookmarkStart w:id="15" w:name="_Toc2309"/>
      <w:bookmarkStart w:id="16" w:name="_Toc7743"/>
      <w:bookmarkStart w:id="17" w:name="_Toc29783"/>
      <w:r>
        <w:rPr>
          <w:rFonts w:ascii="Times New Roman" w:hAnsi="Times New Roman" w:eastAsia="方正黑体_GBK" w:cs="Times New Roman"/>
          <w:bCs/>
          <w:sz w:val="32"/>
          <w:szCs w:val="32"/>
        </w:rPr>
        <w:t>第一章 规划背景</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tabs>
          <w:tab w:val="left" w:pos="6300"/>
        </w:tabs>
        <w:spacing w:line="360" w:lineRule="auto"/>
        <w:contextualSpacing/>
        <w:jc w:val="center"/>
        <w:outlineLvl w:val="1"/>
        <w:rPr>
          <w:rFonts w:ascii="Times New Roman" w:hAnsi="Times New Roman" w:eastAsia="方正楷体_GBK" w:cs="Times New Roman"/>
          <w:b/>
          <w:sz w:val="32"/>
          <w:szCs w:val="32"/>
        </w:rPr>
      </w:pPr>
      <w:bookmarkStart w:id="18" w:name="_Toc17185"/>
      <w:bookmarkStart w:id="19" w:name="_Toc18354"/>
      <w:bookmarkStart w:id="20" w:name="_Toc996"/>
      <w:bookmarkStart w:id="21" w:name="_Toc28846"/>
      <w:bookmarkStart w:id="22" w:name="_Toc25313"/>
      <w:bookmarkStart w:id="23" w:name="_Toc21599"/>
      <w:bookmarkStart w:id="24" w:name="_Toc77438424"/>
      <w:bookmarkStart w:id="25" w:name="_Toc13023"/>
      <w:bookmarkStart w:id="26" w:name="_Toc30061"/>
      <w:bookmarkStart w:id="27" w:name="_Toc26822"/>
      <w:bookmarkStart w:id="28" w:name="_Toc29514"/>
      <w:bookmarkStart w:id="29" w:name="_Toc29535"/>
      <w:bookmarkStart w:id="30" w:name="_Toc7114"/>
      <w:bookmarkStart w:id="31" w:name="_Toc5630"/>
      <w:bookmarkStart w:id="32" w:name="_Toc12589"/>
      <w:bookmarkStart w:id="33" w:name="_Toc4566"/>
      <w:bookmarkStart w:id="34" w:name="_Toc2012"/>
      <w:bookmarkStart w:id="35" w:name="_Toc29393"/>
      <w:r>
        <w:rPr>
          <w:rFonts w:ascii="Times New Roman" w:hAnsi="Times New Roman" w:eastAsia="方正楷体_GBK" w:cs="Times New Roman"/>
          <w:b/>
          <w:sz w:val="32"/>
          <w:szCs w:val="32"/>
        </w:rPr>
        <w:t>第一节 发展基础</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tabs>
          <w:tab w:val="left" w:pos="6300"/>
        </w:tabs>
        <w:ind w:firstLine="640" w:firstLineChars="200"/>
        <w:contextualSpacing/>
        <w:rPr>
          <w:rFonts w:ascii="Times New Roman" w:hAnsi="Times New Roman" w:eastAsia="方正仿宋_GBK" w:cs="Times New Roman"/>
          <w:bCs/>
          <w:sz w:val="28"/>
          <w:szCs w:val="28"/>
        </w:rPr>
      </w:pPr>
      <w:r>
        <w:rPr>
          <w:rFonts w:ascii="Times New Roman" w:hAnsi="Times New Roman" w:eastAsia="方正仿宋_GBK" w:cs="Times New Roman"/>
          <w:bCs/>
          <w:sz w:val="32"/>
          <w:szCs w:val="32"/>
        </w:rPr>
        <w:t>“十三五”时期，江北区以习近平新时代中国特色社会主义思想为指导，全面贯彻落实党的十九大和十九届历次全会精神，深入贯彻习近平总书记对重庆提出的营造良好政治生态，坚持“两点”定位、“两地”“两高”目标，发挥“三个作用”和推动成渝地区双城经济圈建设等重要指示要求，坚决打好“三大攻坚战”，大力实施“八项行动计划”，扎实做好“六稳”工作、落实“六保”任务，坚持以人民为中心的发展思想，坚持一般公共预算支出80%以上用于民生改善，推动全区公共服务发展成效显著，统筹疫情防控和经济社会发展成果明显，确保共享发展取得新成效，公共服务发展总体水平位于全市前列，群众幸福指数节节攀升，成功创建全国文明城区，夺得“全国双拥模范城”四连胜。</w:t>
      </w:r>
    </w:p>
    <w:p>
      <w:pPr>
        <w:ind w:firstLine="643" w:firstLineChars="200"/>
        <w:rPr>
          <w:rFonts w:ascii="Times New Roman" w:hAnsi="Times New Roman" w:cs="Times New Roman"/>
        </w:rPr>
      </w:pPr>
      <w:r>
        <w:rPr>
          <w:rFonts w:ascii="Times New Roman" w:hAnsi="Times New Roman" w:eastAsia="方正仿宋_GBK" w:cs="Times New Roman"/>
          <w:b/>
          <w:bCs/>
          <w:sz w:val="32"/>
          <w:szCs w:val="32"/>
        </w:rPr>
        <w:t>积极应对人口老龄化成效显著。</w:t>
      </w:r>
      <w:r>
        <w:rPr>
          <w:rFonts w:ascii="Times New Roman" w:hAnsi="Times New Roman" w:eastAsia="方正仿宋_GBK" w:cs="Times New Roman"/>
          <w:bCs/>
          <w:sz w:val="32"/>
          <w:szCs w:val="32"/>
        </w:rPr>
        <w:t>居家社区机构相协调、医养康养相结合的养老服务体系基本形成，</w:t>
      </w:r>
      <w:r>
        <w:rPr>
          <w:rFonts w:ascii="Times New Roman" w:hAnsi="Times New Roman" w:eastAsia="方正仿宋_GBK" w:cs="Times New Roman"/>
          <w:sz w:val="32"/>
          <w:szCs w:val="24"/>
        </w:rPr>
        <w:t>采用公建民营和民办公助的方式，</w:t>
      </w:r>
      <w:r>
        <w:rPr>
          <w:rFonts w:ascii="Times New Roman" w:hAnsi="Times New Roman" w:eastAsia="方正仿宋_GBK" w:cs="Times New Roman"/>
          <w:bCs/>
          <w:sz w:val="32"/>
          <w:szCs w:val="32"/>
        </w:rPr>
        <w:t>建成养老服务中心（站）121个，提前一年在全市率先实现社区居家养老服务设施全覆盖。共有养老机构9家，均已就近与医疗服务机构签订医疗服务合作协议</w:t>
      </w:r>
      <w:r>
        <w:rPr>
          <w:rFonts w:ascii="Times New Roman" w:hAnsi="Times New Roman" w:eastAsia="方正仿宋_GBK" w:cs="Times New Roman"/>
          <w:spacing w:val="-4"/>
          <w:sz w:val="32"/>
          <w:szCs w:val="32"/>
        </w:rPr>
        <w:t>，</w:t>
      </w:r>
      <w:r>
        <w:rPr>
          <w:rFonts w:ascii="Times New Roman" w:hAnsi="Times New Roman" w:eastAsia="方正仿宋_GBK" w:cs="Times New Roman"/>
          <w:bCs/>
          <w:sz w:val="32"/>
          <w:szCs w:val="32"/>
        </w:rPr>
        <w:t>90%以上的医疗卫生机构为老年人开设了挂号、就医等便利的绿色就医通道。婴幼儿照护服务加快发展，社区托育服务设施、综合托育服务机构有序建设，</w:t>
      </w:r>
      <w:r>
        <w:rPr>
          <w:rFonts w:ascii="Times New Roman" w:hAnsi="Times New Roman" w:eastAsia="方正仿宋_GBK" w:cs="Times New Roman"/>
          <w:sz w:val="32"/>
          <w:szCs w:val="32"/>
        </w:rPr>
        <w:t>全区已注册备案的托育机构达到5家</w:t>
      </w:r>
      <w:r>
        <w:rPr>
          <w:rFonts w:ascii="Times New Roman" w:hAnsi="Times New Roman" w:eastAsia="方正仿宋_GBK" w:cs="Times New Roman"/>
          <w:bCs/>
          <w:sz w:val="32"/>
          <w:szCs w:val="32"/>
        </w:rPr>
        <w:t>。</w:t>
      </w:r>
    </w:p>
    <w:p>
      <w:pPr>
        <w:tabs>
          <w:tab w:val="left" w:pos="6300"/>
        </w:tabs>
        <w:contextualSpacing/>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 xml:space="preserve">    </w:t>
      </w:r>
      <w:r>
        <w:rPr>
          <w:rFonts w:ascii="Times New Roman" w:hAnsi="Times New Roman" w:eastAsia="方正仿宋_GBK" w:cs="Times New Roman"/>
          <w:b/>
          <w:bCs/>
          <w:sz w:val="32"/>
          <w:szCs w:val="32"/>
        </w:rPr>
        <w:t>教育优质均衡水平不断提升。</w:t>
      </w:r>
      <w:r>
        <w:rPr>
          <w:rFonts w:ascii="Times New Roman" w:hAnsi="Times New Roman" w:eastAsia="方正仿宋_GBK" w:cs="Times New Roman"/>
          <w:bCs/>
          <w:sz w:val="32"/>
          <w:szCs w:val="32"/>
        </w:rPr>
        <w:t>办学条件不断优化，全区</w:t>
      </w:r>
      <w:r>
        <w:rPr>
          <w:rFonts w:ascii="Times New Roman" w:hAnsi="Times New Roman" w:eastAsia="方正仿宋_GBK" w:cs="Times New Roman"/>
          <w:sz w:val="32"/>
          <w:szCs w:val="32"/>
        </w:rPr>
        <w:t>新建、改扩建学校21所，</w:t>
      </w:r>
      <w:r>
        <w:rPr>
          <w:rFonts w:ascii="Times New Roman" w:hAnsi="Times New Roman" w:eastAsia="方正仿宋_GBK" w:cs="Times New Roman"/>
          <w:bCs/>
          <w:sz w:val="32"/>
          <w:szCs w:val="32"/>
        </w:rPr>
        <w:t>义务教育学校标准化率达到100%，</w:t>
      </w:r>
      <w:r>
        <w:rPr>
          <w:rFonts w:ascii="Times New Roman" w:hAnsi="Times New Roman" w:eastAsia="方正仿宋_GBK" w:cs="Times New Roman"/>
          <w:sz w:val="32"/>
          <w:szCs w:val="32"/>
        </w:rPr>
        <w:t>公办幼儿园数量增长2倍，</w:t>
      </w:r>
      <w:r>
        <w:rPr>
          <w:rFonts w:ascii="Times New Roman" w:hAnsi="Times New Roman" w:eastAsia="方正仿宋_GBK" w:cs="Times New Roman"/>
          <w:bCs/>
          <w:sz w:val="32"/>
          <w:szCs w:val="32"/>
        </w:rPr>
        <w:t>普惠性幼儿园增至139所，学前教育普惠率达85%，农村普惠覆盖率100%。教育水平不断提升，</w:t>
      </w:r>
      <w:r>
        <w:rPr>
          <w:rFonts w:ascii="Times New Roman" w:hAnsi="Times New Roman" w:eastAsia="方正仿宋_GBK" w:cs="Times New Roman"/>
          <w:sz w:val="32"/>
          <w:szCs w:val="32"/>
        </w:rPr>
        <w:t>“民转公”学校平稳转制，</w:t>
      </w:r>
      <w:r>
        <w:rPr>
          <w:rFonts w:ascii="Times New Roman" w:hAnsi="Times New Roman" w:eastAsia="方正仿宋_GBK" w:cs="Times New Roman"/>
          <w:bCs/>
          <w:sz w:val="32"/>
          <w:szCs w:val="32"/>
        </w:rPr>
        <w:t>全区义务教育入学率、巩固率以及初中毕业升入高中阶段比例均提高到100%，集团化、学区制、联盟式等集群发展学校覆盖全区60%以上学生，</w:t>
      </w:r>
      <w:r>
        <w:rPr>
          <w:rFonts w:ascii="Times New Roman" w:hAnsi="Times New Roman" w:eastAsia="方正仿宋_GBK" w:cs="Times New Roman"/>
          <w:sz w:val="32"/>
          <w:szCs w:val="32"/>
        </w:rPr>
        <w:t>完成全市唯一“国家学前教育改革发展实验区”试点任务，</w:t>
      </w:r>
      <w:r>
        <w:rPr>
          <w:rFonts w:ascii="Times New Roman" w:hAnsi="Times New Roman" w:eastAsia="方正仿宋_GBK" w:cs="Times New Roman"/>
          <w:bCs/>
          <w:sz w:val="32"/>
          <w:szCs w:val="32"/>
        </w:rPr>
        <w:t>“学在江北”效应显现。</w:t>
      </w:r>
    </w:p>
    <w:p>
      <w:pPr>
        <w:tabs>
          <w:tab w:val="left" w:pos="6300"/>
        </w:tabs>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医疗卫生服务体系逐步健全。</w:t>
      </w:r>
      <w:r>
        <w:rPr>
          <w:rFonts w:ascii="Times New Roman" w:hAnsi="Times New Roman" w:eastAsia="方正仿宋_GBK" w:cs="Times New Roman"/>
          <w:bCs/>
          <w:sz w:val="32"/>
          <w:szCs w:val="32"/>
        </w:rPr>
        <w:t>成功创建全国健康促进区，全区社区卫生服务中心（站）、村卫生室应设尽设，基层医疗卫生机构标准化率达100%，健康社区覆盖率达40%以上，人均预期寿命达79.19岁，每千人口医疗机构床位数达10.5张，每千人口执业（助理）医师数5.62人，每万人口全科医生2.01人。深化推进医药卫生体制改革，全部取消医用耗材加成，分级诊疗全面推进，医共体建设实现全覆盖。疾病预防控制体系建设成果显著，</w:t>
      </w:r>
      <w:r>
        <w:rPr>
          <w:rFonts w:hint="eastAsia" w:ascii="Times New Roman" w:hAnsi="Times New Roman" w:eastAsia="方正仿宋_GBK" w:cs="Times New Roman"/>
          <w:bCs/>
          <w:sz w:val="32"/>
          <w:szCs w:val="32"/>
        </w:rPr>
        <w:t>新冠肺炎疫情</w:t>
      </w:r>
      <w:r>
        <w:rPr>
          <w:rFonts w:ascii="Times New Roman" w:hAnsi="Times New Roman" w:eastAsia="方正仿宋_GBK" w:cs="Times New Roman"/>
          <w:bCs/>
          <w:sz w:val="32"/>
          <w:szCs w:val="32"/>
        </w:rPr>
        <w:t>得到有力防控。爱国卫生运动大力开展，无烟学校覆盖率达到100%。社会办医快速发展，占全区总机构的79.2%。</w:t>
      </w:r>
    </w:p>
    <w:p>
      <w:pPr>
        <w:tabs>
          <w:tab w:val="left" w:pos="6300"/>
        </w:tabs>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文化综合服务水平持续提升。</w:t>
      </w:r>
      <w:r>
        <w:rPr>
          <w:rFonts w:ascii="Times New Roman" w:hAnsi="Times New Roman" w:eastAsia="方正仿宋_GBK" w:cs="Times New Roman"/>
          <w:bCs/>
          <w:sz w:val="32"/>
          <w:szCs w:val="32"/>
        </w:rPr>
        <w:t>公共文化服务体系日益健全，区文图两馆获评国家一级馆，形成图书馆分馆58个、文化馆分馆13个、街镇综合文化服务中心和社区（村）文化室实现100%覆盖、100%标准化，新建成自助图书馆10个，基本建成15分钟公共文化服务圈。文化服务均等化、便利化水平不断提升，文化馆老年大学入选全国老年大学规范化建设试点，成为重庆唯一入选单位。文艺创作获得国家级赛事大奖7项，市级以上奖项64个，传统文化加快创造性转化创新性发展。入选国家文化和旅游消费试点城市，文旅产业步入全市第一方阵，规上文旅企业数量64家，较2015年增长近6倍，位列全市前三。全区年接待国内外游客突破5000万人次，旅游总收入达138亿元，较2015年增长一番。</w:t>
      </w:r>
    </w:p>
    <w:p>
      <w:pPr>
        <w:tabs>
          <w:tab w:val="left" w:pos="6300"/>
        </w:tabs>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公共体育服务体系加快完善。</w:t>
      </w:r>
      <w:r>
        <w:rPr>
          <w:rFonts w:ascii="Times New Roman" w:hAnsi="Times New Roman" w:eastAsia="方正仿宋_GBK" w:cs="Times New Roman"/>
          <w:sz w:val="32"/>
          <w:szCs w:val="32"/>
        </w:rPr>
        <w:t>体育场地设施更有保障，全区体育场地单位数量515个、场地数量2578个、场地面积184.9663平方米、人均体育面积达1.99平方米。</w:t>
      </w:r>
      <w:r>
        <w:rPr>
          <w:rFonts w:ascii="Times New Roman" w:hAnsi="Times New Roman" w:eastAsia="方正仿宋_GBK" w:cs="Times New Roman"/>
          <w:bCs/>
          <w:sz w:val="32"/>
          <w:szCs w:val="32"/>
        </w:rPr>
        <w:t>行政村农民体育健身工程覆盖率、15分钟健身圈在城市社区覆盖率、公共体育设施免费或低收费开放率均实现100%。连续举办10余项区级常态赛事，形成铁山坪森林半程马拉松、校园铁人三项邀请赛、马术邀请赛等市级重点赛事品牌，各类赛事活动年吸引参加群众超10万人次，每千人公益社会体育指导员达2.53人。市民体质抽样合格率达到96.2%，经常性参加体育锻炼人口达到46.3%，“十三五”体育主要核心指标数全部达到或超过重庆市设定标准。</w:t>
      </w:r>
    </w:p>
    <w:p>
      <w:pPr>
        <w:tabs>
          <w:tab w:val="left" w:pos="6300"/>
        </w:tabs>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就业创业及社保体系不断完善。</w:t>
      </w:r>
      <w:r>
        <w:rPr>
          <w:rFonts w:ascii="Times New Roman" w:hAnsi="Times New Roman" w:eastAsia="方正仿宋_GBK" w:cs="Times New Roman"/>
          <w:bCs/>
          <w:sz w:val="32"/>
          <w:szCs w:val="32"/>
        </w:rPr>
        <w:t>就业工作总体稳定，累计新增城镇就业32.4万人，城镇登记失业率控制在2.5%以内，全区城镇零就业家庭实现动态清零。“双创”形势总体稳定，“众创空间—科技企业孵化器—科技企业加速器—科技园”创新创业梯度培育机制不断完善。首创“三送两办一访”机制，切实解决企业难题，累计新增减税降费120亿元以上。在全市率先实现城乡低保统筹和失能、半失能特困人员100%集中供养，城乡养老保险、医疗保险参保覆盖率始终稳定在95%以上。在全市率先完成全国退役军人保障体系建设任务，双拥安置体系日渐完善，重点优抚对象抚恤补助标准年均提高10%以上。</w:t>
      </w:r>
    </w:p>
    <w:p>
      <w:pPr>
        <w:tabs>
          <w:tab w:val="left" w:pos="6300"/>
        </w:tabs>
        <w:spacing w:line="360" w:lineRule="auto"/>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保障性住房建设工作成效明显。</w:t>
      </w:r>
      <w:r>
        <w:rPr>
          <w:rFonts w:ascii="Times New Roman" w:hAnsi="Times New Roman" w:eastAsia="方正仿宋_GBK" w:cs="Times New Roman"/>
          <w:bCs/>
          <w:sz w:val="32"/>
          <w:szCs w:val="32"/>
        </w:rPr>
        <w:t>扎实推动危旧房改造和老旧小区改造，累计改造棚户区80万平方米；建成投用城乡居民安置房33.4万平方米，累计消除D级危房4万平方米。坚持“房住不炒”定位，全区房屋租赁市场建设稳步推进，三湾金季安置房等保障房分配工作进展顺利，对低收入住房困难家庭实行保障，使更多的中低收入住房困难家庭享受到政府的优惠政策，实现全区住房保障全覆盖。</w:t>
      </w:r>
    </w:p>
    <w:p>
      <w:pPr>
        <w:tabs>
          <w:tab w:val="left" w:pos="6300"/>
        </w:tabs>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人民群众满意度持续提高。</w:t>
      </w:r>
      <w:r>
        <w:rPr>
          <w:rFonts w:ascii="Times New Roman" w:hAnsi="Times New Roman" w:eastAsia="方正仿宋_GBK" w:cs="Times New Roman"/>
          <w:bCs/>
          <w:sz w:val="32"/>
          <w:szCs w:val="32"/>
        </w:rPr>
        <w:t>全区居民人均可支配收入从2015年的3万元增长到2020年的4.4万元，增长46.7%。“老马工作法”“三社联动”“社会微治理”等品牌效应进一步彰显，入选第一期全国市域社会治理现代化试点，成功创建全国社区治理和服务创新实验区，获得“2017—2020年度平安中国建设示范县”称号、蝉联平安中国建设最高奖“长安杯”，2005—2016年连续三届十二年被中央综治委评为“全国平安建设先进区”。公众安全感指数逐年攀升，2019年创历史新高，达到98.31%。</w:t>
      </w:r>
    </w:p>
    <w:p>
      <w:pPr>
        <w:tabs>
          <w:tab w:val="left" w:pos="6300"/>
        </w:tabs>
        <w:spacing w:line="360" w:lineRule="auto"/>
        <w:contextualSpacing/>
        <w:jc w:val="center"/>
        <w:outlineLvl w:val="1"/>
        <w:rPr>
          <w:rFonts w:ascii="Times New Roman" w:hAnsi="Times New Roman" w:eastAsia="方正楷体_GBK" w:cs="Times New Roman"/>
          <w:b/>
          <w:sz w:val="32"/>
          <w:szCs w:val="32"/>
        </w:rPr>
      </w:pPr>
      <w:bookmarkStart w:id="36" w:name="_Toc7824"/>
      <w:bookmarkStart w:id="37" w:name="_Toc16124"/>
      <w:bookmarkStart w:id="38" w:name="_Toc14140"/>
      <w:bookmarkStart w:id="39" w:name="_Toc13586"/>
      <w:bookmarkStart w:id="40" w:name="_Toc28616"/>
      <w:bookmarkStart w:id="41" w:name="_Toc29842"/>
      <w:bookmarkStart w:id="42" w:name="_Toc2556"/>
      <w:bookmarkStart w:id="43" w:name="_Toc22819"/>
      <w:bookmarkStart w:id="44" w:name="_Toc21881"/>
      <w:bookmarkStart w:id="45" w:name="_Toc29432"/>
      <w:bookmarkStart w:id="46" w:name="_Toc5956"/>
      <w:bookmarkStart w:id="47" w:name="_Toc20702"/>
      <w:bookmarkStart w:id="48" w:name="_Toc16910"/>
      <w:bookmarkStart w:id="49" w:name="_Toc16911"/>
      <w:bookmarkStart w:id="50" w:name="_Toc77438425"/>
      <w:bookmarkStart w:id="51" w:name="_Toc5433"/>
      <w:bookmarkStart w:id="52" w:name="_Toc27395"/>
      <w:bookmarkStart w:id="53" w:name="_Toc28345"/>
      <w:r>
        <w:rPr>
          <w:rFonts w:ascii="Times New Roman" w:hAnsi="Times New Roman" w:eastAsia="方正楷体_GBK" w:cs="Times New Roman"/>
          <w:b/>
          <w:sz w:val="32"/>
          <w:szCs w:val="32"/>
        </w:rPr>
        <w:t>第二节 机遇挑战</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Fonts w:ascii="Times New Roman" w:hAnsi="Times New Roman" w:eastAsia="方正楷体_GBK" w:cs="Times New Roman"/>
          <w:b/>
          <w:sz w:val="32"/>
          <w:szCs w:val="32"/>
        </w:rPr>
        <w:t xml:space="preserve"> </w:t>
      </w:r>
    </w:p>
    <w:p>
      <w:pPr>
        <w:tabs>
          <w:tab w:val="left" w:pos="6300"/>
        </w:tabs>
        <w:spacing w:line="360" w:lineRule="auto"/>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面临的机遇。从全球看</w:t>
      </w:r>
      <w:r>
        <w:rPr>
          <w:rFonts w:ascii="Times New Roman" w:hAnsi="Times New Roman" w:eastAsia="方正仿宋_GBK" w:cs="Times New Roman"/>
          <w:bCs/>
          <w:sz w:val="32"/>
          <w:szCs w:val="32"/>
        </w:rPr>
        <w:t>，世界新一轮科技和产业革命带来新变革、催生新市场、衍生新业态、带来新需求，新的世界经济</w:t>
      </w:r>
      <w:r>
        <w:rPr>
          <w:rFonts w:hint="eastAsia" w:ascii="Times New Roman" w:hAnsi="Times New Roman" w:eastAsia="方正仿宋_GBK" w:cs="Times New Roman"/>
          <w:bCs/>
          <w:sz w:val="32"/>
          <w:szCs w:val="32"/>
        </w:rPr>
        <w:t>中心</w:t>
      </w:r>
      <w:r>
        <w:rPr>
          <w:rFonts w:ascii="Times New Roman" w:hAnsi="Times New Roman" w:eastAsia="方正仿宋_GBK" w:cs="Times New Roman"/>
          <w:bCs/>
          <w:sz w:val="32"/>
          <w:szCs w:val="32"/>
        </w:rPr>
        <w:t>、世界经济新增长点、世界政治经济秩序的大变革将带动人口和劳动力向诸如中国的新兴稳定大国和区域增长极转移，带动国家和区域更加注重打造健全的公共服务以提高综合吸引力，现代服务经济时代的大趋势也将更加明显。</w:t>
      </w:r>
      <w:r>
        <w:rPr>
          <w:rFonts w:ascii="Times New Roman" w:hAnsi="Times New Roman" w:eastAsia="方正仿宋_GBK" w:cs="Times New Roman"/>
          <w:b/>
          <w:bCs/>
          <w:sz w:val="32"/>
          <w:szCs w:val="32"/>
        </w:rPr>
        <w:t>从我国看</w:t>
      </w:r>
      <w:r>
        <w:rPr>
          <w:rFonts w:ascii="Times New Roman" w:hAnsi="Times New Roman" w:eastAsia="方正仿宋_GBK" w:cs="Times New Roman"/>
          <w:bCs/>
          <w:sz w:val="32"/>
          <w:szCs w:val="32"/>
        </w:rPr>
        <w:t>，当前和今后一个时期我国发展仍处于重要战略机遇期，党中央作出构建以国内大循环为主体、国内国际双循环相互促进的新发展格局的重大决策，共建“一带一路”、推动长江经济带发展、新时代西部大开发、推动成渝地区双城经济圈建设等重大战略深入实施，经济高质量发展的长期向好趋势明显、韧性强劲，为公共服务加快发展奠定了雄厚的物质基础。</w:t>
      </w:r>
      <w:r>
        <w:rPr>
          <w:rFonts w:ascii="Times New Roman" w:hAnsi="Times New Roman" w:eastAsia="方正仿宋_GBK" w:cs="Times New Roman"/>
          <w:b/>
          <w:bCs/>
          <w:sz w:val="32"/>
          <w:szCs w:val="32"/>
        </w:rPr>
        <w:t>从重庆看，</w:t>
      </w:r>
      <w:r>
        <w:rPr>
          <w:rFonts w:ascii="Times New Roman" w:hAnsi="Times New Roman" w:eastAsia="方正仿宋_GBK" w:cs="Times New Roman"/>
          <w:bCs/>
          <w:sz w:val="32"/>
          <w:szCs w:val="32"/>
        </w:rPr>
        <w:t>重庆作为西部地区唯一的直辖市，区位优势、产业优势、生态优势、体制优势十分明显，随着“三个作用”的持续发力和“一区两群”战略的深度实施，将进一步带动人口向主城商圈都市区聚集，并促进投资带产业、产业聚人口、人口享服务的格局不断形成和优化，为江北区接续发展、再攀新高创造了更为有利条件。</w:t>
      </w:r>
      <w:r>
        <w:rPr>
          <w:rFonts w:ascii="Times New Roman" w:hAnsi="Times New Roman" w:eastAsia="方正仿宋_GBK" w:cs="Times New Roman"/>
          <w:b/>
          <w:bCs/>
          <w:sz w:val="32"/>
          <w:szCs w:val="32"/>
        </w:rPr>
        <w:t>从江北看，</w:t>
      </w:r>
      <w:r>
        <w:rPr>
          <w:rFonts w:ascii="Times New Roman" w:hAnsi="Times New Roman" w:eastAsia="方正仿宋_GBK" w:cs="Times New Roman"/>
          <w:sz w:val="32"/>
          <w:szCs w:val="32"/>
        </w:rPr>
        <w:t>江北区地处重庆中心城区，是“两江四岸”核心区之一，汇聚“一带一路”、长江经济带、新时代西部大开发、成渝地区双城经济圈、自贸区和中新项目六大国家战略优势</w:t>
      </w:r>
      <w:r>
        <w:rPr>
          <w:rFonts w:ascii="Times New Roman" w:hAnsi="Times New Roman" w:eastAsia="方正仿宋_GBK" w:cs="Times New Roman"/>
          <w:bCs/>
          <w:sz w:val="32"/>
          <w:szCs w:val="32"/>
        </w:rPr>
        <w:t>，在寸滩保税港区、果园港、江北嘴等多个国家级、市级重大战略性功能平台叠加的基础上，将进一步吸引人口、资本、技术等要素集聚，并带动教育、医疗卫生、文化等公共服务提档升级。</w:t>
      </w:r>
    </w:p>
    <w:p>
      <w:pPr>
        <w:tabs>
          <w:tab w:val="left" w:pos="6300"/>
        </w:tabs>
        <w:spacing w:line="360" w:lineRule="auto"/>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面临的挑战。</w:t>
      </w:r>
      <w:r>
        <w:rPr>
          <w:rFonts w:ascii="Times New Roman" w:hAnsi="Times New Roman" w:eastAsia="方正仿宋_GBK" w:cs="Times New Roman"/>
          <w:bCs/>
          <w:sz w:val="32"/>
          <w:szCs w:val="32"/>
        </w:rPr>
        <w:t>世界百年未有之大变局正加速演变，</w:t>
      </w:r>
      <w:r>
        <w:rPr>
          <w:rFonts w:hint="eastAsia" w:ascii="Times New Roman" w:hAnsi="Times New Roman" w:eastAsia="方正仿宋_GBK" w:cs="Times New Roman"/>
          <w:bCs/>
          <w:sz w:val="32"/>
          <w:szCs w:val="32"/>
        </w:rPr>
        <w:t>新冠肺炎疫情</w:t>
      </w:r>
      <w:r>
        <w:rPr>
          <w:rFonts w:ascii="Times New Roman" w:hAnsi="Times New Roman" w:eastAsia="方正仿宋_GBK" w:cs="Times New Roman"/>
          <w:bCs/>
          <w:sz w:val="32"/>
          <w:szCs w:val="32"/>
        </w:rPr>
        <w:t>影响广泛深远，世界经济复苏动力不足，外部环境更趋复杂严峻和不确定，带动人口社会深刻复杂变化。我国进入工业化、城镇化后期，经济发展面临需求收缩、供给冲击、预期转弱三重压力，随着人口老龄化程度的进一步加深和全面放开三孩政策效应的进一步显现，人民群众对多样化高质量的公共服务需求与经济发展压力、现实供给不足之间的矛盾将会更加凸显。重庆市正处于新旧动能转换的关键期，在各种重大战略、政策和人口老龄化的背景叠加下，人民群众对美好生活的向往更加强烈，适应高质量发展、高品质生活要求的公共服务供给短缺会更加凸显。江北区进入高质量发展新阶段，快速城市化进程中遗留的历史问题逐渐显现，2020年60岁以上老年人口占比达19.1%，其中65岁以上占13.6%，0—14岁学龄人口占12.9%、15—59岁人口占68.1%，人口老龄化、高龄化程度不断加深，劳动年龄人口平均年龄不断上升，社会总抚养比、老年抚养比、少儿抚养比不断提高。随着城镇化水平的不断提升，常住人口整体管控压力增大、社会治安防控压力增大，石马河、观音桥、大石坝、五里店、华新街等核心街镇常住人口占全区常住人口的76.7%，存在三成多土地承载七成多人口的现实矛盾。受人口总量、分布和结构的影响，全区公共服务总量供给压力和资源配给压力不断增大，相关领域尤其是教育领域、医疗卫生领域、养老托育领域、文化体育领域等整体呈现供给总量不足、供需结构失衡、普惠资源短缺、内生发展动能不够等突出短板和问题，还难以有效满足广大人民群众日益增长的美好生活需要，还难以有力满足“两高”示范区建设的发展需要。</w:t>
      </w:r>
    </w:p>
    <w:p>
      <w:pPr>
        <w:tabs>
          <w:tab w:val="left" w:pos="6300"/>
        </w:tabs>
        <w:spacing w:line="360" w:lineRule="auto"/>
        <w:ind w:firstLine="640"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十四五”时期，是江北区全面推进高质量发展、创造高品质生活的关键时期，预计人口老龄化和劳动力高龄化趋势将更加明显，三孩政策效应会进一步显现，要充分正视人民日益增长的美好生活需要和不平衡不充分的发展之间的矛盾，更加注重满足民生需求、提高公共服务水平和质量，大力开发以新技术新手段为支撑的各类新兴服务业态，使人民群众获得感、幸福感、安全感更加充实、更有保障、更可持续。同时，面临日益复杂严峻的国际经济发展形势和国内经济发展新常态，要立足新发展阶段、贯彻新发展理念、构建新发展格局，更加抢抓“一带一路”和长江经济带发展、新时代西部大开发、推进成渝地区双城经济圈建设等重大区域发展战略新机遇，统筹推动全区公共服务发展，系统推进全区公共服务体系建设取得新突破、迈上新台阶。</w:t>
      </w:r>
    </w:p>
    <w:p>
      <w:pPr>
        <w:tabs>
          <w:tab w:val="left" w:pos="6300"/>
        </w:tabs>
        <w:spacing w:line="360" w:lineRule="auto"/>
        <w:jc w:val="center"/>
        <w:outlineLvl w:val="0"/>
        <w:rPr>
          <w:rFonts w:ascii="Times New Roman" w:hAnsi="Times New Roman" w:eastAsia="方正黑体_GBK" w:cs="Times New Roman"/>
          <w:bCs/>
          <w:sz w:val="32"/>
          <w:szCs w:val="32"/>
        </w:rPr>
      </w:pPr>
      <w:bookmarkStart w:id="54" w:name="_Toc21997"/>
      <w:bookmarkStart w:id="55" w:name="_Toc23769"/>
      <w:bookmarkStart w:id="56" w:name="_Toc77438426"/>
      <w:bookmarkStart w:id="57" w:name="_Toc6350"/>
      <w:bookmarkStart w:id="58" w:name="_Toc17317"/>
      <w:bookmarkStart w:id="59" w:name="_Toc14855"/>
      <w:bookmarkStart w:id="60" w:name="_Toc12362"/>
      <w:bookmarkStart w:id="61" w:name="_Toc11524"/>
      <w:bookmarkStart w:id="62" w:name="_Toc18752"/>
      <w:bookmarkStart w:id="63" w:name="_Toc23600"/>
      <w:bookmarkStart w:id="64" w:name="_Toc21348"/>
      <w:bookmarkStart w:id="65" w:name="_Toc32729"/>
      <w:bookmarkStart w:id="66" w:name="_Toc2663"/>
      <w:bookmarkStart w:id="67" w:name="_Toc18543"/>
      <w:bookmarkStart w:id="68" w:name="_Toc11160"/>
      <w:bookmarkStart w:id="69" w:name="_Toc13810"/>
      <w:bookmarkStart w:id="70" w:name="_Toc21178"/>
      <w:bookmarkStart w:id="71" w:name="_Toc9030"/>
      <w:r>
        <w:rPr>
          <w:rFonts w:ascii="Times New Roman" w:hAnsi="Times New Roman" w:eastAsia="方正黑体_GBK" w:cs="Times New Roman"/>
          <w:bCs/>
          <w:sz w:val="32"/>
          <w:szCs w:val="32"/>
        </w:rPr>
        <w:t>第二章 总体思路</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tabs>
          <w:tab w:val="left" w:pos="6300"/>
        </w:tabs>
        <w:spacing w:line="360" w:lineRule="auto"/>
        <w:contextualSpacing/>
        <w:jc w:val="center"/>
        <w:outlineLvl w:val="1"/>
        <w:rPr>
          <w:rFonts w:ascii="Times New Roman" w:hAnsi="Times New Roman" w:eastAsia="方正楷体_GBK" w:cs="Times New Roman"/>
          <w:b/>
          <w:sz w:val="32"/>
          <w:szCs w:val="32"/>
        </w:rPr>
      </w:pPr>
      <w:bookmarkStart w:id="72" w:name="_Toc22067"/>
      <w:bookmarkStart w:id="73" w:name="_Toc77438427"/>
      <w:bookmarkStart w:id="74" w:name="_Toc24356"/>
      <w:bookmarkStart w:id="75" w:name="_Toc18122"/>
      <w:bookmarkStart w:id="76" w:name="_Toc24041"/>
      <w:bookmarkStart w:id="77" w:name="_Toc19411"/>
      <w:bookmarkStart w:id="78" w:name="_Toc31906"/>
      <w:bookmarkStart w:id="79" w:name="_Toc21113"/>
      <w:bookmarkStart w:id="80" w:name="_Toc10508"/>
      <w:bookmarkStart w:id="81" w:name="_Toc30613"/>
      <w:bookmarkStart w:id="82" w:name="_Toc29797"/>
      <w:bookmarkStart w:id="83" w:name="_Toc20099"/>
      <w:bookmarkStart w:id="84" w:name="_Toc24469"/>
      <w:bookmarkStart w:id="85" w:name="_Toc14859"/>
      <w:bookmarkStart w:id="86" w:name="_Toc4957"/>
      <w:bookmarkStart w:id="87" w:name="_Toc21567"/>
      <w:bookmarkStart w:id="88" w:name="_Toc99"/>
      <w:bookmarkStart w:id="89" w:name="_Toc7753"/>
      <w:r>
        <w:rPr>
          <w:rFonts w:ascii="Times New Roman" w:hAnsi="Times New Roman" w:eastAsia="方正楷体_GBK" w:cs="Times New Roman"/>
          <w:b/>
          <w:sz w:val="32"/>
          <w:szCs w:val="32"/>
        </w:rPr>
        <w:t>第一节 指导思想</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tabs>
          <w:tab w:val="left" w:pos="6300"/>
        </w:tabs>
        <w:spacing w:line="360" w:lineRule="auto"/>
        <w:ind w:firstLine="640"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以习近平新时代中国特色社会主义思想为指导，全面贯彻党的十九大和十九届历次全会精神，全面贯彻习近平总书记对重庆提出的营造良好政治生态，坚持“两点”定位、“两地”“两高”目标，发挥“三个作用”和推动成渝地区双城经济圈建设等重要指示要求，围绕江北区紧扣“一大目标”、抢抓“两大机遇”、明确“三个定位”、落实“四个率先”、实施“五大行动”的目标，坚持以人民为中心的发展思想，完整、准确、全面贯彻新发展理念，构建新发展格局，以推动高质量发展为主题，树立系统观念，强化底线思维，牢牢抓住人民群众最关心最直接最现实的民生问题，着力健全“基本+普惠+优质”的公共服务供给体系，补齐基本公共服务短板、扩大普惠性非基本公共服务供给、促进多样化多层次生活服务优质发展，促进公共服务发展与城市发展、产业发展、人口发展相吻合，与科技发展、绿色要素、开放平台相融合，不断满足人民群众日益增长的美好生活需要，努力增进全体人民的获得感、幸福感和安全感，共同富裕取得更为明显的实质性进展，打造公共服务优质均衡首善区，推动建设高品质生活示范区。</w:t>
      </w:r>
    </w:p>
    <w:p>
      <w:pPr>
        <w:tabs>
          <w:tab w:val="left" w:pos="6300"/>
        </w:tabs>
        <w:spacing w:line="360" w:lineRule="auto"/>
        <w:contextualSpacing/>
        <w:jc w:val="center"/>
        <w:outlineLvl w:val="1"/>
        <w:rPr>
          <w:rFonts w:ascii="Times New Roman" w:hAnsi="Times New Roman" w:eastAsia="方正楷体_GBK" w:cs="Times New Roman"/>
          <w:b/>
          <w:sz w:val="32"/>
          <w:szCs w:val="32"/>
        </w:rPr>
      </w:pPr>
      <w:bookmarkStart w:id="90" w:name="_Toc9028"/>
      <w:bookmarkStart w:id="91" w:name="_Toc14075"/>
      <w:bookmarkStart w:id="92" w:name="_Toc899"/>
      <w:bookmarkStart w:id="93" w:name="_Toc77438428"/>
      <w:bookmarkStart w:id="94" w:name="_Toc19018"/>
      <w:bookmarkStart w:id="95" w:name="_Toc30828"/>
      <w:bookmarkStart w:id="96" w:name="_Toc10938"/>
      <w:bookmarkStart w:id="97" w:name="_Toc27611"/>
      <w:bookmarkStart w:id="98" w:name="_Toc8288"/>
      <w:bookmarkStart w:id="99" w:name="_Toc28945"/>
      <w:bookmarkStart w:id="100" w:name="_Toc16171"/>
      <w:bookmarkStart w:id="101" w:name="_Toc887"/>
      <w:bookmarkStart w:id="102" w:name="_Toc4670"/>
      <w:bookmarkStart w:id="103" w:name="_Toc1352"/>
      <w:bookmarkStart w:id="104" w:name="_Toc21533"/>
      <w:bookmarkStart w:id="105" w:name="_Toc26579"/>
      <w:bookmarkStart w:id="106" w:name="_Toc13251"/>
      <w:bookmarkStart w:id="107" w:name="_Toc25474"/>
      <w:r>
        <w:rPr>
          <w:rFonts w:ascii="Times New Roman" w:hAnsi="Times New Roman" w:eastAsia="方正楷体_GBK" w:cs="Times New Roman"/>
          <w:b/>
          <w:sz w:val="32"/>
          <w:szCs w:val="32"/>
        </w:rPr>
        <w:t>第二节 基本原则</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tabs>
          <w:tab w:val="left" w:pos="6300"/>
        </w:tabs>
        <w:spacing w:line="360" w:lineRule="auto"/>
        <w:ind w:firstLine="633" w:firstLineChars="197"/>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——坚持以人为本、民生优先。</w:t>
      </w:r>
      <w:r>
        <w:rPr>
          <w:rFonts w:ascii="Times New Roman" w:hAnsi="Times New Roman" w:eastAsia="方正仿宋_GBK" w:cs="Times New Roman"/>
          <w:bCs/>
          <w:sz w:val="32"/>
          <w:szCs w:val="32"/>
        </w:rPr>
        <w:t>坚持以人民为中心的发展思想，坚持人民主体地位，强化人民需求导向，坚决维护人民根本利益，始终做到发展为了人民、发展依靠人民、发展成果由人民共享，努力为人民提供与经济社会发展水平相适应的公共服务，不断满足人民对美好生活的向往。</w:t>
      </w:r>
    </w:p>
    <w:p>
      <w:pPr>
        <w:tabs>
          <w:tab w:val="left" w:pos="6300"/>
        </w:tabs>
        <w:spacing w:line="360" w:lineRule="auto"/>
        <w:ind w:firstLine="633" w:firstLineChars="197"/>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——坚持尽力而为、量力而行。</w:t>
      </w:r>
      <w:r>
        <w:rPr>
          <w:rFonts w:ascii="Times New Roman" w:hAnsi="Times New Roman" w:eastAsia="方正仿宋_GBK" w:cs="Times New Roman"/>
          <w:bCs/>
          <w:sz w:val="32"/>
          <w:szCs w:val="32"/>
        </w:rPr>
        <w:t>充分考虑全区经济发展和财力负担的可持续性，既充分关注群众需求、不断加大投入力度、有序提升公共服务水平，又合理引导社会预期、科学做好政府预算、着力加强项目论证，实现公共服务水平和经济社会发展水平“同频共振”。</w:t>
      </w:r>
    </w:p>
    <w:p>
      <w:pPr>
        <w:tabs>
          <w:tab w:val="left" w:pos="6300"/>
        </w:tabs>
        <w:spacing w:line="360" w:lineRule="auto"/>
        <w:ind w:firstLine="633" w:firstLineChars="197"/>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——坚持系统发展、突出重点。</w:t>
      </w:r>
      <w:r>
        <w:rPr>
          <w:rFonts w:ascii="Times New Roman" w:hAnsi="Times New Roman" w:eastAsia="方正仿宋_GBK" w:cs="Times New Roman"/>
          <w:bCs/>
          <w:sz w:val="32"/>
          <w:szCs w:val="32"/>
        </w:rPr>
        <w:t>加强前瞻性思考、全局性谋划、战略性布局、整体性推进，更加注重从全局谋划一域、以一域服务全局，与全市全区总体规划、空间布局相协调，与城乡发展、产业发展、人口发展相配套，紧跟人民群众重点需求，着力固根基、补短板、强弱项、做示范，实现总量和结构“同步优化”。</w:t>
      </w:r>
    </w:p>
    <w:p>
      <w:pPr>
        <w:tabs>
          <w:tab w:val="left" w:pos="6300"/>
        </w:tabs>
        <w:spacing w:line="360" w:lineRule="auto"/>
        <w:ind w:firstLine="633" w:firstLineChars="197"/>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w:t>
      </w:r>
      <w:r>
        <w:rPr>
          <w:rFonts w:ascii="Times New Roman" w:hAnsi="Times New Roman" w:eastAsia="方正仿宋_GBK" w:cs="Times New Roman"/>
          <w:b/>
          <w:sz w:val="32"/>
          <w:szCs w:val="32"/>
        </w:rPr>
        <w:t>坚持人口导向、科学服务。</w:t>
      </w:r>
      <w:r>
        <w:rPr>
          <w:rFonts w:ascii="Times New Roman" w:hAnsi="Times New Roman" w:eastAsia="方正仿宋_GBK" w:cs="Times New Roman"/>
          <w:bCs/>
          <w:sz w:val="32"/>
          <w:szCs w:val="32"/>
        </w:rPr>
        <w:t>着力落实全面三孩生育政策和配套支持措施、切实降低生育养育成本，保持人口总量发展势能、提高人口整体素质、增加优质人口吸引力，构建与人口总量、人口分布、人口流动相适应的公共服务供给服务体系，强化数字化改革引领，加快推进美好数字社会建设，实现公共服务与人口发展、城市发展、产业发展、数字化发展深度融合，提供更安全、更智能、更美好、更有温度的公共服务。</w:t>
      </w:r>
    </w:p>
    <w:p>
      <w:pPr>
        <w:tabs>
          <w:tab w:val="left" w:pos="6300"/>
        </w:tabs>
        <w:spacing w:line="360" w:lineRule="auto"/>
        <w:ind w:firstLine="633" w:firstLineChars="197"/>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——坚持政府主导、多元参与。</w:t>
      </w:r>
      <w:r>
        <w:rPr>
          <w:rFonts w:ascii="Times New Roman" w:hAnsi="Times New Roman" w:eastAsia="方正仿宋_GBK" w:cs="Times New Roman"/>
          <w:bCs/>
          <w:sz w:val="32"/>
          <w:szCs w:val="32"/>
        </w:rPr>
        <w:t>发挥集中力量办大事的优势，强化政府对基本公共服务供给的兜底责任、发挥政府对普惠性非基本公共服务的引导作用，进一步放宽市场准入，支持社会力量参与公共服务，充分发挥市场在资源配置方面的基础性作用，引导群众广泛参与公共服务，形成政府、社会、个人协同发力、共建共享的公共服务发展格局。</w:t>
      </w:r>
    </w:p>
    <w:p>
      <w:pPr>
        <w:keepNext/>
        <w:keepLines/>
        <w:jc w:val="center"/>
        <w:outlineLvl w:val="1"/>
        <w:rPr>
          <w:rFonts w:ascii="Times New Roman" w:hAnsi="Times New Roman" w:eastAsia="方正楷体_GBK" w:cs="Times New Roman"/>
          <w:b/>
          <w:sz w:val="32"/>
          <w:szCs w:val="32"/>
        </w:rPr>
      </w:pPr>
      <w:bookmarkStart w:id="108" w:name="_Toc22224"/>
      <w:bookmarkStart w:id="109" w:name="_Toc2694"/>
      <w:bookmarkStart w:id="110" w:name="_Toc21683"/>
      <w:bookmarkStart w:id="111" w:name="_Toc31754"/>
      <w:bookmarkStart w:id="112" w:name="_Toc30253"/>
      <w:bookmarkStart w:id="113" w:name="_Toc19689"/>
      <w:bookmarkStart w:id="114" w:name="_Toc7846"/>
      <w:bookmarkStart w:id="115" w:name="_Toc756"/>
      <w:bookmarkStart w:id="116" w:name="_Toc77438429"/>
      <w:bookmarkStart w:id="117" w:name="_Toc27739"/>
      <w:bookmarkStart w:id="118" w:name="_Toc16169"/>
      <w:bookmarkStart w:id="119" w:name="_Toc10715"/>
      <w:bookmarkStart w:id="120" w:name="_Toc21417"/>
      <w:bookmarkStart w:id="121" w:name="_Toc22990"/>
      <w:bookmarkStart w:id="122" w:name="_Toc5993"/>
      <w:bookmarkStart w:id="123" w:name="_Toc2563"/>
      <w:bookmarkStart w:id="124" w:name="_Toc14647"/>
      <w:bookmarkStart w:id="125" w:name="_Toc15341"/>
      <w:r>
        <w:rPr>
          <w:rFonts w:ascii="Times New Roman" w:hAnsi="Times New Roman" w:eastAsia="方正楷体_GBK" w:cs="Times New Roman"/>
          <w:b/>
          <w:sz w:val="32"/>
          <w:szCs w:val="32"/>
        </w:rPr>
        <w:t>第三节 总体要求</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tabs>
          <w:tab w:val="left" w:pos="6300"/>
        </w:tabs>
        <w:spacing w:line="360" w:lineRule="auto"/>
        <w:ind w:firstLine="643" w:firstLineChars="200"/>
        <w:contextualSpacing/>
        <w:rPr>
          <w:rFonts w:ascii="Times New Roman" w:hAnsi="Times New Roman" w:eastAsia="方正仿宋_GBK" w:cs="Times New Roman"/>
          <w:b/>
          <w:sz w:val="32"/>
          <w:szCs w:val="32"/>
        </w:rPr>
      </w:pPr>
      <w:bookmarkStart w:id="126" w:name="_Toc13294"/>
      <w:r>
        <w:rPr>
          <w:rFonts w:ascii="Times New Roman" w:hAnsi="Times New Roman" w:eastAsia="方正仿宋_GBK" w:cs="Times New Roman"/>
          <w:b/>
          <w:sz w:val="32"/>
          <w:szCs w:val="32"/>
        </w:rPr>
        <w:t>总体定位</w:t>
      </w:r>
    </w:p>
    <w:bookmarkEnd w:id="126"/>
    <w:p>
      <w:pPr>
        <w:tabs>
          <w:tab w:val="left" w:pos="6300"/>
        </w:tabs>
        <w:spacing w:line="360" w:lineRule="auto"/>
        <w:contextualSpacing/>
        <w:jc w:val="center"/>
        <w:outlineLvl w:val="1"/>
        <w:rPr>
          <w:rFonts w:ascii="Times New Roman" w:hAnsi="Times New Roman" w:eastAsia="方正黑体_GBK" w:cs="Times New Roman"/>
          <w:sz w:val="32"/>
          <w:szCs w:val="32"/>
        </w:rPr>
      </w:pPr>
      <w:bookmarkStart w:id="127" w:name="_Toc6536"/>
      <w:bookmarkStart w:id="128" w:name="_Toc9336"/>
      <w:bookmarkStart w:id="129" w:name="_Toc25927"/>
      <w:bookmarkStart w:id="130" w:name="_Toc7121"/>
      <w:bookmarkStart w:id="131" w:name="_Toc2518"/>
      <w:bookmarkStart w:id="132" w:name="_Toc19808"/>
      <w:bookmarkStart w:id="133" w:name="_Toc28664"/>
      <w:bookmarkStart w:id="134" w:name="_Toc27883"/>
      <w:bookmarkStart w:id="135" w:name="_Toc18220"/>
      <w:bookmarkStart w:id="136" w:name="_Toc29381"/>
      <w:r>
        <w:rPr>
          <w:rFonts w:ascii="Times New Roman" w:hAnsi="Times New Roman" w:eastAsia="方正黑体_GBK" w:cs="Times New Roman"/>
          <w:sz w:val="32"/>
          <w:szCs w:val="32"/>
        </w:rPr>
        <w:t>公共服务</w:t>
      </w:r>
      <w:bookmarkEnd w:id="127"/>
      <w:bookmarkEnd w:id="128"/>
      <w:bookmarkEnd w:id="129"/>
      <w:r>
        <w:rPr>
          <w:rFonts w:ascii="Times New Roman" w:hAnsi="Times New Roman" w:eastAsia="方正黑体_GBK" w:cs="Times New Roman"/>
          <w:sz w:val="32"/>
          <w:szCs w:val="32"/>
        </w:rPr>
        <w:t>优质均衡首善区</w:t>
      </w:r>
      <w:bookmarkEnd w:id="130"/>
      <w:bookmarkEnd w:id="131"/>
      <w:bookmarkEnd w:id="132"/>
      <w:bookmarkEnd w:id="133"/>
    </w:p>
    <w:bookmarkEnd w:id="134"/>
    <w:bookmarkEnd w:id="135"/>
    <w:bookmarkEnd w:id="136"/>
    <w:p>
      <w:pPr>
        <w:tabs>
          <w:tab w:val="left" w:pos="6300"/>
        </w:tabs>
        <w:spacing w:line="360" w:lineRule="auto"/>
        <w:ind w:firstLine="643" w:firstLineChars="200"/>
        <w:contextualSpacing/>
        <w:rPr>
          <w:rFonts w:ascii="Times New Roman" w:hAnsi="Times New Roman" w:eastAsia="方正仿宋_GBK" w:cs="Times New Roman"/>
          <w:b/>
          <w:sz w:val="32"/>
          <w:szCs w:val="32"/>
        </w:rPr>
      </w:pPr>
      <w:bookmarkStart w:id="137" w:name="_Toc16684"/>
      <w:r>
        <w:rPr>
          <w:rFonts w:ascii="Times New Roman" w:hAnsi="Times New Roman" w:eastAsia="方正仿宋_GBK" w:cs="Times New Roman"/>
          <w:b/>
          <w:sz w:val="32"/>
          <w:szCs w:val="32"/>
        </w:rPr>
        <w:t>目标定位</w:t>
      </w:r>
      <w:bookmarkEnd w:id="137"/>
    </w:p>
    <w:p>
      <w:pPr>
        <w:tabs>
          <w:tab w:val="left" w:pos="6300"/>
        </w:tabs>
        <w:spacing w:line="360" w:lineRule="auto"/>
        <w:ind w:firstLine="640" w:firstLineChars="200"/>
        <w:contextualSpacing/>
        <w:jc w:val="center"/>
        <w:outlineLvl w:val="1"/>
        <w:rPr>
          <w:rFonts w:ascii="Times New Roman" w:hAnsi="Times New Roman" w:eastAsia="方正黑体_GBK" w:cs="Times New Roman"/>
          <w:sz w:val="32"/>
          <w:szCs w:val="32"/>
        </w:rPr>
      </w:pPr>
      <w:bookmarkStart w:id="138" w:name="_Toc21607"/>
      <w:bookmarkStart w:id="139" w:name="_Toc6825"/>
      <w:bookmarkStart w:id="140" w:name="_Toc30824"/>
      <w:bookmarkStart w:id="141" w:name="_Toc9473"/>
      <w:bookmarkStart w:id="142" w:name="_Toc3437"/>
      <w:bookmarkStart w:id="143" w:name="_Toc3386"/>
      <w:bookmarkStart w:id="144" w:name="_Toc1292"/>
      <w:bookmarkStart w:id="145" w:name="_Toc31450"/>
      <w:bookmarkStart w:id="146" w:name="_Toc20806"/>
      <w:bookmarkStart w:id="147" w:name="_Toc19541"/>
      <w:bookmarkStart w:id="148" w:name="_Toc4434"/>
      <w:bookmarkStart w:id="149" w:name="_Toc808"/>
      <w:bookmarkStart w:id="150" w:name="_Toc32376"/>
      <w:r>
        <w:rPr>
          <w:rFonts w:ascii="Times New Roman" w:hAnsi="Times New Roman" w:eastAsia="方正黑体_GBK" w:cs="Times New Roman"/>
          <w:sz w:val="32"/>
          <w:szCs w:val="32"/>
        </w:rPr>
        <w:t>基本公共服务均等享有、便利可及</w:t>
      </w:r>
      <w:bookmarkEnd w:id="138"/>
      <w:bookmarkEnd w:id="139"/>
      <w:bookmarkEnd w:id="140"/>
      <w:bookmarkEnd w:id="141"/>
      <w:bookmarkEnd w:id="142"/>
      <w:bookmarkEnd w:id="143"/>
      <w:bookmarkEnd w:id="144"/>
      <w:bookmarkEnd w:id="145"/>
      <w:bookmarkEnd w:id="146"/>
      <w:bookmarkEnd w:id="147"/>
      <w:bookmarkEnd w:id="148"/>
      <w:bookmarkEnd w:id="149"/>
      <w:bookmarkEnd w:id="150"/>
    </w:p>
    <w:p>
      <w:pPr>
        <w:tabs>
          <w:tab w:val="left" w:pos="6300"/>
        </w:tabs>
        <w:spacing w:line="360" w:lineRule="auto"/>
        <w:ind w:firstLine="640" w:firstLineChars="200"/>
        <w:contextualSpacing/>
        <w:jc w:val="center"/>
        <w:outlineLvl w:val="1"/>
        <w:rPr>
          <w:rFonts w:ascii="Times New Roman" w:hAnsi="Times New Roman" w:eastAsia="方正黑体_GBK" w:cs="Times New Roman"/>
          <w:sz w:val="32"/>
          <w:szCs w:val="32"/>
        </w:rPr>
      </w:pPr>
      <w:bookmarkStart w:id="151" w:name="_Toc12436"/>
      <w:bookmarkStart w:id="152" w:name="_Toc11382"/>
      <w:bookmarkStart w:id="153" w:name="_Toc10565"/>
      <w:bookmarkStart w:id="154" w:name="_Toc30510"/>
      <w:bookmarkStart w:id="155" w:name="_Toc26018"/>
      <w:bookmarkStart w:id="156" w:name="_Toc27687"/>
      <w:bookmarkStart w:id="157" w:name="_Toc21482"/>
      <w:bookmarkStart w:id="158" w:name="_Toc22879"/>
      <w:bookmarkStart w:id="159" w:name="_Toc20018"/>
      <w:bookmarkStart w:id="160" w:name="_Toc27128"/>
      <w:bookmarkStart w:id="161" w:name="_Toc30450"/>
      <w:bookmarkStart w:id="162" w:name="_Toc28531"/>
      <w:bookmarkStart w:id="163" w:name="_Toc20998"/>
      <w:r>
        <w:rPr>
          <w:rFonts w:ascii="Times New Roman" w:hAnsi="Times New Roman" w:eastAsia="方正黑体_GBK" w:cs="Times New Roman"/>
          <w:sz w:val="32"/>
          <w:szCs w:val="32"/>
        </w:rPr>
        <w:t>普惠性非基本公共服务提质扩容、便捷高效</w:t>
      </w:r>
      <w:bookmarkEnd w:id="151"/>
      <w:bookmarkEnd w:id="152"/>
    </w:p>
    <w:p>
      <w:pPr>
        <w:tabs>
          <w:tab w:val="left" w:pos="6300"/>
        </w:tabs>
        <w:spacing w:line="360" w:lineRule="auto"/>
        <w:ind w:firstLine="640" w:firstLineChars="200"/>
        <w:contextualSpacing/>
        <w:jc w:val="center"/>
        <w:outlineLvl w:val="1"/>
        <w:rPr>
          <w:rFonts w:ascii="Times New Roman" w:hAnsi="Times New Roman" w:eastAsia="方正黑体_GBK" w:cs="Times New Roman"/>
          <w:sz w:val="32"/>
          <w:szCs w:val="32"/>
        </w:rPr>
      </w:pPr>
      <w:bookmarkStart w:id="164" w:name="_Toc15537"/>
      <w:bookmarkStart w:id="165" w:name="_Toc15125"/>
      <w:r>
        <w:rPr>
          <w:rFonts w:ascii="Times New Roman" w:hAnsi="Times New Roman" w:eastAsia="方正黑体_GBK" w:cs="Times New Roman"/>
          <w:sz w:val="32"/>
          <w:szCs w:val="32"/>
        </w:rPr>
        <w:t>优质生活服务蓬勃发展、示范引领</w:t>
      </w:r>
      <w:bookmarkEnd w:id="153"/>
      <w:bookmarkEnd w:id="154"/>
      <w:bookmarkEnd w:id="155"/>
      <w:bookmarkEnd w:id="156"/>
      <w:bookmarkEnd w:id="157"/>
      <w:bookmarkEnd w:id="158"/>
      <w:bookmarkEnd w:id="159"/>
      <w:bookmarkEnd w:id="160"/>
      <w:bookmarkEnd w:id="161"/>
      <w:bookmarkEnd w:id="162"/>
      <w:bookmarkEnd w:id="163"/>
      <w:bookmarkEnd w:id="164"/>
      <w:bookmarkEnd w:id="165"/>
      <w:bookmarkStart w:id="166" w:name="_Toc16626"/>
      <w:bookmarkStart w:id="167" w:name="_Toc26052"/>
      <w:bookmarkStart w:id="168" w:name="_Toc27491"/>
      <w:bookmarkStart w:id="169" w:name="_Toc25354"/>
      <w:bookmarkStart w:id="170" w:name="_Toc14900"/>
      <w:bookmarkStart w:id="171" w:name="_Toc10409"/>
      <w:bookmarkStart w:id="172" w:name="_Toc16914"/>
      <w:bookmarkStart w:id="173" w:name="_Toc4352"/>
      <w:bookmarkStart w:id="174" w:name="_Toc18014"/>
      <w:bookmarkStart w:id="175" w:name="_Toc20896"/>
      <w:bookmarkStart w:id="176" w:name="_Toc4593"/>
    </w:p>
    <w:bookmarkEnd w:id="166"/>
    <w:bookmarkEnd w:id="167"/>
    <w:bookmarkEnd w:id="168"/>
    <w:bookmarkEnd w:id="169"/>
    <w:bookmarkEnd w:id="170"/>
    <w:bookmarkEnd w:id="171"/>
    <w:bookmarkEnd w:id="172"/>
    <w:bookmarkEnd w:id="173"/>
    <w:bookmarkEnd w:id="174"/>
    <w:bookmarkEnd w:id="175"/>
    <w:bookmarkEnd w:id="176"/>
    <w:p>
      <w:pPr>
        <w:widowControl/>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到2025年，江北区公共服务制度体系更加完善，政府保障基本、社会多元参与、全民共建共享的公共服务供给格局基本形成，均等化、普惠性、优质化的公共服务供给体系日趋完善，全区基本公共服务均等化水平显著提升、普惠性非基本公共服务体系更加健全、多层次多样化生活服务供给更加充分，让优质的公共服务、民生供给触手可及，让城市发展和人民生活更有温度，建成公共服务优质均衡首善区。</w:t>
      </w:r>
    </w:p>
    <w:p>
      <w:pPr>
        <w:widowControl/>
        <w:ind w:firstLine="420" w:firstLineChars="200"/>
        <w:rPr>
          <w:rFonts w:ascii="Times New Roman" w:hAnsi="Times New Roman" w:eastAsia="方正仿宋_GBK" w:cs="Times New Roman"/>
          <w:bCs/>
          <w:sz w:val="32"/>
          <w:szCs w:val="32"/>
        </w:rPr>
      </w:pPr>
      <w:r>
        <w:rPr>
          <w:rFonts w:ascii="Times New Roman" w:hAnsi="Times New Roman" w:cs="Times New Roman"/>
        </w:rPr>
        <w:t xml:space="preserve">  </w:t>
      </w:r>
      <w:r>
        <w:rPr>
          <w:rFonts w:ascii="Times New Roman" w:hAnsi="Times New Roman" w:eastAsia="方正仿宋_GBK" w:cs="Times New Roman"/>
          <w:bCs/>
          <w:sz w:val="32"/>
          <w:szCs w:val="32"/>
        </w:rPr>
        <w:t>基本公共服务实现“九个全面”：推动全面实现幼有所育、学有所教、劳有所得、病有所医、老有所养、住有所居、弱有所扶、文有所现、体有所健，实现街镇、城乡、人群间的基本公共服务供给差距明显缩小，全区基本公共服务均等化水平不断提升，基本公共服务</w:t>
      </w:r>
      <w:r>
        <w:rPr>
          <w:rFonts w:ascii="Times New Roman" w:hAnsi="Times New Roman" w:eastAsia="方正仿宋_GBK" w:cs="Times New Roman"/>
          <w:bCs/>
          <w:sz w:val="32"/>
          <w:szCs w:val="32"/>
          <w:lang w:bidi="ar"/>
        </w:rPr>
        <w:t>均等享有、便利可及。</w:t>
      </w:r>
      <w:r>
        <w:rPr>
          <w:rFonts w:ascii="Times New Roman" w:hAnsi="Times New Roman" w:eastAsia="方正仿宋_GBK" w:cs="Times New Roman"/>
          <w:bCs/>
          <w:sz w:val="32"/>
          <w:szCs w:val="32"/>
        </w:rPr>
        <w:t>普惠性非公共服务展现“七个提升”：支持社会力量重点加强普惠托育、普惠学前教育、普惠养老、普惠医疗、普惠文化、普惠体育等领域普惠化供给，实现</w:t>
      </w:r>
      <w:r>
        <w:rPr>
          <w:rFonts w:ascii="Times New Roman" w:hAnsi="Times New Roman" w:eastAsia="方正仿宋_GBK" w:cs="Times New Roman"/>
          <w:bCs/>
          <w:sz w:val="32"/>
          <w:szCs w:val="32"/>
          <w:lang w:bidi="ar"/>
        </w:rPr>
        <w:t>普惠性公共服务数量和质量总体提升，逐步推动实现幼有优育、学有优教、劳有厚得、病有良医、老有颐养、住有宜居、弱有众扶等。</w:t>
      </w:r>
      <w:r>
        <w:rPr>
          <w:rFonts w:ascii="Times New Roman" w:hAnsi="Times New Roman" w:eastAsia="方正仿宋_GBK" w:cs="Times New Roman"/>
          <w:sz w:val="32"/>
          <w:szCs w:val="32"/>
        </w:rPr>
        <w:t>优质生活服务体现“六大活力”：</w:t>
      </w:r>
      <w:r>
        <w:rPr>
          <w:rFonts w:ascii="Times New Roman" w:hAnsi="Times New Roman" w:eastAsia="方正仿宋_GBK" w:cs="Times New Roman"/>
          <w:bCs/>
          <w:sz w:val="32"/>
          <w:szCs w:val="32"/>
        </w:rPr>
        <w:t>拓展以养老托育、医疗康养、体育健身、文化旅游、教育培训、家政服务为重点的多层次多样化特色化的高品质生活服务业，实现生活服务业向高端、优质方向发展，打造一批高品质生活示范品牌。通过努力，力争在有</w:t>
      </w:r>
      <w:r>
        <w:rPr>
          <w:rFonts w:hint="eastAsia" w:ascii="Times New Roman" w:hAnsi="Times New Roman" w:eastAsia="方正仿宋_GBK" w:cs="Times New Roman"/>
          <w:bCs/>
          <w:sz w:val="32"/>
          <w:szCs w:val="32"/>
        </w:rPr>
        <w:t>更好地</w:t>
      </w:r>
      <w:r>
        <w:rPr>
          <w:rFonts w:ascii="Times New Roman" w:hAnsi="Times New Roman" w:eastAsia="方正仿宋_GBK" w:cs="Times New Roman"/>
          <w:bCs/>
          <w:sz w:val="32"/>
          <w:szCs w:val="32"/>
        </w:rPr>
        <w:t>教育、更稳定的工作、更满意的收入、更可靠的社会保障、更高水平的医疗卫生服务、更舒适的居住条件、更丰富的精神文化生活上做到西部一流。</w:t>
      </w:r>
    </w:p>
    <w:p>
      <w:pPr>
        <w:tabs>
          <w:tab w:val="left" w:pos="6300"/>
        </w:tabs>
        <w:spacing w:line="360" w:lineRule="auto"/>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实现基本公共服务均等享有、便利可及。</w:t>
      </w:r>
      <w:r>
        <w:rPr>
          <w:rFonts w:ascii="Times New Roman" w:hAnsi="Times New Roman" w:eastAsia="方正仿宋_GBK" w:cs="Times New Roman"/>
          <w:bCs/>
          <w:sz w:val="32"/>
          <w:szCs w:val="32"/>
        </w:rPr>
        <w:t>国家、全市基本公共服务标准得到有力有效落实，标准化手段得到普及应用，基本公共服务实现目标人群全覆盖、服务全达标、投入有保障，地区、城乡、人群间的基本公共服务供给差距明显</w:t>
      </w:r>
    </w:p>
    <w:p>
      <w:pPr>
        <w:tabs>
          <w:tab w:val="left" w:pos="6300"/>
        </w:tabs>
        <w:spacing w:line="360" w:lineRule="auto"/>
        <w:contextualSpacing/>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缩小。推动城乡义务教育“两免一补”、普通高中和中等职业院校“一免一助”等政策落地落实落细，全方位的教育保障服务、公共卫生应急及日常服务、就业创业基础性服务、养老助老服务、基本住房保障服务、社会救助服务、残疾人等重点群体保障服务、公共文体服务等体系不断健全，健康档案、健康教育与健康素养行动有力开展。实现普惠性幼儿园在园家庭经济困难儿童、孤儿和残疾儿童资助100%全覆盖，失能、半失能特困对象集中供养率保持100%，九年义务教育巩固率保持100%，义务教育阶段学校100%标准化，城乡居民基本医疗保险参保率保持95%以上，常住人口住房保障覆盖率保持100%，城镇调查失业率小于5.5%，退役军人安置率达到100%，全区公共文化设施实现100%免费开放，有条件的公共体育设施免费或低收费开放，城乡居民达到《国民体质测定标准》合格以上的人数比例达93.2%。</w:t>
      </w:r>
    </w:p>
    <w:p>
      <w:pPr>
        <w:tabs>
          <w:tab w:val="left" w:pos="6300"/>
        </w:tabs>
        <w:spacing w:line="360" w:lineRule="auto"/>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实现普惠性非基本公共服务提质扩容、便捷高效。</w:t>
      </w:r>
      <w:r>
        <w:rPr>
          <w:rFonts w:ascii="Times New Roman" w:hAnsi="Times New Roman" w:eastAsia="方正仿宋_GBK" w:cs="Times New Roman"/>
          <w:bCs/>
          <w:sz w:val="32"/>
          <w:szCs w:val="32"/>
        </w:rPr>
        <w:t>紧扣人民群众“急难愁盼”的突出问题，坚持社会效益优先，推动普惠性非基本公共服务内容更丰富、方式更便捷、供给更多元、付费可享有、价格可承受、质量有保障、安全有监管。多层次的普惠养老托育服务体系、普及普惠的学前教育服务体系、全生命周期的优质健康服务体系、更加丰富多样的优质文化服务体系不断健全。实现养老机构护理型床位占比达到80%以上，</w:t>
      </w:r>
      <w:r>
        <w:rPr>
          <w:rFonts w:ascii="Times New Roman" w:hAnsi="Times New Roman" w:eastAsia="方正仿宋_GBK" w:cs="Times New Roman"/>
          <w:sz w:val="32"/>
          <w:szCs w:val="32"/>
        </w:rPr>
        <w:t>养老机构医养康养结合率达100%，</w:t>
      </w:r>
      <w:r>
        <w:rPr>
          <w:rFonts w:ascii="Times New Roman" w:hAnsi="Times New Roman" w:eastAsia="方正仿宋_GBK" w:cs="Times New Roman"/>
          <w:bCs/>
          <w:sz w:val="32"/>
          <w:szCs w:val="32"/>
        </w:rPr>
        <w:t>每千人口拥有3岁以下婴幼儿托位数达到4.5个，3岁以下儿童系统管理率达到94%，普惠性幼儿园覆盖率达到90%，每千人口拥有注册护士数达到9人，人均公共体育场地面积达到2.2平方米，经常参加体育锻炼人数比例达到48%。</w:t>
      </w:r>
    </w:p>
    <w:p>
      <w:pPr>
        <w:tabs>
          <w:tab w:val="left" w:pos="6300"/>
        </w:tabs>
        <w:spacing w:line="360" w:lineRule="auto"/>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实现优质生活服务蓬勃发展、示范引领。</w:t>
      </w:r>
      <w:r>
        <w:rPr>
          <w:rFonts w:ascii="Times New Roman" w:hAnsi="Times New Roman" w:eastAsia="方正仿宋_GBK" w:cs="Times New Roman"/>
          <w:bCs/>
          <w:sz w:val="32"/>
          <w:szCs w:val="32"/>
        </w:rPr>
        <w:t>适应人民群众多样化、个性化、高品质的生活服务需求，推动生活服务多样化多层次发展，向标准化、品牌化、规模化以及新业态新模式发展，着力提升高端优质的养老托育、医疗康养产业、体育健身产业、教育培训产业、文化旅游产业、家政服务产业等品牌，系统提升生活性服务品牌效应。积极引进培育一批高端养老和医疗康养服务机构，实现社会运营的养老床位总数比例不低于100%，文化产业增加值占地区生产总值的比重力争达到8%。</w:t>
      </w:r>
    </w:p>
    <w:p>
      <w:pPr>
        <w:tabs>
          <w:tab w:val="left" w:pos="6300"/>
        </w:tabs>
        <w:spacing w:line="360" w:lineRule="auto"/>
        <w:ind w:firstLine="2012" w:firstLineChars="835"/>
        <w:contextualSpacing/>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表2-1  各领域“十四五”发展目标表</w:t>
      </w:r>
    </w:p>
    <w:tbl>
      <w:tblPr>
        <w:tblStyle w:val="2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500"/>
        <w:gridCol w:w="5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tcPr>
          <w:p>
            <w:pPr>
              <w:tabs>
                <w:tab w:val="left" w:pos="6300"/>
              </w:tabs>
              <w:spacing w:line="500" w:lineRule="exact"/>
              <w:contextualSpacing/>
              <w:jc w:val="center"/>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序号</w:t>
            </w:r>
          </w:p>
        </w:tc>
        <w:tc>
          <w:tcPr>
            <w:tcW w:w="1500" w:type="dxa"/>
            <w:vAlign w:val="center"/>
          </w:tcPr>
          <w:p>
            <w:pPr>
              <w:tabs>
                <w:tab w:val="left" w:pos="6300"/>
              </w:tabs>
              <w:spacing w:line="500" w:lineRule="exact"/>
              <w:contextualSpacing/>
              <w:jc w:val="center"/>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领域</w:t>
            </w:r>
          </w:p>
        </w:tc>
        <w:tc>
          <w:tcPr>
            <w:tcW w:w="5965" w:type="dxa"/>
          </w:tcPr>
          <w:p>
            <w:pPr>
              <w:tabs>
                <w:tab w:val="left" w:pos="6300"/>
              </w:tabs>
              <w:spacing w:line="500" w:lineRule="exact"/>
              <w:contextualSpacing/>
              <w:jc w:val="center"/>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tabs>
                <w:tab w:val="left" w:pos="6300"/>
              </w:tabs>
              <w:spacing w:line="500" w:lineRule="exact"/>
              <w:contextualSpacing/>
              <w:jc w:val="center"/>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1</w:t>
            </w:r>
          </w:p>
        </w:tc>
        <w:tc>
          <w:tcPr>
            <w:tcW w:w="1500" w:type="dxa"/>
            <w:vAlign w:val="center"/>
          </w:tcPr>
          <w:p>
            <w:pPr>
              <w:tabs>
                <w:tab w:val="left" w:pos="6300"/>
              </w:tabs>
              <w:spacing w:line="500" w:lineRule="exact"/>
              <w:contextualSpacing/>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婴幼儿照护服务</w:t>
            </w:r>
          </w:p>
        </w:tc>
        <w:tc>
          <w:tcPr>
            <w:tcW w:w="5965" w:type="dxa"/>
          </w:tcPr>
          <w:p>
            <w:pPr>
              <w:tabs>
                <w:tab w:val="left" w:pos="6300"/>
              </w:tabs>
              <w:spacing w:line="500" w:lineRule="exact"/>
              <w:contextualSpacing/>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多元化、多样化、覆盖城乡的婴幼儿照护服务体系基本形成，3岁以下婴幼儿入托率不断提升，婴幼儿照护服务水平明显提升，争创全国示范性托育服务机构，逐步做响江北区婴幼儿照护服务品牌。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0" w:hRule="atLeast"/>
          <w:jc w:val="center"/>
        </w:trPr>
        <w:tc>
          <w:tcPr>
            <w:tcW w:w="831" w:type="dxa"/>
            <w:vAlign w:val="center"/>
          </w:tcPr>
          <w:p>
            <w:pPr>
              <w:tabs>
                <w:tab w:val="left" w:pos="6300"/>
              </w:tabs>
              <w:spacing w:line="500" w:lineRule="exact"/>
              <w:contextualSpacing/>
              <w:jc w:val="center"/>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2</w:t>
            </w:r>
          </w:p>
        </w:tc>
        <w:tc>
          <w:tcPr>
            <w:tcW w:w="1500" w:type="dxa"/>
            <w:vAlign w:val="center"/>
          </w:tcPr>
          <w:p>
            <w:pPr>
              <w:tabs>
                <w:tab w:val="left" w:pos="6300"/>
              </w:tabs>
              <w:spacing w:line="500" w:lineRule="exact"/>
              <w:contextualSpacing/>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现代教育</w:t>
            </w:r>
          </w:p>
          <w:p>
            <w:pPr>
              <w:tabs>
                <w:tab w:val="left" w:pos="6300"/>
              </w:tabs>
              <w:spacing w:line="500" w:lineRule="exact"/>
              <w:contextualSpacing/>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服务</w:t>
            </w:r>
          </w:p>
        </w:tc>
        <w:tc>
          <w:tcPr>
            <w:tcW w:w="5965" w:type="dxa"/>
          </w:tcPr>
          <w:p>
            <w:pPr>
              <w:tabs>
                <w:tab w:val="left" w:pos="6300"/>
              </w:tabs>
              <w:spacing w:line="500" w:lineRule="exact"/>
              <w:contextualSpacing/>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在全市率先实现教育现代化，积极打造“有品质、有特色”的教育强区，建设全市示范、西部一流、成渝地区双城经济圈领先、全国知名的现代化教育强区。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tabs>
                <w:tab w:val="left" w:pos="6300"/>
              </w:tabs>
              <w:spacing w:line="500" w:lineRule="exact"/>
              <w:contextualSpacing/>
              <w:jc w:val="center"/>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3</w:t>
            </w:r>
          </w:p>
        </w:tc>
        <w:tc>
          <w:tcPr>
            <w:tcW w:w="1500" w:type="dxa"/>
            <w:vAlign w:val="center"/>
          </w:tcPr>
          <w:p>
            <w:pPr>
              <w:tabs>
                <w:tab w:val="left" w:pos="6300"/>
              </w:tabs>
              <w:spacing w:line="500" w:lineRule="exact"/>
              <w:contextualSpacing/>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就业创业</w:t>
            </w:r>
          </w:p>
          <w:p>
            <w:pPr>
              <w:tabs>
                <w:tab w:val="left" w:pos="6300"/>
              </w:tabs>
              <w:spacing w:line="500" w:lineRule="exact"/>
              <w:contextualSpacing/>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服务</w:t>
            </w:r>
          </w:p>
        </w:tc>
        <w:tc>
          <w:tcPr>
            <w:tcW w:w="5965" w:type="dxa"/>
          </w:tcPr>
          <w:p>
            <w:pPr>
              <w:tabs>
                <w:tab w:val="left" w:pos="6300"/>
              </w:tabs>
              <w:spacing w:line="500" w:lineRule="exact"/>
              <w:contextualSpacing/>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 xml:space="preserve">健全覆盖城乡、服务均等的公共就业创业服务体系，基本建成对接全国的统一公共就业创业服务平台，公共就业创业服务水平进一步提高，劳动者终身职业培训制度加快完善。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tabs>
                <w:tab w:val="left" w:pos="6300"/>
              </w:tabs>
              <w:spacing w:line="500" w:lineRule="exact"/>
              <w:contextualSpacing/>
              <w:jc w:val="center"/>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4</w:t>
            </w:r>
          </w:p>
        </w:tc>
        <w:tc>
          <w:tcPr>
            <w:tcW w:w="1500" w:type="dxa"/>
            <w:vAlign w:val="center"/>
          </w:tcPr>
          <w:p>
            <w:pPr>
              <w:tabs>
                <w:tab w:val="left" w:pos="6300"/>
              </w:tabs>
              <w:spacing w:line="500" w:lineRule="exact"/>
              <w:contextualSpacing/>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卫生健康</w:t>
            </w:r>
          </w:p>
          <w:p>
            <w:pPr>
              <w:tabs>
                <w:tab w:val="left" w:pos="6300"/>
              </w:tabs>
              <w:spacing w:line="500" w:lineRule="exact"/>
              <w:contextualSpacing/>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服务</w:t>
            </w:r>
          </w:p>
        </w:tc>
        <w:tc>
          <w:tcPr>
            <w:tcW w:w="5965" w:type="dxa"/>
          </w:tcPr>
          <w:p>
            <w:pPr>
              <w:tabs>
                <w:tab w:val="left" w:pos="6300"/>
              </w:tabs>
              <w:spacing w:line="500" w:lineRule="exact"/>
              <w:contextualSpacing/>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建立起与全面建成小康社会相匹配、与全区国民经济和社会发展相适应、与 “两江四岸”核心区重要功能定位相适应的基本医疗卫生网络，主要健康指标及卫生健康综合实力和水平位居全市前列。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tabs>
                <w:tab w:val="left" w:pos="6300"/>
              </w:tabs>
              <w:spacing w:line="500" w:lineRule="exact"/>
              <w:contextualSpacing/>
              <w:jc w:val="center"/>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5</w:t>
            </w:r>
          </w:p>
        </w:tc>
        <w:tc>
          <w:tcPr>
            <w:tcW w:w="1500" w:type="dxa"/>
            <w:vAlign w:val="center"/>
          </w:tcPr>
          <w:p>
            <w:pPr>
              <w:tabs>
                <w:tab w:val="left" w:pos="6300"/>
              </w:tabs>
              <w:spacing w:line="500" w:lineRule="exact"/>
              <w:contextualSpacing/>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养老服务</w:t>
            </w:r>
          </w:p>
        </w:tc>
        <w:tc>
          <w:tcPr>
            <w:tcW w:w="5965" w:type="dxa"/>
          </w:tcPr>
          <w:p>
            <w:pPr>
              <w:tabs>
                <w:tab w:val="left" w:pos="6300"/>
              </w:tabs>
              <w:spacing w:line="500" w:lineRule="exact"/>
              <w:contextualSpacing/>
              <w:rPr>
                <w:rFonts w:ascii="Times New Roman" w:hAnsi="Times New Roman" w:cs="Times New Roman"/>
                <w:bCs/>
                <w:sz w:val="24"/>
                <w:szCs w:val="24"/>
              </w:rPr>
            </w:pPr>
            <w:r>
              <w:rPr>
                <w:rFonts w:ascii="Times New Roman" w:hAnsi="Times New Roman" w:cs="Times New Roman"/>
                <w:bCs/>
                <w:sz w:val="24"/>
                <w:szCs w:val="24"/>
              </w:rPr>
              <w:t>养老服务基础设施条件进一步改善，兜底保障能力不断增强，服务供给有效增加，养老服务质量持续改善，居家社区机构相协调、医养康养相结合的养老服务体系更加完善，有效满足老年人多层次、多样化的养老服务需求，“品质养老，江北享寿”养老品牌认可度大幅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tabs>
                <w:tab w:val="left" w:pos="6300"/>
              </w:tabs>
              <w:spacing w:line="500" w:lineRule="exact"/>
              <w:contextualSpacing/>
              <w:jc w:val="center"/>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6</w:t>
            </w:r>
          </w:p>
        </w:tc>
        <w:tc>
          <w:tcPr>
            <w:tcW w:w="1500" w:type="dxa"/>
            <w:vAlign w:val="center"/>
          </w:tcPr>
          <w:p>
            <w:pPr>
              <w:tabs>
                <w:tab w:val="left" w:pos="6300"/>
              </w:tabs>
              <w:spacing w:line="500" w:lineRule="exact"/>
              <w:contextualSpacing/>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宜居保障</w:t>
            </w:r>
          </w:p>
          <w:p>
            <w:pPr>
              <w:tabs>
                <w:tab w:val="left" w:pos="6300"/>
              </w:tabs>
              <w:spacing w:line="500" w:lineRule="exact"/>
              <w:contextualSpacing/>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服务</w:t>
            </w:r>
          </w:p>
        </w:tc>
        <w:tc>
          <w:tcPr>
            <w:tcW w:w="5965" w:type="dxa"/>
          </w:tcPr>
          <w:p>
            <w:pPr>
              <w:tabs>
                <w:tab w:val="left" w:pos="6300"/>
              </w:tabs>
              <w:spacing w:line="500" w:lineRule="exact"/>
              <w:contextualSpacing/>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高层次及特殊人才住房保障、公租房住房保障、廉租房住房保障的“高—中—低”三端住房保障体系构建完善，保障性住房精细化管理不断加强，实现住有所居、住有优居。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tabs>
                <w:tab w:val="left" w:pos="6300"/>
              </w:tabs>
              <w:spacing w:line="500" w:lineRule="exact"/>
              <w:contextualSpacing/>
              <w:jc w:val="center"/>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7</w:t>
            </w:r>
          </w:p>
        </w:tc>
        <w:tc>
          <w:tcPr>
            <w:tcW w:w="1500" w:type="dxa"/>
            <w:vAlign w:val="center"/>
          </w:tcPr>
          <w:p>
            <w:pPr>
              <w:tabs>
                <w:tab w:val="left" w:pos="6300"/>
              </w:tabs>
              <w:spacing w:line="500" w:lineRule="exact"/>
              <w:contextualSpacing/>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社会保障服务（含拥军优抚服务）</w:t>
            </w:r>
          </w:p>
        </w:tc>
        <w:tc>
          <w:tcPr>
            <w:tcW w:w="5965" w:type="dxa"/>
          </w:tcPr>
          <w:p>
            <w:pPr>
              <w:tabs>
                <w:tab w:val="left" w:pos="6300"/>
              </w:tabs>
              <w:spacing w:line="500" w:lineRule="exact"/>
              <w:contextualSpacing/>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各项保险参保率位居全市前列，社会救助体系进一步健全，退役军人安置质量显著提升，妇女儿童、残疾人等重点群体基本权益切实保障，覆盖全民、统筹城乡、公平统一、可持续的多层次社会保障体系不断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tabs>
                <w:tab w:val="left" w:pos="6300"/>
              </w:tabs>
              <w:spacing w:line="500" w:lineRule="exact"/>
              <w:contextualSpacing/>
              <w:jc w:val="center"/>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8</w:t>
            </w:r>
          </w:p>
        </w:tc>
        <w:tc>
          <w:tcPr>
            <w:tcW w:w="1500" w:type="dxa"/>
            <w:vAlign w:val="center"/>
          </w:tcPr>
          <w:p>
            <w:pPr>
              <w:tabs>
                <w:tab w:val="left" w:pos="6300"/>
              </w:tabs>
              <w:spacing w:line="500" w:lineRule="exact"/>
              <w:contextualSpacing/>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文化服务</w:t>
            </w:r>
          </w:p>
        </w:tc>
        <w:tc>
          <w:tcPr>
            <w:tcW w:w="5965" w:type="dxa"/>
          </w:tcPr>
          <w:p>
            <w:pPr>
              <w:tabs>
                <w:tab w:val="left" w:pos="6300"/>
              </w:tabs>
              <w:spacing w:line="500" w:lineRule="exact"/>
              <w:contextualSpacing/>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公共文化服务体系不断健全，公共文化服务水平着力提升，全面建成“15分钟公共文化服务圈”，推动文化旅游深入融合，文化产业成为重要支柱产业，文化强区建设全力推进。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tabs>
                <w:tab w:val="left" w:pos="6300"/>
              </w:tabs>
              <w:spacing w:line="500" w:lineRule="exact"/>
              <w:contextualSpacing/>
              <w:jc w:val="center"/>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9</w:t>
            </w:r>
          </w:p>
        </w:tc>
        <w:tc>
          <w:tcPr>
            <w:tcW w:w="1500" w:type="dxa"/>
            <w:vAlign w:val="center"/>
          </w:tcPr>
          <w:p>
            <w:pPr>
              <w:tabs>
                <w:tab w:val="left" w:pos="6300"/>
              </w:tabs>
              <w:spacing w:line="500" w:lineRule="exact"/>
              <w:contextualSpacing/>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体育服务</w:t>
            </w:r>
          </w:p>
        </w:tc>
        <w:tc>
          <w:tcPr>
            <w:tcW w:w="5965" w:type="dxa"/>
          </w:tcPr>
          <w:p>
            <w:pPr>
              <w:tabs>
                <w:tab w:val="left" w:pos="6300"/>
              </w:tabs>
              <w:spacing w:line="500" w:lineRule="exact"/>
              <w:contextualSpacing/>
              <w:rPr>
                <w:rFonts w:ascii="Times New Roman" w:hAnsi="Times New Roman" w:cs="Times New Roman" w:eastAsiaTheme="minorEastAsia"/>
                <w:bCs/>
                <w:sz w:val="24"/>
                <w:szCs w:val="24"/>
              </w:rPr>
            </w:pPr>
            <w:r>
              <w:rPr>
                <w:rFonts w:ascii="Times New Roman" w:hAnsi="Times New Roman" w:cs="Times New Roman"/>
                <w:bCs/>
                <w:sz w:val="24"/>
                <w:szCs w:val="24"/>
              </w:rPr>
              <w:t>全民健身公共服务体系进一步完善，竞技体育项目基本完成增项扩项，体育产业布局和体系更加合理完善，市民身体素养和健康水平持续提高，建成“15分钟健身圈”，成为全市户外运动首选目的地</w:t>
            </w:r>
            <w:r>
              <w:rPr>
                <w:rFonts w:ascii="Times New Roman" w:hAnsi="Times New Roman" w:cs="Times New Roman" w:eastAsiaTheme="minorEastAsia"/>
                <w:bCs/>
                <w:sz w:val="24"/>
                <w:szCs w:val="24"/>
              </w:rPr>
              <w:t>。</w:t>
            </w:r>
          </w:p>
        </w:tc>
      </w:tr>
    </w:tbl>
    <w:p>
      <w:pPr>
        <w:tabs>
          <w:tab w:val="left" w:pos="6300"/>
        </w:tabs>
        <w:spacing w:line="360" w:lineRule="auto"/>
        <w:ind w:firstLine="643" w:firstLineChars="200"/>
        <w:contextualSpacing/>
        <w:rPr>
          <w:rFonts w:ascii="Times New Roman" w:hAnsi="Times New Roman" w:eastAsia="方正仿宋_GBK" w:cs="Times New Roman"/>
          <w:b/>
          <w:bCs/>
          <w:sz w:val="32"/>
          <w:szCs w:val="32"/>
        </w:rPr>
      </w:pPr>
    </w:p>
    <w:p>
      <w:pPr>
        <w:keepNext/>
        <w:keepLines/>
        <w:spacing w:line="416" w:lineRule="auto"/>
        <w:rPr>
          <w:rFonts w:ascii="Times New Roman" w:hAnsi="Times New Roman" w:eastAsia="方正仿宋_GBK" w:cs="Times New Roman"/>
          <w:b/>
          <w:bCs/>
          <w:sz w:val="32"/>
          <w:szCs w:val="32"/>
        </w:rPr>
      </w:pPr>
    </w:p>
    <w:p>
      <w:pPr>
        <w:rPr>
          <w:rFonts w:ascii="Times New Roman" w:hAnsi="Times New Roman" w:cs="Times New Roman"/>
        </w:rPr>
      </w:pPr>
    </w:p>
    <w:p>
      <w:pPr>
        <w:tabs>
          <w:tab w:val="left" w:pos="6300"/>
        </w:tabs>
        <w:spacing w:line="360" w:lineRule="auto"/>
        <w:contextualSpacing/>
        <w:jc w:val="center"/>
        <w:rPr>
          <w:rFonts w:ascii="Times New Roman" w:hAnsi="Times New Roman" w:cs="Times New Roman" w:eastAsiaTheme="minorEastAsia"/>
          <w:b/>
          <w:bCs/>
          <w:sz w:val="24"/>
          <w:szCs w:val="24"/>
        </w:rPr>
      </w:pPr>
    </w:p>
    <w:p>
      <w:pPr>
        <w:tabs>
          <w:tab w:val="left" w:pos="6300"/>
        </w:tabs>
        <w:spacing w:line="360" w:lineRule="auto"/>
        <w:contextualSpacing/>
        <w:jc w:val="center"/>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表2-2 江北区公共服务“十四五”发展主要指标表</w:t>
      </w:r>
    </w:p>
    <w:tbl>
      <w:tblPr>
        <w:tblStyle w:val="25"/>
        <w:tblW w:w="8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140"/>
        <w:gridCol w:w="3657"/>
        <w:gridCol w:w="1163"/>
        <w:gridCol w:w="1100"/>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blHeader/>
          <w:jc w:val="center"/>
        </w:trPr>
        <w:tc>
          <w:tcPr>
            <w:tcW w:w="721" w:type="dxa"/>
            <w:vAlign w:val="center"/>
          </w:tcPr>
          <w:p>
            <w:pPr>
              <w:adjustRightInd w:val="0"/>
              <w:snapToGrid w:val="0"/>
              <w:spacing w:line="340" w:lineRule="exact"/>
              <w:jc w:val="center"/>
              <w:rPr>
                <w:rFonts w:ascii="Times New Roman" w:hAnsi="Times New Roman" w:cs="Times New Roman" w:eastAsiaTheme="minorEastAsia"/>
                <w:b/>
                <w:kern w:val="0"/>
                <w:sz w:val="24"/>
                <w:szCs w:val="24"/>
              </w:rPr>
            </w:pPr>
            <w:r>
              <w:rPr>
                <w:rFonts w:ascii="Times New Roman" w:hAnsi="Times New Roman" w:cs="Times New Roman" w:eastAsiaTheme="minorEastAsia"/>
                <w:b/>
                <w:kern w:val="0"/>
                <w:sz w:val="24"/>
                <w:szCs w:val="24"/>
              </w:rPr>
              <w:t>序号</w:t>
            </w:r>
          </w:p>
        </w:tc>
        <w:tc>
          <w:tcPr>
            <w:tcW w:w="1140" w:type="dxa"/>
            <w:vAlign w:val="center"/>
          </w:tcPr>
          <w:p>
            <w:pPr>
              <w:adjustRightInd w:val="0"/>
              <w:snapToGrid w:val="0"/>
              <w:spacing w:line="340" w:lineRule="exact"/>
              <w:jc w:val="center"/>
              <w:rPr>
                <w:rFonts w:ascii="Times New Roman" w:hAnsi="Times New Roman" w:cs="Times New Roman" w:eastAsiaTheme="minorEastAsia"/>
                <w:b/>
                <w:kern w:val="0"/>
                <w:sz w:val="24"/>
                <w:szCs w:val="24"/>
              </w:rPr>
            </w:pPr>
            <w:r>
              <w:rPr>
                <w:rFonts w:ascii="Times New Roman" w:hAnsi="Times New Roman" w:cs="Times New Roman" w:eastAsiaTheme="minorEastAsia"/>
                <w:b/>
                <w:kern w:val="0"/>
                <w:sz w:val="24"/>
                <w:szCs w:val="24"/>
              </w:rPr>
              <w:t>类别</w:t>
            </w:r>
          </w:p>
        </w:tc>
        <w:tc>
          <w:tcPr>
            <w:tcW w:w="3657" w:type="dxa"/>
            <w:vAlign w:val="center"/>
          </w:tcPr>
          <w:p>
            <w:pPr>
              <w:adjustRightInd w:val="0"/>
              <w:snapToGrid w:val="0"/>
              <w:spacing w:line="340" w:lineRule="exact"/>
              <w:jc w:val="center"/>
              <w:rPr>
                <w:rFonts w:ascii="Times New Roman" w:hAnsi="Times New Roman" w:cs="Times New Roman" w:eastAsiaTheme="minorEastAsia"/>
                <w:b/>
                <w:kern w:val="0"/>
                <w:sz w:val="24"/>
                <w:szCs w:val="24"/>
              </w:rPr>
            </w:pPr>
            <w:r>
              <w:rPr>
                <w:rFonts w:ascii="Times New Roman" w:hAnsi="Times New Roman" w:cs="Times New Roman" w:eastAsiaTheme="minorEastAsia"/>
                <w:b/>
                <w:kern w:val="0"/>
                <w:sz w:val="24"/>
                <w:szCs w:val="24"/>
              </w:rPr>
              <w:t>指标名称</w:t>
            </w:r>
          </w:p>
        </w:tc>
        <w:tc>
          <w:tcPr>
            <w:tcW w:w="1163" w:type="dxa"/>
            <w:vAlign w:val="center"/>
          </w:tcPr>
          <w:p>
            <w:pPr>
              <w:adjustRightInd w:val="0"/>
              <w:snapToGrid w:val="0"/>
              <w:spacing w:line="340" w:lineRule="exact"/>
              <w:jc w:val="center"/>
              <w:rPr>
                <w:rFonts w:ascii="Times New Roman" w:hAnsi="Times New Roman" w:cs="Times New Roman" w:eastAsiaTheme="minorEastAsia"/>
                <w:b/>
                <w:kern w:val="0"/>
                <w:sz w:val="24"/>
                <w:szCs w:val="24"/>
              </w:rPr>
            </w:pPr>
            <w:r>
              <w:rPr>
                <w:rFonts w:ascii="Times New Roman" w:hAnsi="Times New Roman" w:cs="Times New Roman" w:eastAsiaTheme="minorEastAsia"/>
                <w:b/>
                <w:kern w:val="0"/>
                <w:sz w:val="24"/>
                <w:szCs w:val="24"/>
              </w:rPr>
              <w:t>2020年</w:t>
            </w:r>
          </w:p>
        </w:tc>
        <w:tc>
          <w:tcPr>
            <w:tcW w:w="1100" w:type="dxa"/>
            <w:vAlign w:val="center"/>
          </w:tcPr>
          <w:p>
            <w:pPr>
              <w:adjustRightInd w:val="0"/>
              <w:snapToGrid w:val="0"/>
              <w:spacing w:line="340" w:lineRule="exact"/>
              <w:jc w:val="center"/>
              <w:rPr>
                <w:rFonts w:ascii="Times New Roman" w:hAnsi="Times New Roman" w:cs="Times New Roman" w:eastAsiaTheme="minorEastAsia"/>
                <w:b/>
                <w:kern w:val="0"/>
                <w:sz w:val="24"/>
                <w:szCs w:val="24"/>
              </w:rPr>
            </w:pPr>
            <w:r>
              <w:rPr>
                <w:rFonts w:ascii="Times New Roman" w:hAnsi="Times New Roman" w:cs="Times New Roman" w:eastAsiaTheme="minorEastAsia"/>
                <w:b/>
                <w:kern w:val="0"/>
                <w:sz w:val="24"/>
                <w:szCs w:val="24"/>
              </w:rPr>
              <w:t>2025年</w:t>
            </w:r>
          </w:p>
        </w:tc>
        <w:tc>
          <w:tcPr>
            <w:tcW w:w="1063" w:type="dxa"/>
            <w:vAlign w:val="center"/>
          </w:tcPr>
          <w:p>
            <w:pPr>
              <w:adjustRightInd w:val="0"/>
              <w:snapToGrid w:val="0"/>
              <w:spacing w:line="340" w:lineRule="exact"/>
              <w:jc w:val="center"/>
              <w:rPr>
                <w:rFonts w:ascii="Times New Roman" w:hAnsi="Times New Roman" w:cs="Times New Roman" w:eastAsiaTheme="minorEastAsia"/>
                <w:b/>
                <w:kern w:val="0"/>
                <w:sz w:val="24"/>
                <w:szCs w:val="24"/>
              </w:rPr>
            </w:pPr>
            <w:r>
              <w:rPr>
                <w:rFonts w:ascii="Times New Roman" w:hAnsi="Times New Roman" w:cs="Times New Roman" w:eastAsiaTheme="minorEastAsia"/>
                <w:b/>
                <w:kern w:val="0"/>
                <w:sz w:val="24"/>
                <w:szCs w:val="24"/>
              </w:rPr>
              <w:t>指标</w:t>
            </w:r>
          </w:p>
          <w:p>
            <w:pPr>
              <w:adjustRightInd w:val="0"/>
              <w:snapToGrid w:val="0"/>
              <w:spacing w:line="340" w:lineRule="exact"/>
              <w:jc w:val="center"/>
              <w:rPr>
                <w:rFonts w:ascii="Times New Roman" w:hAnsi="Times New Roman" w:cs="Times New Roman" w:eastAsiaTheme="minorEastAsia"/>
                <w:b/>
                <w:kern w:val="0"/>
                <w:sz w:val="24"/>
                <w:szCs w:val="24"/>
              </w:rPr>
            </w:pPr>
            <w:r>
              <w:rPr>
                <w:rFonts w:ascii="Times New Roman" w:hAnsi="Times New Roman" w:cs="Times New Roman" w:eastAsiaTheme="minorEastAsia"/>
                <w:b/>
                <w:kern w:val="0"/>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1</w:t>
            </w:r>
          </w:p>
        </w:tc>
        <w:tc>
          <w:tcPr>
            <w:tcW w:w="1140" w:type="dxa"/>
            <w:vMerge w:val="restart"/>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婴幼儿照护服务</w:t>
            </w:r>
          </w:p>
        </w:tc>
        <w:tc>
          <w:tcPr>
            <w:tcW w:w="3657" w:type="dxa"/>
            <w:vAlign w:val="center"/>
          </w:tcPr>
          <w:p>
            <w:pPr>
              <w:adjustRightInd w:val="0"/>
              <w:snapToGrid w:val="0"/>
              <w:spacing w:line="340" w:lineRule="exact"/>
              <w:jc w:val="left"/>
              <w:rPr>
                <w:rFonts w:ascii="Times New Roman" w:hAnsi="Times New Roman" w:cs="Times New Roman" w:eastAsiaTheme="minorEastAsia"/>
                <w:spacing w:val="-20"/>
                <w:kern w:val="0"/>
                <w:sz w:val="24"/>
                <w:szCs w:val="24"/>
              </w:rPr>
            </w:pPr>
            <w:r>
              <w:rPr>
                <w:rFonts w:ascii="Times New Roman" w:hAnsi="Times New Roman" w:cs="Times New Roman" w:eastAsiaTheme="minorEastAsia"/>
                <w:spacing w:val="-20"/>
                <w:kern w:val="0"/>
                <w:sz w:val="24"/>
                <w:szCs w:val="24"/>
              </w:rPr>
              <w:t>每千人口拥有3岁以下婴幼儿托位数（个）</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0.8</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≧4.5</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2</w:t>
            </w:r>
          </w:p>
        </w:tc>
        <w:tc>
          <w:tcPr>
            <w:tcW w:w="1140" w:type="dxa"/>
            <w:vMerge w:val="continue"/>
            <w:vAlign w:val="center"/>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vAlign w:val="center"/>
          </w:tcPr>
          <w:p>
            <w:pPr>
              <w:adjustRightInd w:val="0"/>
              <w:snapToGrid w:val="0"/>
              <w:spacing w:line="340" w:lineRule="exact"/>
              <w:jc w:val="lef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孤儿和事实无人抚养儿童保障覆盖率</w:t>
            </w:r>
            <w:r>
              <w:rPr>
                <w:rFonts w:ascii="Times New Roman" w:hAnsi="Times New Roman" w:cs="Times New Roman" w:eastAsiaTheme="minorEastAsia"/>
                <w:kern w:val="0"/>
                <w:sz w:val="24"/>
                <w:szCs w:val="24"/>
              </w:rPr>
              <w:tab/>
            </w:r>
          </w:p>
        </w:tc>
        <w:tc>
          <w:tcPr>
            <w:tcW w:w="1163" w:type="dxa"/>
            <w:vAlign w:val="center"/>
          </w:tcPr>
          <w:p>
            <w:pPr>
              <w:widowControl/>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w:t>
            </w:r>
          </w:p>
        </w:tc>
        <w:tc>
          <w:tcPr>
            <w:tcW w:w="1100" w:type="dxa"/>
            <w:vAlign w:val="center"/>
          </w:tcPr>
          <w:p>
            <w:pPr>
              <w:widowControl/>
              <w:spacing w:line="34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应保</w:t>
            </w:r>
          </w:p>
          <w:p>
            <w:pPr>
              <w:widowControl/>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尽保</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3</w:t>
            </w:r>
          </w:p>
        </w:tc>
        <w:tc>
          <w:tcPr>
            <w:tcW w:w="1140" w:type="dxa"/>
            <w:vMerge w:val="continue"/>
            <w:vAlign w:val="center"/>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vAlign w:val="center"/>
          </w:tcPr>
          <w:p>
            <w:pPr>
              <w:adjustRightInd w:val="0"/>
              <w:snapToGrid w:val="0"/>
              <w:spacing w:line="340" w:lineRule="exact"/>
              <w:jc w:val="lef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3岁以下儿童系统管理率（%）</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92.27</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≧94</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4</w:t>
            </w:r>
          </w:p>
        </w:tc>
        <w:tc>
          <w:tcPr>
            <w:tcW w:w="1140" w:type="dxa"/>
            <w:vMerge w:val="restart"/>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现代教 育服务</w:t>
            </w:r>
          </w:p>
        </w:tc>
        <w:tc>
          <w:tcPr>
            <w:tcW w:w="3657" w:type="dxa"/>
            <w:vAlign w:val="center"/>
          </w:tcPr>
          <w:p>
            <w:pPr>
              <w:adjustRightInd w:val="0"/>
              <w:snapToGrid w:val="0"/>
              <w:spacing w:line="340" w:lineRule="exact"/>
              <w:jc w:val="left"/>
              <w:rPr>
                <w:rFonts w:ascii="Times New Roman" w:hAnsi="Times New Roman" w:cs="Times New Roman" w:eastAsiaTheme="minorEastAsia"/>
                <w:spacing w:val="-14"/>
                <w:kern w:val="0"/>
                <w:sz w:val="24"/>
                <w:szCs w:val="24"/>
              </w:rPr>
            </w:pPr>
            <w:r>
              <w:rPr>
                <w:rFonts w:ascii="Times New Roman" w:hAnsi="Times New Roman" w:cs="Times New Roman" w:eastAsiaTheme="minorEastAsia"/>
                <w:kern w:val="0"/>
                <w:sz w:val="24"/>
                <w:szCs w:val="24"/>
              </w:rPr>
              <w:t>普惠性幼儿园覆盖率（%）</w:t>
            </w:r>
          </w:p>
        </w:tc>
        <w:tc>
          <w:tcPr>
            <w:tcW w:w="1163" w:type="dxa"/>
            <w:vAlign w:val="center"/>
          </w:tcPr>
          <w:p>
            <w:pPr>
              <w:widowControl/>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80.6</w:t>
            </w:r>
          </w:p>
        </w:tc>
        <w:tc>
          <w:tcPr>
            <w:tcW w:w="1100" w:type="dxa"/>
            <w:vAlign w:val="center"/>
          </w:tcPr>
          <w:p>
            <w:pPr>
              <w:widowControl/>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≧90</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5</w:t>
            </w:r>
          </w:p>
        </w:tc>
        <w:tc>
          <w:tcPr>
            <w:tcW w:w="1140" w:type="dxa"/>
            <w:vMerge w:val="continue"/>
            <w:vAlign w:val="center"/>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vAlign w:val="center"/>
          </w:tcPr>
          <w:p>
            <w:pPr>
              <w:adjustRightInd w:val="0"/>
              <w:snapToGrid w:val="0"/>
              <w:spacing w:line="340" w:lineRule="exac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学前教育毛入园率（%）</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100</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100</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6</w:t>
            </w:r>
          </w:p>
        </w:tc>
        <w:tc>
          <w:tcPr>
            <w:tcW w:w="1140" w:type="dxa"/>
            <w:vMerge w:val="continue"/>
            <w:vAlign w:val="center"/>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vAlign w:val="center"/>
          </w:tcPr>
          <w:p>
            <w:pPr>
              <w:adjustRightInd w:val="0"/>
              <w:snapToGrid w:val="0"/>
              <w:spacing w:line="340" w:lineRule="exac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九年义务教育巩固率（%）</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100</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100</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7</w:t>
            </w:r>
          </w:p>
        </w:tc>
        <w:tc>
          <w:tcPr>
            <w:tcW w:w="1140" w:type="dxa"/>
            <w:vMerge w:val="continue"/>
            <w:vAlign w:val="center"/>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vAlign w:val="center"/>
          </w:tcPr>
          <w:p>
            <w:pPr>
              <w:adjustRightInd w:val="0"/>
              <w:snapToGrid w:val="0"/>
              <w:spacing w:line="340" w:lineRule="exac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高中阶段教育毛入学率（%）</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100</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100</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8</w:t>
            </w:r>
          </w:p>
        </w:tc>
        <w:tc>
          <w:tcPr>
            <w:tcW w:w="1140" w:type="dxa"/>
            <w:vMerge w:val="continue"/>
            <w:vAlign w:val="center"/>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vAlign w:val="center"/>
          </w:tcPr>
          <w:p>
            <w:pPr>
              <w:adjustRightInd w:val="0"/>
              <w:snapToGrid w:val="0"/>
              <w:spacing w:line="340" w:lineRule="exact"/>
              <w:jc w:val="lef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劳动年龄人口平均受教育年限（年）</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12.8</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13</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9</w:t>
            </w:r>
          </w:p>
        </w:tc>
        <w:tc>
          <w:tcPr>
            <w:tcW w:w="1140" w:type="dxa"/>
            <w:vMerge w:val="restart"/>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就业创业服务</w:t>
            </w:r>
          </w:p>
        </w:tc>
        <w:tc>
          <w:tcPr>
            <w:tcW w:w="3657" w:type="dxa"/>
            <w:vAlign w:val="center"/>
          </w:tcPr>
          <w:p>
            <w:pPr>
              <w:adjustRightInd w:val="0"/>
              <w:snapToGrid w:val="0"/>
              <w:spacing w:line="340" w:lineRule="exact"/>
              <w:jc w:val="lef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城镇新增就业人数（万人）</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【32.4】</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w:t>
            </w:r>
            <w:r>
              <w:rPr>
                <w:rFonts w:ascii="Times New Roman" w:hAnsi="Times New Roman" w:cs="Times New Roman" w:eastAsiaTheme="minorEastAsia"/>
                <w:kern w:val="0"/>
                <w:sz w:val="24"/>
                <w:szCs w:val="24"/>
              </w:rPr>
              <w:t>15</w:t>
            </w:r>
            <w:r>
              <w:rPr>
                <w:rFonts w:ascii="Times New Roman" w:hAnsi="Times New Roman" w:eastAsia="方正仿宋_GBK" w:cs="Times New Roman"/>
                <w:kern w:val="0"/>
                <w:sz w:val="24"/>
                <w:szCs w:val="24"/>
              </w:rPr>
              <w:t>】</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10</w:t>
            </w:r>
          </w:p>
        </w:tc>
        <w:tc>
          <w:tcPr>
            <w:tcW w:w="1140" w:type="dxa"/>
            <w:vMerge w:val="continue"/>
            <w:vAlign w:val="center"/>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vAlign w:val="center"/>
          </w:tcPr>
          <w:p>
            <w:pPr>
              <w:adjustRightInd w:val="0"/>
              <w:snapToGrid w:val="0"/>
              <w:spacing w:line="340" w:lineRule="exac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城镇调查失业率（%）</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＜5.5</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spacing w:line="340" w:lineRule="exact"/>
              <w:jc w:val="center"/>
              <w:rPr>
                <w:rFonts w:ascii="Times New Roman" w:hAnsi="Times New Roman" w:cs="Times New Roman" w:eastAsiaTheme="minorEastAsia"/>
                <w:sz w:val="24"/>
                <w:szCs w:val="24"/>
              </w:rPr>
            </w:pPr>
            <w:r>
              <w:rPr>
                <w:rFonts w:ascii="Times New Roman" w:hAnsi="Times New Roman" w:cs="Times New Roman" w:eastAsiaTheme="minorEastAsia"/>
                <w:kern w:val="0"/>
                <w:sz w:val="24"/>
                <w:szCs w:val="24"/>
              </w:rPr>
              <w:t>11</w:t>
            </w:r>
          </w:p>
        </w:tc>
        <w:tc>
          <w:tcPr>
            <w:tcW w:w="1140" w:type="dxa"/>
            <w:vMerge w:val="continue"/>
            <w:vAlign w:val="center"/>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vAlign w:val="center"/>
          </w:tcPr>
          <w:p>
            <w:pPr>
              <w:adjustRightInd w:val="0"/>
              <w:snapToGrid w:val="0"/>
              <w:spacing w:line="340" w:lineRule="exact"/>
              <w:jc w:val="lef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参加各类补贴性职业技能培训人次（万人次）</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【4.33】</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w:t>
            </w:r>
            <w:r>
              <w:rPr>
                <w:rFonts w:ascii="Times New Roman" w:hAnsi="Times New Roman" w:cs="Times New Roman" w:eastAsiaTheme="minorEastAsia"/>
                <w:kern w:val="0"/>
                <w:sz w:val="24"/>
                <w:szCs w:val="24"/>
              </w:rPr>
              <w:t>3.7</w:t>
            </w:r>
            <w:r>
              <w:rPr>
                <w:rFonts w:ascii="Times New Roman" w:hAnsi="Times New Roman" w:eastAsia="方正仿宋_GBK" w:cs="Times New Roman"/>
                <w:kern w:val="0"/>
                <w:sz w:val="24"/>
                <w:szCs w:val="24"/>
              </w:rPr>
              <w:t>】</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12</w:t>
            </w:r>
          </w:p>
        </w:tc>
        <w:tc>
          <w:tcPr>
            <w:tcW w:w="1140" w:type="dxa"/>
            <w:vMerge w:val="restart"/>
            <w:vAlign w:val="center"/>
          </w:tcPr>
          <w:p>
            <w:pPr>
              <w:adjustRightInd w:val="0"/>
              <w:snapToGrid w:val="0"/>
              <w:spacing w:line="340" w:lineRule="exact"/>
              <w:jc w:val="center"/>
              <w:rPr>
                <w:rFonts w:ascii="Times New Roman" w:hAnsi="Times New Roman" w:cs="Times New Roman" w:eastAsiaTheme="minorEastAsia"/>
                <w:kern w:val="0"/>
                <w:sz w:val="24"/>
                <w:szCs w:val="24"/>
              </w:rPr>
            </w:pPr>
          </w:p>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卫生健康服务</w:t>
            </w:r>
          </w:p>
        </w:tc>
        <w:tc>
          <w:tcPr>
            <w:tcW w:w="3657" w:type="dxa"/>
            <w:vAlign w:val="center"/>
          </w:tcPr>
          <w:p>
            <w:pPr>
              <w:adjustRightInd w:val="0"/>
              <w:snapToGrid w:val="0"/>
              <w:spacing w:line="340" w:lineRule="exac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人口平均预期寿命（岁）</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79.19</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79.5</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13</w:t>
            </w:r>
          </w:p>
        </w:tc>
        <w:tc>
          <w:tcPr>
            <w:tcW w:w="1140" w:type="dxa"/>
            <w:vMerge w:val="continue"/>
          </w:tcPr>
          <w:p>
            <w:pPr>
              <w:adjustRightInd w:val="0"/>
              <w:snapToGrid w:val="0"/>
              <w:spacing w:line="340" w:lineRule="exact"/>
              <w:jc w:val="left"/>
              <w:rPr>
                <w:rFonts w:ascii="Times New Roman" w:hAnsi="Times New Roman" w:cs="Times New Roman" w:eastAsiaTheme="minorEastAsia"/>
                <w:kern w:val="0"/>
                <w:sz w:val="24"/>
                <w:szCs w:val="24"/>
              </w:rPr>
            </w:pPr>
          </w:p>
        </w:tc>
        <w:tc>
          <w:tcPr>
            <w:tcW w:w="3657" w:type="dxa"/>
            <w:vAlign w:val="center"/>
          </w:tcPr>
          <w:p>
            <w:pPr>
              <w:adjustRightInd w:val="0"/>
              <w:snapToGrid w:val="0"/>
              <w:spacing w:line="340" w:lineRule="exac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居民健康素养水平（%）</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25</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≧30</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14</w:t>
            </w:r>
          </w:p>
        </w:tc>
        <w:tc>
          <w:tcPr>
            <w:tcW w:w="1140" w:type="dxa"/>
            <w:vMerge w:val="continue"/>
          </w:tcPr>
          <w:p>
            <w:pPr>
              <w:adjustRightInd w:val="0"/>
              <w:snapToGrid w:val="0"/>
              <w:spacing w:line="340" w:lineRule="exact"/>
              <w:jc w:val="left"/>
              <w:rPr>
                <w:rFonts w:ascii="Times New Roman" w:hAnsi="Times New Roman" w:cs="Times New Roman" w:eastAsiaTheme="minorEastAsia"/>
                <w:kern w:val="0"/>
                <w:sz w:val="24"/>
                <w:szCs w:val="24"/>
              </w:rPr>
            </w:pPr>
          </w:p>
        </w:tc>
        <w:tc>
          <w:tcPr>
            <w:tcW w:w="3657" w:type="dxa"/>
            <w:vAlign w:val="center"/>
          </w:tcPr>
          <w:p>
            <w:pPr>
              <w:adjustRightInd w:val="0"/>
              <w:snapToGrid w:val="0"/>
              <w:spacing w:line="340" w:lineRule="exac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每千人口拥有注册护士数（人）</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8.66</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≧9</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15</w:t>
            </w:r>
          </w:p>
        </w:tc>
        <w:tc>
          <w:tcPr>
            <w:tcW w:w="1140" w:type="dxa"/>
            <w:vMerge w:val="continue"/>
          </w:tcPr>
          <w:p>
            <w:pPr>
              <w:adjustRightInd w:val="0"/>
              <w:snapToGrid w:val="0"/>
              <w:spacing w:line="340" w:lineRule="exact"/>
              <w:jc w:val="left"/>
              <w:rPr>
                <w:rFonts w:ascii="Times New Roman" w:hAnsi="Times New Roman" w:cs="Times New Roman" w:eastAsiaTheme="minorEastAsia"/>
                <w:kern w:val="0"/>
                <w:sz w:val="24"/>
                <w:szCs w:val="24"/>
              </w:rPr>
            </w:pPr>
          </w:p>
        </w:tc>
        <w:tc>
          <w:tcPr>
            <w:tcW w:w="3657" w:type="dxa"/>
            <w:vAlign w:val="center"/>
          </w:tcPr>
          <w:p>
            <w:pPr>
              <w:adjustRightInd w:val="0"/>
              <w:snapToGrid w:val="0"/>
              <w:spacing w:line="340" w:lineRule="exac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每万人口拥有全科医师数（人）</w:t>
            </w:r>
          </w:p>
        </w:tc>
        <w:tc>
          <w:tcPr>
            <w:tcW w:w="1163" w:type="dxa"/>
            <w:vAlign w:val="center"/>
          </w:tcPr>
          <w:p>
            <w:pPr>
              <w:adjustRightInd w:val="0"/>
              <w:snapToGrid w:val="0"/>
              <w:spacing w:line="340" w:lineRule="exact"/>
              <w:ind w:firstLine="240" w:firstLineChars="100"/>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2.01</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kern w:val="0"/>
                <w:sz w:val="24"/>
                <w:szCs w:val="24"/>
              </w:rPr>
              <w:t>≧</w:t>
            </w:r>
            <w:r>
              <w:rPr>
                <w:rFonts w:ascii="Times New Roman" w:hAnsi="Times New Roman" w:eastAsia="方正仿宋_GBK" w:cs="Times New Roman"/>
                <w:kern w:val="0"/>
                <w:sz w:val="24"/>
                <w:szCs w:val="24"/>
              </w:rPr>
              <w:t>4</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16</w:t>
            </w:r>
          </w:p>
        </w:tc>
        <w:tc>
          <w:tcPr>
            <w:tcW w:w="1140" w:type="dxa"/>
            <w:vMerge w:val="continue"/>
          </w:tcPr>
          <w:p>
            <w:pPr>
              <w:adjustRightInd w:val="0"/>
              <w:snapToGrid w:val="0"/>
              <w:spacing w:line="340" w:lineRule="exact"/>
              <w:jc w:val="left"/>
              <w:rPr>
                <w:rFonts w:ascii="Times New Roman" w:hAnsi="Times New Roman" w:cs="Times New Roman" w:eastAsiaTheme="minorEastAsia"/>
                <w:kern w:val="0"/>
                <w:sz w:val="24"/>
                <w:szCs w:val="24"/>
              </w:rPr>
            </w:pPr>
          </w:p>
        </w:tc>
        <w:tc>
          <w:tcPr>
            <w:tcW w:w="3657" w:type="dxa"/>
            <w:vAlign w:val="center"/>
          </w:tcPr>
          <w:p>
            <w:pPr>
              <w:adjustRightInd w:val="0"/>
              <w:snapToGrid w:val="0"/>
              <w:spacing w:line="340" w:lineRule="exac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每千常住人口拥有执业（助理）医师数（人）</w:t>
            </w:r>
          </w:p>
        </w:tc>
        <w:tc>
          <w:tcPr>
            <w:tcW w:w="1163" w:type="dxa"/>
            <w:vAlign w:val="center"/>
          </w:tcPr>
          <w:p>
            <w:pPr>
              <w:adjustRightInd w:val="0"/>
              <w:snapToGrid w:val="0"/>
              <w:spacing w:line="340" w:lineRule="exact"/>
              <w:ind w:firstLine="240" w:firstLineChars="100"/>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5.62</w:t>
            </w:r>
          </w:p>
        </w:tc>
        <w:tc>
          <w:tcPr>
            <w:tcW w:w="1100" w:type="dxa"/>
            <w:vAlign w:val="center"/>
          </w:tcPr>
          <w:p>
            <w:pPr>
              <w:adjustRightInd w:val="0"/>
              <w:snapToGrid w:val="0"/>
              <w:spacing w:line="340" w:lineRule="exact"/>
              <w:ind w:firstLine="240" w:firstLineChars="100"/>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6.1</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17</w:t>
            </w:r>
          </w:p>
        </w:tc>
        <w:tc>
          <w:tcPr>
            <w:tcW w:w="1140" w:type="dxa"/>
            <w:vMerge w:val="restart"/>
            <w:tcBorders>
              <w:top w:val="single" w:color="auto" w:sz="4" w:space="0"/>
              <w:left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养老服务</w:t>
            </w:r>
          </w:p>
        </w:tc>
        <w:tc>
          <w:tcPr>
            <w:tcW w:w="3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养老服务床位总量（张）</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2777</w:t>
            </w:r>
          </w:p>
        </w:tc>
        <w:tc>
          <w:tcPr>
            <w:tcW w:w="1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6650</w:t>
            </w:r>
          </w:p>
        </w:tc>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18</w:t>
            </w:r>
          </w:p>
        </w:tc>
        <w:tc>
          <w:tcPr>
            <w:tcW w:w="1140" w:type="dxa"/>
            <w:vMerge w:val="continue"/>
            <w:tcBorders>
              <w:left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养老机构护理型床位占比（%）</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36</w:t>
            </w:r>
          </w:p>
        </w:tc>
        <w:tc>
          <w:tcPr>
            <w:tcW w:w="1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kern w:val="0"/>
                <w:sz w:val="24"/>
                <w:szCs w:val="24"/>
              </w:rPr>
              <w:t>≧</w:t>
            </w:r>
            <w:r>
              <w:rPr>
                <w:rFonts w:ascii="Times New Roman" w:hAnsi="Times New Roman" w:eastAsia="方正仿宋_GBK" w:cs="Times New Roman"/>
                <w:kern w:val="0"/>
                <w:sz w:val="24"/>
                <w:szCs w:val="24"/>
              </w:rPr>
              <w:t>80</w:t>
            </w:r>
          </w:p>
        </w:tc>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19</w:t>
            </w:r>
          </w:p>
        </w:tc>
        <w:tc>
          <w:tcPr>
            <w:tcW w:w="1140" w:type="dxa"/>
            <w:vMerge w:val="continue"/>
            <w:tcBorders>
              <w:left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养老机构服务基本质量达标率（%）</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90.48</w:t>
            </w:r>
          </w:p>
        </w:tc>
        <w:tc>
          <w:tcPr>
            <w:tcW w:w="1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100</w:t>
            </w:r>
          </w:p>
        </w:tc>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20</w:t>
            </w:r>
          </w:p>
        </w:tc>
        <w:tc>
          <w:tcPr>
            <w:tcW w:w="1140" w:type="dxa"/>
            <w:vMerge w:val="continue"/>
            <w:tcBorders>
              <w:left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left"/>
              <w:rPr>
                <w:rFonts w:ascii="Times New Roman" w:hAnsi="Times New Roman" w:cs="Times New Roman" w:eastAsiaTheme="minorEastAsia"/>
                <w:sz w:val="24"/>
                <w:szCs w:val="24"/>
                <w:lang w:bidi="ar"/>
              </w:rPr>
            </w:pPr>
            <w:r>
              <w:rPr>
                <w:rFonts w:ascii="Times New Roman" w:hAnsi="Times New Roman" w:cs="Times New Roman" w:eastAsiaTheme="minorEastAsia"/>
                <w:kern w:val="0"/>
                <w:sz w:val="24"/>
                <w:szCs w:val="24"/>
                <w:lang w:bidi="ar"/>
              </w:rPr>
              <w:t>新建城区、新建居住区配套建设养老服务设施达标率（%）</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lang w:bidi="ar"/>
              </w:rPr>
              <w:t>100</w:t>
            </w:r>
          </w:p>
        </w:tc>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sz w:val="24"/>
                <w:szCs w:val="24"/>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jc w:val="center"/>
        </w:trPr>
        <w:tc>
          <w:tcPr>
            <w:tcW w:w="7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21</w:t>
            </w:r>
          </w:p>
        </w:tc>
        <w:tc>
          <w:tcPr>
            <w:tcW w:w="1140" w:type="dxa"/>
            <w:vMerge w:val="continue"/>
            <w:tcBorders>
              <w:left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left"/>
              <w:rPr>
                <w:rFonts w:ascii="Times New Roman" w:hAnsi="Times New Roman" w:cs="Times New Roman" w:eastAsiaTheme="minorEastAsia"/>
                <w:kern w:val="0"/>
                <w:sz w:val="24"/>
                <w:szCs w:val="24"/>
                <w:lang w:bidi="ar"/>
              </w:rPr>
            </w:pPr>
            <w:r>
              <w:rPr>
                <w:rFonts w:ascii="Times New Roman" w:hAnsi="Times New Roman" w:cs="Times New Roman" w:eastAsiaTheme="minorEastAsia"/>
                <w:kern w:val="0"/>
                <w:sz w:val="24"/>
                <w:szCs w:val="24"/>
                <w:lang w:bidi="ar"/>
              </w:rPr>
              <w:t>医疗机构与养老机构签约率（%）</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kern w:val="0"/>
                <w:sz w:val="24"/>
                <w:szCs w:val="24"/>
                <w:lang w:bidi="ar"/>
              </w:rPr>
            </w:pPr>
            <w:r>
              <w:rPr>
                <w:rFonts w:ascii="Times New Roman" w:hAnsi="Times New Roman" w:cs="Times New Roman" w:eastAsiaTheme="minorEastAsia"/>
                <w:kern w:val="0"/>
                <w:sz w:val="24"/>
                <w:szCs w:val="24"/>
                <w:lang w:bidi="ar"/>
              </w:rPr>
              <w:t>100</w:t>
            </w:r>
          </w:p>
        </w:tc>
        <w:tc>
          <w:tcPr>
            <w:tcW w:w="1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kern w:val="0"/>
                <w:sz w:val="24"/>
                <w:szCs w:val="24"/>
                <w:lang w:bidi="ar"/>
              </w:rPr>
            </w:pPr>
            <w:r>
              <w:rPr>
                <w:rFonts w:ascii="Times New Roman" w:hAnsi="Times New Roman" w:eastAsia="方正仿宋_GBK" w:cs="Times New Roman"/>
                <w:kern w:val="0"/>
                <w:sz w:val="24"/>
                <w:szCs w:val="24"/>
                <w:lang w:bidi="ar"/>
              </w:rPr>
              <w:t>100</w:t>
            </w:r>
          </w:p>
        </w:tc>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sz w:val="24"/>
                <w:szCs w:val="24"/>
                <w:lang w:bidi="ar"/>
              </w:rPr>
            </w:pPr>
            <w:r>
              <w:rPr>
                <w:rFonts w:ascii="Times New Roman" w:hAnsi="Times New Roman" w:cs="Times New Roman" w:eastAsiaTheme="minorEastAsia"/>
                <w:sz w:val="24"/>
                <w:szCs w:val="24"/>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exact"/>
          <w:jc w:val="center"/>
        </w:trPr>
        <w:tc>
          <w:tcPr>
            <w:tcW w:w="7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22</w:t>
            </w:r>
          </w:p>
        </w:tc>
        <w:tc>
          <w:tcPr>
            <w:tcW w:w="1140" w:type="dxa"/>
            <w:vMerge w:val="continue"/>
            <w:tcBorders>
              <w:left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left"/>
              <w:rPr>
                <w:rFonts w:ascii="Times New Roman" w:hAnsi="Times New Roman" w:cs="Times New Roman" w:eastAsiaTheme="minorEastAsia"/>
                <w:kern w:val="0"/>
                <w:sz w:val="24"/>
                <w:szCs w:val="24"/>
                <w:lang w:bidi="ar"/>
              </w:rPr>
            </w:pPr>
            <w:r>
              <w:rPr>
                <w:rFonts w:ascii="Times New Roman" w:hAnsi="Times New Roman" w:cs="Times New Roman" w:eastAsiaTheme="minorEastAsia"/>
                <w:kern w:val="0"/>
                <w:sz w:val="24"/>
                <w:szCs w:val="24"/>
                <w:lang w:bidi="ar"/>
              </w:rPr>
              <w:t>“一刻钟”居家养老服务圈，助餐、助浴、助洁、助行等服务机制覆盖率（%）</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100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100</w:t>
            </w:r>
          </w:p>
        </w:tc>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cs="Times New Roman" w:eastAsiaTheme="minorEastAsia"/>
                <w:sz w:val="24"/>
                <w:szCs w:val="24"/>
                <w:lang w:bidi="ar"/>
              </w:rPr>
            </w:pPr>
            <w:r>
              <w:rPr>
                <w:rFonts w:ascii="Times New Roman" w:hAnsi="Times New Roman" w:cs="Times New Roman" w:eastAsiaTheme="minorEastAsia"/>
                <w:sz w:val="24"/>
                <w:szCs w:val="24"/>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23</w:t>
            </w:r>
          </w:p>
        </w:tc>
        <w:tc>
          <w:tcPr>
            <w:tcW w:w="1140" w:type="dxa"/>
            <w:vMerge w:val="restart"/>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宜居</w:t>
            </w:r>
          </w:p>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保障服务</w:t>
            </w:r>
          </w:p>
        </w:tc>
        <w:tc>
          <w:tcPr>
            <w:tcW w:w="3657" w:type="dxa"/>
            <w:vAlign w:val="center"/>
          </w:tcPr>
          <w:p>
            <w:pPr>
              <w:adjustRightInd w:val="0"/>
              <w:snapToGrid w:val="0"/>
              <w:spacing w:line="340" w:lineRule="exact"/>
              <w:jc w:val="left"/>
              <w:rPr>
                <w:rFonts w:ascii="Times New Roman" w:hAnsi="Times New Roman" w:cs="Times New Roman" w:eastAsiaTheme="minorEastAsia"/>
                <w:kern w:val="0"/>
                <w:sz w:val="24"/>
                <w:szCs w:val="24"/>
                <w:lang w:bidi="ar"/>
              </w:rPr>
            </w:pPr>
            <w:r>
              <w:rPr>
                <w:rFonts w:ascii="Times New Roman" w:hAnsi="Times New Roman" w:cs="Times New Roman" w:eastAsiaTheme="minorEastAsia"/>
                <w:kern w:val="0"/>
                <w:sz w:val="24"/>
                <w:szCs w:val="24"/>
                <w:lang w:bidi="ar"/>
              </w:rPr>
              <w:t>城镇户籍低保、低收入家庭申请公租房的保障率</w:t>
            </w:r>
          </w:p>
        </w:tc>
        <w:tc>
          <w:tcPr>
            <w:tcW w:w="1163" w:type="dxa"/>
            <w:vAlign w:val="center"/>
          </w:tcPr>
          <w:p>
            <w:pPr>
              <w:widowControl/>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w:t>
            </w:r>
          </w:p>
        </w:tc>
        <w:tc>
          <w:tcPr>
            <w:tcW w:w="1100" w:type="dxa"/>
            <w:vAlign w:val="center"/>
          </w:tcPr>
          <w:p>
            <w:pPr>
              <w:adjustRightInd w:val="0"/>
              <w:snapToGrid w:val="0"/>
              <w:spacing w:line="340" w:lineRule="exact"/>
              <w:jc w:val="center"/>
              <w:rPr>
                <w:rFonts w:ascii="Times New Roman" w:hAnsi="Times New Roman" w:eastAsia="方正仿宋_GBK" w:cs="Times New Roman"/>
                <w:sz w:val="24"/>
                <w:szCs w:val="24"/>
                <w:lang w:bidi="ar"/>
              </w:rPr>
            </w:pPr>
            <w:r>
              <w:rPr>
                <w:rFonts w:ascii="Times New Roman" w:hAnsi="Times New Roman" w:eastAsia="方正仿宋_GBK" w:cs="Times New Roman"/>
                <w:sz w:val="24"/>
                <w:szCs w:val="24"/>
                <w:lang w:bidi="ar"/>
              </w:rPr>
              <w:t>应保</w:t>
            </w:r>
          </w:p>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sz w:val="24"/>
                <w:szCs w:val="24"/>
                <w:lang w:bidi="ar"/>
              </w:rPr>
              <w:t>尽保</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sz w:val="24"/>
                <w:szCs w:val="24"/>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24</w:t>
            </w:r>
          </w:p>
        </w:tc>
        <w:tc>
          <w:tcPr>
            <w:tcW w:w="1140" w:type="dxa"/>
            <w:vMerge w:val="continue"/>
            <w:vAlign w:val="center"/>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vAlign w:val="center"/>
          </w:tcPr>
          <w:p>
            <w:pPr>
              <w:adjustRightInd w:val="0"/>
              <w:snapToGrid w:val="0"/>
              <w:spacing w:line="340" w:lineRule="exact"/>
              <w:jc w:val="left"/>
              <w:rPr>
                <w:rFonts w:ascii="Times New Roman" w:hAnsi="Times New Roman" w:cs="Times New Roman" w:eastAsiaTheme="minorEastAsia"/>
                <w:kern w:val="0"/>
                <w:sz w:val="24"/>
                <w:szCs w:val="24"/>
                <w:lang w:bidi="ar"/>
              </w:rPr>
            </w:pPr>
            <w:r>
              <w:rPr>
                <w:rFonts w:ascii="Times New Roman" w:hAnsi="Times New Roman" w:cs="Times New Roman" w:eastAsiaTheme="minorEastAsia"/>
                <w:kern w:val="0"/>
                <w:sz w:val="24"/>
                <w:szCs w:val="24"/>
                <w:lang w:bidi="ar"/>
              </w:rPr>
              <w:t>符合条件的农村低收入群体住房安全保障率</w:t>
            </w:r>
          </w:p>
        </w:tc>
        <w:tc>
          <w:tcPr>
            <w:tcW w:w="1163" w:type="dxa"/>
            <w:vAlign w:val="center"/>
          </w:tcPr>
          <w:p>
            <w:pPr>
              <w:widowControl/>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w:t>
            </w:r>
          </w:p>
        </w:tc>
        <w:tc>
          <w:tcPr>
            <w:tcW w:w="1100" w:type="dxa"/>
            <w:vAlign w:val="center"/>
          </w:tcPr>
          <w:p>
            <w:pPr>
              <w:adjustRightInd w:val="0"/>
              <w:snapToGrid w:val="0"/>
              <w:spacing w:line="340" w:lineRule="exact"/>
              <w:jc w:val="center"/>
              <w:rPr>
                <w:rFonts w:ascii="Times New Roman" w:hAnsi="Times New Roman" w:eastAsia="方正仿宋_GBK" w:cs="Times New Roman"/>
                <w:sz w:val="24"/>
                <w:szCs w:val="24"/>
                <w:lang w:bidi="ar"/>
              </w:rPr>
            </w:pPr>
            <w:r>
              <w:rPr>
                <w:rFonts w:ascii="Times New Roman" w:hAnsi="Times New Roman" w:eastAsia="方正仿宋_GBK" w:cs="Times New Roman"/>
                <w:sz w:val="24"/>
                <w:szCs w:val="24"/>
                <w:lang w:bidi="ar"/>
              </w:rPr>
              <w:t>应保</w:t>
            </w:r>
          </w:p>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sz w:val="24"/>
                <w:szCs w:val="24"/>
                <w:lang w:bidi="ar"/>
              </w:rPr>
              <w:t>尽保</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sz w:val="24"/>
                <w:szCs w:val="24"/>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25</w:t>
            </w:r>
          </w:p>
        </w:tc>
        <w:tc>
          <w:tcPr>
            <w:tcW w:w="1140" w:type="dxa"/>
            <w:vMerge w:val="continue"/>
            <w:vAlign w:val="center"/>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vAlign w:val="center"/>
          </w:tcPr>
          <w:p>
            <w:pPr>
              <w:adjustRightInd w:val="0"/>
              <w:snapToGrid w:val="0"/>
              <w:spacing w:line="340" w:lineRule="exact"/>
              <w:jc w:val="lef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城镇老旧小区改造规模（万平方米）</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386</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26</w:t>
            </w:r>
          </w:p>
        </w:tc>
        <w:tc>
          <w:tcPr>
            <w:tcW w:w="1140" w:type="dxa"/>
            <w:vMerge w:val="restart"/>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社会</w:t>
            </w:r>
          </w:p>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保障服务</w:t>
            </w:r>
          </w:p>
        </w:tc>
        <w:tc>
          <w:tcPr>
            <w:tcW w:w="3657" w:type="dxa"/>
            <w:vAlign w:val="center"/>
          </w:tcPr>
          <w:p>
            <w:pPr>
              <w:adjustRightInd w:val="0"/>
              <w:snapToGrid w:val="0"/>
              <w:spacing w:line="340" w:lineRule="exact"/>
              <w:jc w:val="lef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残疾人生活补贴和重度残疾人护理补贴目标人群覆盖率（%）</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100</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100</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27</w:t>
            </w:r>
          </w:p>
        </w:tc>
        <w:tc>
          <w:tcPr>
            <w:tcW w:w="1140" w:type="dxa"/>
            <w:vMerge w:val="continue"/>
            <w:vAlign w:val="center"/>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vAlign w:val="center"/>
          </w:tcPr>
          <w:p>
            <w:pPr>
              <w:adjustRightInd w:val="0"/>
              <w:snapToGrid w:val="0"/>
              <w:spacing w:line="340" w:lineRule="exac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基本养老保险参保率（%）</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95</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&gt;95</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28</w:t>
            </w:r>
          </w:p>
        </w:tc>
        <w:tc>
          <w:tcPr>
            <w:tcW w:w="1140" w:type="dxa"/>
            <w:vMerge w:val="continue"/>
            <w:vAlign w:val="center"/>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vAlign w:val="center"/>
          </w:tcPr>
          <w:p>
            <w:pPr>
              <w:adjustRightInd w:val="0"/>
              <w:snapToGrid w:val="0"/>
              <w:spacing w:line="340" w:lineRule="exac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基本医疗保险参保率（%）</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95</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&gt;95</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29</w:t>
            </w:r>
          </w:p>
        </w:tc>
        <w:tc>
          <w:tcPr>
            <w:tcW w:w="1140" w:type="dxa"/>
            <w:vMerge w:val="continue"/>
            <w:vAlign w:val="center"/>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vAlign w:val="center"/>
          </w:tcPr>
          <w:p>
            <w:pPr>
              <w:adjustRightInd w:val="0"/>
              <w:snapToGrid w:val="0"/>
              <w:spacing w:line="340" w:lineRule="exac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农村低保标准占城市低保标准比例（%）</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80</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kern w:val="0"/>
                <w:sz w:val="24"/>
                <w:szCs w:val="24"/>
              </w:rPr>
              <w:t>≧</w:t>
            </w:r>
            <w:r>
              <w:rPr>
                <w:rFonts w:ascii="Times New Roman" w:hAnsi="Times New Roman" w:eastAsia="方正仿宋_GBK" w:cs="Times New Roman"/>
                <w:kern w:val="0"/>
                <w:sz w:val="24"/>
                <w:szCs w:val="24"/>
              </w:rPr>
              <w:t>85</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30</w:t>
            </w:r>
          </w:p>
        </w:tc>
        <w:tc>
          <w:tcPr>
            <w:tcW w:w="1140" w:type="dxa"/>
            <w:vMerge w:val="continue"/>
            <w:vAlign w:val="center"/>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申领电子社保卡人口覆盖率（%）</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28.85</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kern w:val="0"/>
                <w:sz w:val="24"/>
                <w:szCs w:val="24"/>
              </w:rPr>
              <w:t>≧</w:t>
            </w:r>
            <w:r>
              <w:rPr>
                <w:rFonts w:ascii="Times New Roman" w:hAnsi="Times New Roman" w:eastAsia="方正仿宋_GBK" w:cs="Times New Roman"/>
                <w:kern w:val="0"/>
                <w:sz w:val="24"/>
                <w:szCs w:val="24"/>
              </w:rPr>
              <w:t>67</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31</w:t>
            </w:r>
          </w:p>
        </w:tc>
        <w:tc>
          <w:tcPr>
            <w:tcW w:w="1140" w:type="dxa"/>
            <w:vMerge w:val="restart"/>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拥军</w:t>
            </w:r>
          </w:p>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优抚服务</w:t>
            </w:r>
          </w:p>
        </w:tc>
        <w:tc>
          <w:tcPr>
            <w:tcW w:w="3657" w:type="dxa"/>
            <w:vAlign w:val="center"/>
          </w:tcPr>
          <w:p>
            <w:pPr>
              <w:adjustRightInd w:val="0"/>
              <w:snapToGrid w:val="0"/>
              <w:spacing w:line="340" w:lineRule="exact"/>
              <w:jc w:val="left"/>
              <w:rPr>
                <w:rFonts w:ascii="Times New Roman" w:hAnsi="Times New Roman" w:cs="Times New Roman" w:eastAsiaTheme="minorEastAsia"/>
                <w:sz w:val="24"/>
                <w:szCs w:val="24"/>
                <w:lang w:bidi="ar"/>
              </w:rPr>
            </w:pPr>
            <w:r>
              <w:rPr>
                <w:rFonts w:ascii="Times New Roman" w:hAnsi="Times New Roman" w:cs="Times New Roman" w:eastAsiaTheme="minorEastAsia"/>
                <w:sz w:val="24"/>
                <w:szCs w:val="24"/>
                <w:lang w:bidi="ar"/>
              </w:rPr>
              <w:t>转业军官和政府安排工作退役士兵安置率（%）</w:t>
            </w:r>
          </w:p>
        </w:tc>
        <w:tc>
          <w:tcPr>
            <w:tcW w:w="1163" w:type="dxa"/>
            <w:vAlign w:val="center"/>
          </w:tcPr>
          <w:p>
            <w:pPr>
              <w:widowControl/>
              <w:adjustRightInd w:val="0"/>
              <w:snapToGrid w:val="0"/>
              <w:spacing w:line="340" w:lineRule="exact"/>
              <w:jc w:val="center"/>
              <w:rPr>
                <w:rFonts w:ascii="Times New Roman" w:hAnsi="Times New Roman" w:cs="Times New Roman" w:eastAsiaTheme="minorEastAsia"/>
                <w:kern w:val="0"/>
                <w:sz w:val="24"/>
                <w:szCs w:val="24"/>
                <w:lang w:bidi="ar"/>
              </w:rPr>
            </w:pPr>
            <w:r>
              <w:rPr>
                <w:rFonts w:ascii="Times New Roman" w:hAnsi="Times New Roman" w:cs="Times New Roman" w:eastAsiaTheme="minorEastAsia"/>
                <w:kern w:val="0"/>
                <w:sz w:val="24"/>
                <w:szCs w:val="24"/>
                <w:lang w:bidi="ar"/>
              </w:rPr>
              <w:t>100</w:t>
            </w:r>
          </w:p>
        </w:tc>
        <w:tc>
          <w:tcPr>
            <w:tcW w:w="1100" w:type="dxa"/>
            <w:vAlign w:val="center"/>
          </w:tcPr>
          <w:p>
            <w:pPr>
              <w:widowControl/>
              <w:adjustRightInd w:val="0"/>
              <w:snapToGrid w:val="0"/>
              <w:spacing w:line="340" w:lineRule="exact"/>
              <w:jc w:val="center"/>
              <w:rPr>
                <w:rFonts w:ascii="Times New Roman" w:hAnsi="Times New Roman" w:cs="Times New Roman" w:eastAsiaTheme="minorEastAsia"/>
                <w:kern w:val="0"/>
                <w:sz w:val="24"/>
                <w:szCs w:val="24"/>
                <w:lang w:bidi="ar"/>
              </w:rPr>
            </w:pPr>
            <w:r>
              <w:rPr>
                <w:rFonts w:ascii="Times New Roman" w:hAnsi="Times New Roman" w:eastAsia="方正仿宋_GBK" w:cs="Times New Roman"/>
                <w:kern w:val="0"/>
                <w:sz w:val="24"/>
                <w:szCs w:val="24"/>
                <w:lang w:bidi="ar"/>
              </w:rPr>
              <w:t>100</w:t>
            </w:r>
          </w:p>
        </w:tc>
        <w:tc>
          <w:tcPr>
            <w:tcW w:w="1063" w:type="dxa"/>
            <w:vAlign w:val="center"/>
          </w:tcPr>
          <w:p>
            <w:pPr>
              <w:adjustRightInd w:val="0"/>
              <w:snapToGrid w:val="0"/>
              <w:spacing w:line="340" w:lineRule="exact"/>
              <w:jc w:val="center"/>
              <w:rPr>
                <w:rFonts w:ascii="Times New Roman" w:hAnsi="Times New Roman" w:cs="Times New Roman" w:eastAsiaTheme="minorEastAsia"/>
                <w:sz w:val="24"/>
                <w:szCs w:val="24"/>
                <w:lang w:bidi="ar"/>
              </w:rPr>
            </w:pPr>
            <w:r>
              <w:rPr>
                <w:rFonts w:ascii="Times New Roman" w:hAnsi="Times New Roman" w:cs="Times New Roman" w:eastAsiaTheme="minorEastAsia"/>
                <w:sz w:val="24"/>
                <w:szCs w:val="24"/>
                <w:lang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32</w:t>
            </w:r>
          </w:p>
        </w:tc>
        <w:tc>
          <w:tcPr>
            <w:tcW w:w="1140" w:type="dxa"/>
            <w:vMerge w:val="continue"/>
            <w:vAlign w:val="center"/>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vAlign w:val="center"/>
          </w:tcPr>
          <w:p>
            <w:pPr>
              <w:adjustRightInd w:val="0"/>
              <w:snapToGrid w:val="0"/>
              <w:spacing w:line="340" w:lineRule="exac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退役军人培训就业率（%）</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≧95</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sz w:val="24"/>
                <w:szCs w:val="24"/>
                <w:lang w:bidi="ar"/>
              </w:rPr>
              <w:t>33</w:t>
            </w:r>
          </w:p>
        </w:tc>
        <w:tc>
          <w:tcPr>
            <w:tcW w:w="1140" w:type="dxa"/>
            <w:vMerge w:val="restart"/>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文化体育服务</w:t>
            </w:r>
          </w:p>
        </w:tc>
        <w:tc>
          <w:tcPr>
            <w:tcW w:w="3657"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spacing w:val="-6"/>
                <w:kern w:val="0"/>
                <w:sz w:val="24"/>
                <w:szCs w:val="24"/>
              </w:rPr>
              <w:t>每万人公共文化设施面积（平方米）</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668.87</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≧800</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sz w:val="24"/>
                <w:szCs w:val="24"/>
                <w:lang w:bidi="ar"/>
              </w:rPr>
            </w:pPr>
            <w:r>
              <w:rPr>
                <w:rFonts w:ascii="Times New Roman" w:hAnsi="Times New Roman" w:cs="Times New Roman" w:eastAsiaTheme="minorEastAsia"/>
                <w:sz w:val="24"/>
                <w:szCs w:val="24"/>
                <w:lang w:bidi="ar"/>
              </w:rPr>
              <w:t>34</w:t>
            </w:r>
          </w:p>
        </w:tc>
        <w:tc>
          <w:tcPr>
            <w:tcW w:w="1140" w:type="dxa"/>
            <w:vMerge w:val="continue"/>
            <w:vAlign w:val="center"/>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tcPr>
          <w:p>
            <w:pPr>
              <w:adjustRightInd w:val="0"/>
              <w:snapToGrid w:val="0"/>
              <w:spacing w:line="340" w:lineRule="exac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每万人接受公共文化设施服务次数（万次）</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≧3.4</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35</w:t>
            </w:r>
          </w:p>
        </w:tc>
        <w:tc>
          <w:tcPr>
            <w:tcW w:w="1140" w:type="dxa"/>
            <w:vMerge w:val="continue"/>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tcPr>
          <w:p>
            <w:pPr>
              <w:adjustRightInd w:val="0"/>
              <w:snapToGrid w:val="0"/>
              <w:spacing w:line="340" w:lineRule="exact"/>
              <w:jc w:val="lef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文化产业增加值占地区生产总值的比重（%）</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6.1</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8</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36</w:t>
            </w:r>
          </w:p>
        </w:tc>
        <w:tc>
          <w:tcPr>
            <w:tcW w:w="1140" w:type="dxa"/>
            <w:vMerge w:val="continue"/>
            <w:vAlign w:val="center"/>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vAlign w:val="center"/>
          </w:tcPr>
          <w:p>
            <w:pPr>
              <w:adjustRightInd w:val="0"/>
              <w:snapToGrid w:val="0"/>
              <w:spacing w:line="340" w:lineRule="exac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人均体育场地面积（平方米）</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1.99</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≧2.2</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37</w:t>
            </w:r>
          </w:p>
        </w:tc>
        <w:tc>
          <w:tcPr>
            <w:tcW w:w="1140" w:type="dxa"/>
            <w:vMerge w:val="continue"/>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tcPr>
          <w:p>
            <w:pPr>
              <w:adjustRightInd w:val="0"/>
              <w:snapToGrid w:val="0"/>
              <w:spacing w:line="340" w:lineRule="exact"/>
              <w:jc w:val="lef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经常参加体育锻炼的人数比例（%）</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46.3</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≧48</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38</w:t>
            </w:r>
          </w:p>
        </w:tc>
        <w:tc>
          <w:tcPr>
            <w:tcW w:w="1140" w:type="dxa"/>
            <w:vMerge w:val="continue"/>
          </w:tcPr>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vAlign w:val="center"/>
          </w:tcPr>
          <w:p>
            <w:pPr>
              <w:adjustRightInd w:val="0"/>
              <w:snapToGrid w:val="0"/>
              <w:spacing w:line="340" w:lineRule="exact"/>
              <w:jc w:val="lef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每百户居民拥有社区综合服务设施面积（</w:t>
            </w:r>
            <w:r>
              <w:rPr>
                <w:rFonts w:ascii="Times New Roman" w:hAnsi="Times New Roman" w:cs="Times New Roman" w:eastAsiaTheme="minorEastAsia"/>
                <w:kern w:val="0"/>
                <w:sz w:val="24"/>
                <w:szCs w:val="24"/>
                <w:lang w:bidi="ar"/>
              </w:rPr>
              <w:t>平方米</w:t>
            </w:r>
            <w:r>
              <w:rPr>
                <w:rFonts w:ascii="Times New Roman" w:hAnsi="Times New Roman" w:cs="Times New Roman" w:eastAsiaTheme="minorEastAsia"/>
                <w:kern w:val="0"/>
                <w:sz w:val="24"/>
                <w:szCs w:val="24"/>
              </w:rPr>
              <w:t>）</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w:t>
            </w:r>
          </w:p>
        </w:tc>
        <w:tc>
          <w:tcPr>
            <w:tcW w:w="1100" w:type="dxa"/>
            <w:vAlign w:val="center"/>
          </w:tcPr>
          <w:p>
            <w:pPr>
              <w:widowControl/>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&gt;30</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39</w:t>
            </w:r>
          </w:p>
        </w:tc>
        <w:tc>
          <w:tcPr>
            <w:tcW w:w="114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生活</w:t>
            </w:r>
          </w:p>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水平</w:t>
            </w:r>
          </w:p>
          <w:p>
            <w:pPr>
              <w:adjustRightInd w:val="0"/>
              <w:snapToGrid w:val="0"/>
              <w:spacing w:line="340" w:lineRule="exact"/>
              <w:jc w:val="center"/>
              <w:rPr>
                <w:rFonts w:ascii="Times New Roman" w:hAnsi="Times New Roman" w:cs="Times New Roman" w:eastAsiaTheme="minorEastAsia"/>
                <w:kern w:val="0"/>
                <w:sz w:val="24"/>
                <w:szCs w:val="24"/>
              </w:rPr>
            </w:pPr>
          </w:p>
        </w:tc>
        <w:tc>
          <w:tcPr>
            <w:tcW w:w="3657" w:type="dxa"/>
            <w:vAlign w:val="center"/>
          </w:tcPr>
          <w:p>
            <w:pPr>
              <w:adjustRightInd w:val="0"/>
              <w:snapToGrid w:val="0"/>
              <w:spacing w:line="340" w:lineRule="exac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城乡居民人均可支配收入比</w:t>
            </w:r>
          </w:p>
        </w:tc>
        <w:tc>
          <w:tcPr>
            <w:tcW w:w="11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1.92:1</w:t>
            </w:r>
          </w:p>
        </w:tc>
        <w:tc>
          <w:tcPr>
            <w:tcW w:w="1100"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eastAsia="方正仿宋_GBK" w:cs="Times New Roman"/>
                <w:kern w:val="0"/>
                <w:sz w:val="24"/>
                <w:szCs w:val="24"/>
              </w:rPr>
              <w:t>1.8:1</w:t>
            </w:r>
          </w:p>
        </w:tc>
        <w:tc>
          <w:tcPr>
            <w:tcW w:w="1063" w:type="dxa"/>
            <w:vAlign w:val="center"/>
          </w:tcPr>
          <w:p>
            <w:pPr>
              <w:adjustRightInd w:val="0"/>
              <w:snapToGrid w:val="0"/>
              <w:spacing w:line="34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预期性</w:t>
            </w:r>
          </w:p>
        </w:tc>
      </w:tr>
    </w:tbl>
    <w:p>
      <w:pPr>
        <w:spacing w:line="320" w:lineRule="exact"/>
        <w:ind w:firstLine="480" w:firstLineChars="200"/>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注：带【】为五年累计数。</w:t>
      </w:r>
    </w:p>
    <w:p>
      <w:pPr>
        <w:tabs>
          <w:tab w:val="left" w:pos="6300"/>
        </w:tabs>
        <w:spacing w:line="360" w:lineRule="auto"/>
        <w:ind w:firstLine="640" w:firstLineChars="200"/>
        <w:contextualSpacing/>
        <w:rPr>
          <w:rFonts w:ascii="Times New Roman" w:hAnsi="Times New Roman" w:cs="Times New Roman"/>
        </w:rPr>
      </w:pPr>
      <w:r>
        <w:rPr>
          <w:rFonts w:ascii="Times New Roman" w:hAnsi="Times New Roman" w:eastAsia="方正仿宋_GBK" w:cs="Times New Roman"/>
          <w:bCs/>
          <w:sz w:val="32"/>
          <w:szCs w:val="32"/>
        </w:rPr>
        <w:t>展望到2035年，全区城乡居民人均收入再迈上新的大台阶，建成文化强区、教育强区、人才强区、体育强区、健康江北，居民素质和社会文明程度达到新高度，公共服务水平达到新高度，人的全面发展、全体人民共同富裕取得更为明显的实质性进展，公共服务实现优质均衡发展，高品质生活充分彰显，全面建成高品质生活示范区。</w:t>
      </w:r>
    </w:p>
    <w:p>
      <w:pPr>
        <w:tabs>
          <w:tab w:val="left" w:pos="6300"/>
        </w:tabs>
        <w:spacing w:line="360" w:lineRule="auto"/>
        <w:jc w:val="center"/>
        <w:outlineLvl w:val="0"/>
        <w:rPr>
          <w:rFonts w:ascii="Times New Roman" w:hAnsi="Times New Roman" w:eastAsia="方正黑体_GBK" w:cs="Times New Roman"/>
          <w:bCs/>
          <w:sz w:val="32"/>
          <w:szCs w:val="32"/>
        </w:rPr>
      </w:pPr>
      <w:bookmarkStart w:id="177" w:name="_Toc8911"/>
      <w:bookmarkStart w:id="178" w:name="_Toc1159"/>
      <w:bookmarkStart w:id="179" w:name="_Toc384"/>
      <w:bookmarkStart w:id="180" w:name="_Toc31486"/>
      <w:bookmarkStart w:id="181" w:name="_Toc18496"/>
      <w:bookmarkStart w:id="182" w:name="_Toc19499"/>
      <w:bookmarkStart w:id="183" w:name="_Toc24084"/>
      <w:bookmarkStart w:id="184" w:name="_Toc3041"/>
      <w:bookmarkStart w:id="185" w:name="_Toc10537"/>
      <w:r>
        <w:rPr>
          <w:rFonts w:ascii="Times New Roman" w:hAnsi="Times New Roman" w:eastAsia="方正黑体_GBK" w:cs="Times New Roman"/>
          <w:bCs/>
          <w:sz w:val="32"/>
          <w:szCs w:val="32"/>
        </w:rPr>
        <w:t>第三章 系统提升公共服务效能</w:t>
      </w:r>
      <w:bookmarkEnd w:id="177"/>
      <w:bookmarkEnd w:id="178"/>
      <w:bookmarkEnd w:id="179"/>
      <w:bookmarkEnd w:id="180"/>
      <w:bookmarkEnd w:id="181"/>
      <w:bookmarkEnd w:id="182"/>
      <w:bookmarkEnd w:id="183"/>
      <w:bookmarkEnd w:id="184"/>
      <w:bookmarkEnd w:id="185"/>
    </w:p>
    <w:p>
      <w:pPr>
        <w:tabs>
          <w:tab w:val="left" w:pos="6300"/>
        </w:tabs>
        <w:spacing w:line="360" w:lineRule="auto"/>
        <w:contextualSpacing/>
        <w:jc w:val="center"/>
        <w:outlineLvl w:val="1"/>
        <w:rPr>
          <w:rFonts w:ascii="Times New Roman" w:hAnsi="Times New Roman" w:eastAsia="方正楷体_GBK" w:cs="Times New Roman"/>
          <w:b/>
          <w:sz w:val="32"/>
          <w:szCs w:val="32"/>
        </w:rPr>
      </w:pPr>
      <w:bookmarkStart w:id="186" w:name="_Toc32720"/>
      <w:bookmarkStart w:id="187" w:name="_Toc20830"/>
      <w:bookmarkStart w:id="188" w:name="_Toc29244"/>
      <w:bookmarkStart w:id="189" w:name="_Toc7694"/>
      <w:bookmarkStart w:id="190" w:name="_Toc17968"/>
      <w:bookmarkStart w:id="191" w:name="_Toc29654"/>
      <w:bookmarkStart w:id="192" w:name="_Toc27767"/>
      <w:bookmarkStart w:id="193" w:name="_Toc7349"/>
      <w:bookmarkStart w:id="194" w:name="_Toc24022"/>
      <w:r>
        <w:rPr>
          <w:rFonts w:ascii="Times New Roman" w:hAnsi="Times New Roman" w:eastAsia="方正楷体_GBK" w:cs="Times New Roman"/>
          <w:b/>
          <w:sz w:val="32"/>
          <w:szCs w:val="32"/>
        </w:rPr>
        <w:t>第一节 系统提升基本公共服务均等化水平</w:t>
      </w:r>
      <w:bookmarkEnd w:id="186"/>
      <w:bookmarkEnd w:id="187"/>
      <w:bookmarkEnd w:id="188"/>
      <w:bookmarkEnd w:id="189"/>
      <w:bookmarkEnd w:id="190"/>
      <w:bookmarkEnd w:id="191"/>
      <w:bookmarkEnd w:id="192"/>
      <w:bookmarkEnd w:id="193"/>
      <w:bookmarkEnd w:id="194"/>
    </w:p>
    <w:p>
      <w:pPr>
        <w:tabs>
          <w:tab w:val="left" w:pos="6300"/>
        </w:tabs>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落实基本公共服务标准体系和项目清单。</w:t>
      </w:r>
      <w:r>
        <w:rPr>
          <w:rFonts w:ascii="Times New Roman" w:hAnsi="Times New Roman" w:eastAsia="方正仿宋_GBK" w:cs="Times New Roman"/>
          <w:bCs/>
          <w:sz w:val="32"/>
          <w:szCs w:val="32"/>
        </w:rPr>
        <w:t>坚持把实现好、维护好、发展好最广大人民根本利益作为发展的出发点和落脚点，尽力而为、量力而行，推动全区公共服务水平进一步提高。积极对接国家基本公共服务标准（2021年版）、重庆市基本公共服务标准（2021年版）以及各领域服务标准，完善江北区基本公共服务清单，明确基本公共服务项目的服务对象、服务内容、服务标准、牵头负责部门及支出责任，作为江北区提供基本公共服务的基准和人民群众享有相应权利的重要依据。围绕“幼有所育、老有所养、体有所健”等领域，推动“一老一小”整体解决方案落实，开展服务理念和制度创新，不断扫除盲点，推动全区公共服务创新走在全市前列。统筹考虑江北区经济社会发展水平和财政保障能力等因素，对基本公共服务标准实施动态调整，不断增强人民群众获得感、幸福感、安全感。</w:t>
      </w:r>
    </w:p>
    <w:p>
      <w:pPr>
        <w:ind w:firstLine="2168" w:firstLineChars="900"/>
        <w:jc w:val="left"/>
        <w:rPr>
          <w:rFonts w:ascii="Times New Roman" w:hAnsi="Times New Roman" w:eastAsia="方正仿宋_GBK" w:cs="Times New Roman"/>
          <w:b/>
          <w:bCs/>
          <w:sz w:val="32"/>
          <w:szCs w:val="32"/>
        </w:rPr>
      </w:pPr>
      <w:r>
        <w:rPr>
          <w:rFonts w:ascii="Times New Roman" w:hAnsi="Times New Roman" w:cs="Times New Roman" w:eastAsiaTheme="minorEastAsia"/>
          <w:b/>
          <w:bCs/>
          <w:sz w:val="24"/>
          <w:szCs w:val="24"/>
        </w:rPr>
        <w:t>表3-1 贯彻落实基本公共服务项目清单</w:t>
      </w:r>
    </w:p>
    <w:tbl>
      <w:tblPr>
        <w:tblStyle w:val="34"/>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2413"/>
        <w:gridCol w:w="5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vAlign w:val="center"/>
          </w:tcPr>
          <w:p>
            <w:pPr>
              <w:tabs>
                <w:tab w:val="left" w:pos="6300"/>
              </w:tabs>
              <w:spacing w:line="360" w:lineRule="auto"/>
              <w:contextualSpacing/>
              <w:jc w:val="center"/>
              <w:rPr>
                <w:rFonts w:ascii="Times New Roman" w:hAnsi="Times New Roman" w:cs="Times New Roman" w:eastAsiaTheme="minorEastAsia"/>
                <w:b/>
                <w:bCs/>
                <w:kern w:val="0"/>
                <w:sz w:val="24"/>
                <w:szCs w:val="24"/>
              </w:rPr>
            </w:pPr>
            <w:r>
              <w:rPr>
                <w:rFonts w:ascii="Times New Roman" w:hAnsi="Times New Roman" w:cs="Times New Roman" w:eastAsiaTheme="minorEastAsia"/>
                <w:b/>
                <w:bCs/>
                <w:kern w:val="0"/>
                <w:sz w:val="24"/>
                <w:szCs w:val="24"/>
              </w:rPr>
              <w:t>服务领域</w:t>
            </w:r>
          </w:p>
        </w:tc>
        <w:tc>
          <w:tcPr>
            <w:tcW w:w="2413" w:type="dxa"/>
            <w:vAlign w:val="center"/>
          </w:tcPr>
          <w:p>
            <w:pPr>
              <w:tabs>
                <w:tab w:val="left" w:pos="6300"/>
              </w:tabs>
              <w:spacing w:line="360" w:lineRule="auto"/>
              <w:contextualSpacing/>
              <w:jc w:val="center"/>
              <w:rPr>
                <w:rFonts w:ascii="Times New Roman" w:hAnsi="Times New Roman" w:cs="Times New Roman" w:eastAsiaTheme="minorEastAsia"/>
                <w:b/>
                <w:bCs/>
                <w:kern w:val="0"/>
                <w:sz w:val="24"/>
                <w:szCs w:val="24"/>
              </w:rPr>
            </w:pPr>
            <w:r>
              <w:rPr>
                <w:rFonts w:ascii="Times New Roman" w:hAnsi="Times New Roman" w:cs="Times New Roman" w:eastAsiaTheme="minorEastAsia"/>
                <w:b/>
                <w:bCs/>
                <w:kern w:val="0"/>
                <w:sz w:val="24"/>
                <w:szCs w:val="24"/>
              </w:rPr>
              <w:t>服务目标</w:t>
            </w:r>
          </w:p>
        </w:tc>
        <w:tc>
          <w:tcPr>
            <w:tcW w:w="5318" w:type="dxa"/>
            <w:vAlign w:val="center"/>
          </w:tcPr>
          <w:p>
            <w:pPr>
              <w:tabs>
                <w:tab w:val="left" w:pos="6300"/>
              </w:tabs>
              <w:spacing w:line="360" w:lineRule="auto"/>
              <w:contextualSpacing/>
              <w:jc w:val="center"/>
              <w:rPr>
                <w:rFonts w:ascii="Times New Roman" w:hAnsi="Times New Roman" w:cs="Times New Roman" w:eastAsiaTheme="minorEastAsia"/>
                <w:b/>
                <w:bCs/>
                <w:kern w:val="0"/>
                <w:sz w:val="24"/>
                <w:szCs w:val="24"/>
              </w:rPr>
            </w:pPr>
            <w:r>
              <w:rPr>
                <w:rFonts w:ascii="Times New Roman" w:hAnsi="Times New Roman" w:cs="Times New Roman" w:eastAsiaTheme="minorEastAsia"/>
                <w:b/>
                <w:bCs/>
                <w:kern w:val="0"/>
                <w:sz w:val="24"/>
                <w:szCs w:val="24"/>
              </w:rPr>
              <w:t>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vAlign w:val="center"/>
          </w:tcPr>
          <w:p>
            <w:pPr>
              <w:tabs>
                <w:tab w:val="left" w:pos="6300"/>
              </w:tabs>
              <w:spacing w:line="360" w:lineRule="auto"/>
              <w:contextualSpacing/>
              <w:jc w:val="center"/>
              <w:rPr>
                <w:rFonts w:ascii="Times New Roman" w:hAnsi="Times New Roman" w:cs="Times New Roman" w:eastAsiaTheme="minorEastAsia"/>
                <w:b/>
                <w:bCs/>
                <w:kern w:val="0"/>
                <w:sz w:val="24"/>
                <w:szCs w:val="24"/>
              </w:rPr>
            </w:pPr>
            <w:r>
              <w:rPr>
                <w:rFonts w:ascii="Times New Roman" w:hAnsi="Times New Roman" w:cs="Times New Roman" w:eastAsiaTheme="minorEastAsia"/>
                <w:b/>
                <w:bCs/>
                <w:kern w:val="0"/>
                <w:sz w:val="24"/>
                <w:szCs w:val="24"/>
              </w:rPr>
              <w:t>幼有所育</w:t>
            </w:r>
          </w:p>
        </w:tc>
        <w:tc>
          <w:tcPr>
            <w:tcW w:w="2413" w:type="dxa"/>
            <w:vAlign w:val="center"/>
          </w:tcPr>
          <w:p>
            <w:pPr>
              <w:tabs>
                <w:tab w:val="left" w:pos="6300"/>
              </w:tabs>
              <w:spacing w:line="360" w:lineRule="auto"/>
              <w:contextualSpacing/>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为城乡居民提供优孕优生、儿童健康、儿童关爱等服务，保障城乡居民优生优育，儿童健康成长。</w:t>
            </w:r>
          </w:p>
        </w:tc>
        <w:tc>
          <w:tcPr>
            <w:tcW w:w="5318" w:type="dxa"/>
            <w:vAlign w:val="center"/>
          </w:tcPr>
          <w:p>
            <w:pPr>
              <w:tabs>
                <w:tab w:val="left" w:pos="6300"/>
              </w:tabs>
              <w:spacing w:line="360" w:lineRule="auto"/>
              <w:contextualSpacing/>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免费孕前优生健康检查、孕产妇健康服务、基本避孕服务、生育保险、预防接种、儿童健康管理</w:t>
            </w:r>
          </w:p>
          <w:p>
            <w:pPr>
              <w:tabs>
                <w:tab w:val="left" w:pos="6300"/>
              </w:tabs>
              <w:spacing w:line="360" w:lineRule="auto"/>
              <w:contextualSpacing/>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、特殊儿童群体基本生活保障、困境儿童保障、农村留守儿童关爱保护（9项）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vAlign w:val="center"/>
          </w:tcPr>
          <w:p>
            <w:pPr>
              <w:tabs>
                <w:tab w:val="left" w:pos="6300"/>
              </w:tabs>
              <w:spacing w:line="360" w:lineRule="auto"/>
              <w:contextualSpacing/>
              <w:jc w:val="center"/>
              <w:rPr>
                <w:rFonts w:ascii="Times New Roman" w:hAnsi="Times New Roman" w:cs="Times New Roman" w:eastAsiaTheme="minorEastAsia"/>
                <w:b/>
                <w:bCs/>
                <w:kern w:val="0"/>
                <w:sz w:val="24"/>
                <w:szCs w:val="24"/>
              </w:rPr>
            </w:pPr>
            <w:r>
              <w:rPr>
                <w:rFonts w:ascii="Times New Roman" w:hAnsi="Times New Roman" w:cs="Times New Roman" w:eastAsiaTheme="minorEastAsia"/>
                <w:b/>
                <w:bCs/>
                <w:kern w:val="0"/>
                <w:sz w:val="24"/>
                <w:szCs w:val="24"/>
              </w:rPr>
              <w:t>学有所教</w:t>
            </w:r>
          </w:p>
        </w:tc>
        <w:tc>
          <w:tcPr>
            <w:tcW w:w="2413" w:type="dxa"/>
            <w:vAlign w:val="center"/>
          </w:tcPr>
          <w:p>
            <w:pPr>
              <w:tabs>
                <w:tab w:val="left" w:pos="6300"/>
              </w:tabs>
              <w:spacing w:line="360" w:lineRule="auto"/>
              <w:contextualSpacing/>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为适龄儿童、少年提供学前教育助学、义务教育、普通高中助学、中等职业教育助学等服务，保障适龄儿童、少年享有平等受教育权利。</w:t>
            </w:r>
          </w:p>
        </w:tc>
        <w:tc>
          <w:tcPr>
            <w:tcW w:w="5318" w:type="dxa"/>
            <w:vAlign w:val="center"/>
          </w:tcPr>
          <w:p>
            <w:pPr>
              <w:tabs>
                <w:tab w:val="left" w:pos="6300"/>
              </w:tabs>
              <w:spacing w:line="360" w:lineRule="auto"/>
              <w:contextualSpacing/>
              <w:rPr>
                <w:rFonts w:ascii="Times New Roman" w:hAnsi="Times New Roman" w:cs="Times New Roman"/>
                <w:kern w:val="0"/>
                <w:sz w:val="24"/>
                <w:szCs w:val="24"/>
              </w:rPr>
            </w:pPr>
            <w:r>
              <w:rPr>
                <w:rFonts w:ascii="Times New Roman" w:hAnsi="Times New Roman" w:cs="Times New Roman"/>
                <w:kern w:val="0"/>
                <w:sz w:val="24"/>
                <w:szCs w:val="24"/>
              </w:rPr>
              <w:t>学前教育幼儿资助、义务教育阶段免除学杂费、义务教育免费提供教科书、义务教育家庭经济困难学生生活补助、普通高中国家助学金、中等职业教育国家助学金、中等职业教育免除学费、中等职业教育免住宿费（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vAlign w:val="center"/>
          </w:tcPr>
          <w:p>
            <w:pPr>
              <w:tabs>
                <w:tab w:val="left" w:pos="6300"/>
              </w:tabs>
              <w:spacing w:line="360" w:lineRule="auto"/>
              <w:contextualSpacing/>
              <w:jc w:val="center"/>
              <w:rPr>
                <w:rFonts w:ascii="Times New Roman" w:hAnsi="Times New Roman" w:cs="Times New Roman" w:eastAsiaTheme="minorEastAsia"/>
                <w:b/>
                <w:bCs/>
                <w:kern w:val="0"/>
                <w:sz w:val="24"/>
                <w:szCs w:val="24"/>
              </w:rPr>
            </w:pPr>
            <w:r>
              <w:rPr>
                <w:rFonts w:ascii="Times New Roman" w:hAnsi="Times New Roman" w:cs="Times New Roman" w:eastAsiaTheme="minorEastAsia"/>
                <w:b/>
                <w:bCs/>
                <w:kern w:val="0"/>
                <w:sz w:val="24"/>
                <w:szCs w:val="24"/>
              </w:rPr>
              <w:t>劳有所得</w:t>
            </w:r>
          </w:p>
        </w:tc>
        <w:tc>
          <w:tcPr>
            <w:tcW w:w="2413" w:type="dxa"/>
            <w:vAlign w:val="center"/>
          </w:tcPr>
          <w:p>
            <w:pPr>
              <w:tabs>
                <w:tab w:val="left" w:pos="6300"/>
              </w:tabs>
              <w:spacing w:line="360" w:lineRule="auto"/>
              <w:contextualSpacing/>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为全体劳动者就业创造必要条件，保障劳动者合法权益，促进充分就业，推动构建和谐劳动关系。</w:t>
            </w:r>
          </w:p>
        </w:tc>
        <w:tc>
          <w:tcPr>
            <w:tcW w:w="5318" w:type="dxa"/>
            <w:vAlign w:val="center"/>
          </w:tcPr>
          <w:p>
            <w:pPr>
              <w:tabs>
                <w:tab w:val="left" w:pos="6300"/>
              </w:tabs>
              <w:spacing w:line="360" w:lineRule="auto"/>
              <w:contextualSpacing/>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就业信息服务，职业介绍、职业指导和创业开业指导，就业登记与失业登记、流动人员人事档案管理服务、就业见习服务、就业援助，职业技能培训、鉴定和生活费补贴，“12333”人力资源和社会保障电话服务、劳动关系协调、劳动用工保障、失业保险、工伤保险（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vAlign w:val="center"/>
          </w:tcPr>
          <w:p>
            <w:pPr>
              <w:tabs>
                <w:tab w:val="left" w:pos="6300"/>
              </w:tabs>
              <w:spacing w:line="360" w:lineRule="auto"/>
              <w:contextualSpacing/>
              <w:jc w:val="center"/>
              <w:rPr>
                <w:rFonts w:ascii="Times New Roman" w:hAnsi="Times New Roman" w:cs="Times New Roman" w:eastAsiaTheme="minorEastAsia"/>
                <w:b/>
                <w:bCs/>
                <w:kern w:val="0"/>
                <w:sz w:val="24"/>
                <w:szCs w:val="24"/>
              </w:rPr>
            </w:pPr>
            <w:r>
              <w:rPr>
                <w:rFonts w:ascii="Times New Roman" w:hAnsi="Times New Roman" w:cs="Times New Roman" w:eastAsiaTheme="minorEastAsia"/>
                <w:b/>
                <w:bCs/>
                <w:kern w:val="0"/>
                <w:sz w:val="24"/>
                <w:szCs w:val="24"/>
              </w:rPr>
              <w:t>病有所医</w:t>
            </w:r>
          </w:p>
        </w:tc>
        <w:tc>
          <w:tcPr>
            <w:tcW w:w="2413" w:type="dxa"/>
            <w:vAlign w:val="center"/>
          </w:tcPr>
          <w:p>
            <w:pPr>
              <w:tabs>
                <w:tab w:val="left" w:pos="6300"/>
              </w:tabs>
              <w:spacing w:line="360" w:lineRule="auto"/>
              <w:contextualSpacing/>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为城乡居民提供安全、高效、价廉的基本公共卫生和医疗服务，切实保障人民群众身体健康。</w:t>
            </w:r>
          </w:p>
        </w:tc>
        <w:tc>
          <w:tcPr>
            <w:tcW w:w="5318" w:type="dxa"/>
            <w:vAlign w:val="center"/>
          </w:tcPr>
          <w:p>
            <w:pPr>
              <w:tabs>
                <w:tab w:val="left" w:pos="6300"/>
              </w:tabs>
              <w:spacing w:line="360" w:lineRule="auto"/>
              <w:contextualSpacing/>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建立居民健康档案、健康教育与健康素养促进、传染病及突发公共卫生事件报告和处理、卫生监督协管服务、慢性病患者健康管理、地方病患者健康管理、严重精神障碍患者健康管理、结核病患者健康管理、艾滋病病毒感染者和病人随访管理、社区易感染艾滋病高危行为人群干预、基本药物供应保障服务、食品药品安全保障、职工基本医疗保险、城乡居民基本医疗保险、农村符合条件的计划生育家庭奖励扶助、计划生育家庭特别扶助（16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vAlign w:val="center"/>
          </w:tcPr>
          <w:p>
            <w:pPr>
              <w:tabs>
                <w:tab w:val="left" w:pos="6300"/>
              </w:tabs>
              <w:spacing w:line="360" w:lineRule="auto"/>
              <w:contextualSpacing/>
              <w:jc w:val="center"/>
              <w:rPr>
                <w:rFonts w:ascii="Times New Roman" w:hAnsi="Times New Roman" w:cs="Times New Roman" w:eastAsiaTheme="minorEastAsia"/>
                <w:b/>
                <w:bCs/>
                <w:kern w:val="0"/>
                <w:sz w:val="24"/>
                <w:szCs w:val="24"/>
              </w:rPr>
            </w:pPr>
            <w:r>
              <w:rPr>
                <w:rFonts w:ascii="Times New Roman" w:hAnsi="Times New Roman" w:cs="Times New Roman" w:eastAsiaTheme="minorEastAsia"/>
                <w:b/>
                <w:bCs/>
                <w:kern w:val="0"/>
                <w:sz w:val="24"/>
                <w:szCs w:val="24"/>
              </w:rPr>
              <w:t>老有所养</w:t>
            </w:r>
          </w:p>
        </w:tc>
        <w:tc>
          <w:tcPr>
            <w:tcW w:w="2413" w:type="dxa"/>
            <w:vAlign w:val="center"/>
          </w:tcPr>
          <w:p>
            <w:pPr>
              <w:tabs>
                <w:tab w:val="left" w:pos="6300"/>
              </w:tabs>
              <w:spacing w:line="360" w:lineRule="auto"/>
              <w:contextualSpacing/>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为老年人提供基本养老服务，保障老年人安享晚年。</w:t>
            </w:r>
          </w:p>
        </w:tc>
        <w:tc>
          <w:tcPr>
            <w:tcW w:w="5318" w:type="dxa"/>
            <w:vAlign w:val="center"/>
          </w:tcPr>
          <w:p>
            <w:pPr>
              <w:tabs>
                <w:tab w:val="left" w:pos="6300"/>
              </w:tabs>
              <w:spacing w:line="360" w:lineRule="auto"/>
              <w:contextualSpacing/>
              <w:rPr>
                <w:rFonts w:ascii="Times New Roman" w:hAnsi="Times New Roman" w:cs="Times New Roman" w:eastAsiaTheme="minorEastAsia"/>
                <w:kern w:val="0"/>
                <w:sz w:val="24"/>
                <w:szCs w:val="24"/>
              </w:rPr>
            </w:pPr>
            <w:r>
              <w:rPr>
                <w:rFonts w:ascii="Times New Roman" w:hAnsi="Times New Roman" w:cs="Times New Roman"/>
                <w:kern w:val="0"/>
                <w:sz w:val="24"/>
                <w:szCs w:val="24"/>
              </w:rPr>
              <w:t>老年人健康管理、老年人福利补贴、职工基本养老保险、城乡居民基本养老保险（4项）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vAlign w:val="center"/>
          </w:tcPr>
          <w:p>
            <w:pPr>
              <w:tabs>
                <w:tab w:val="left" w:pos="6300"/>
              </w:tabs>
              <w:spacing w:line="360" w:lineRule="auto"/>
              <w:contextualSpacing/>
              <w:jc w:val="center"/>
              <w:rPr>
                <w:rFonts w:ascii="Times New Roman" w:hAnsi="Times New Roman" w:cs="Times New Roman" w:eastAsiaTheme="minorEastAsia"/>
                <w:b/>
                <w:bCs/>
                <w:kern w:val="0"/>
                <w:sz w:val="24"/>
                <w:szCs w:val="24"/>
              </w:rPr>
            </w:pPr>
            <w:r>
              <w:rPr>
                <w:rFonts w:ascii="Times New Roman" w:hAnsi="Times New Roman" w:cs="Times New Roman" w:eastAsiaTheme="minorEastAsia"/>
                <w:b/>
                <w:bCs/>
                <w:kern w:val="0"/>
                <w:sz w:val="24"/>
                <w:szCs w:val="24"/>
              </w:rPr>
              <w:t>住有所居</w:t>
            </w:r>
          </w:p>
        </w:tc>
        <w:tc>
          <w:tcPr>
            <w:tcW w:w="2413" w:type="dxa"/>
            <w:vAlign w:val="center"/>
          </w:tcPr>
          <w:p>
            <w:pPr>
              <w:tabs>
                <w:tab w:val="left" w:pos="6300"/>
              </w:tabs>
              <w:spacing w:line="360" w:lineRule="auto"/>
              <w:contextualSpacing/>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保障公民居住权利，解决低收入群体的基本住房需求</w:t>
            </w:r>
          </w:p>
        </w:tc>
        <w:tc>
          <w:tcPr>
            <w:tcW w:w="5318" w:type="dxa"/>
            <w:vAlign w:val="center"/>
          </w:tcPr>
          <w:p>
            <w:pPr>
              <w:tabs>
                <w:tab w:val="left" w:pos="6300"/>
              </w:tabs>
              <w:spacing w:line="360" w:lineRule="auto"/>
              <w:contextualSpacing/>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公租房保障、城镇棚户区住房改造、农村危房改造（3项）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vAlign w:val="center"/>
          </w:tcPr>
          <w:p>
            <w:pPr>
              <w:tabs>
                <w:tab w:val="left" w:pos="6300"/>
              </w:tabs>
              <w:spacing w:line="360" w:lineRule="auto"/>
              <w:contextualSpacing/>
              <w:jc w:val="center"/>
              <w:rPr>
                <w:rFonts w:ascii="Times New Roman" w:hAnsi="Times New Roman" w:cs="Times New Roman" w:eastAsiaTheme="minorEastAsia"/>
                <w:b/>
                <w:bCs/>
                <w:kern w:val="0"/>
                <w:sz w:val="24"/>
                <w:szCs w:val="24"/>
              </w:rPr>
            </w:pPr>
            <w:r>
              <w:rPr>
                <w:rFonts w:ascii="Times New Roman" w:hAnsi="Times New Roman" w:cs="Times New Roman" w:eastAsiaTheme="minorEastAsia"/>
                <w:b/>
                <w:bCs/>
                <w:kern w:val="0"/>
                <w:sz w:val="24"/>
                <w:szCs w:val="24"/>
              </w:rPr>
              <w:t>弱有所扶</w:t>
            </w:r>
          </w:p>
        </w:tc>
        <w:tc>
          <w:tcPr>
            <w:tcW w:w="2413" w:type="dxa"/>
            <w:vAlign w:val="center"/>
          </w:tcPr>
          <w:p>
            <w:pPr>
              <w:tabs>
                <w:tab w:val="left" w:pos="6300"/>
              </w:tabs>
              <w:spacing w:line="360" w:lineRule="auto"/>
              <w:contextualSpacing/>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为城乡居民尤其是困难群体的基本生活提供帮助，切实兜住兜牢基本民生保障底线。</w:t>
            </w:r>
          </w:p>
        </w:tc>
        <w:tc>
          <w:tcPr>
            <w:tcW w:w="5318" w:type="dxa"/>
            <w:vAlign w:val="center"/>
          </w:tcPr>
          <w:p>
            <w:pPr>
              <w:tabs>
                <w:tab w:val="left" w:pos="6300"/>
              </w:tabs>
              <w:spacing w:line="360" w:lineRule="auto"/>
              <w:contextualSpacing/>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最低生活保障、特困人员救助供养、医疗救助、临时救助、受灾人员救助、法律援助、公益法律服务、困难残疾人生活补贴和重度残疾人护理补贴、无业重度残疾人最低生活保障、残疾人托养服务、残疾人康复服务、残疾儿童及青少年教育</w:t>
            </w:r>
          </w:p>
          <w:p>
            <w:pPr>
              <w:tabs>
                <w:tab w:val="left" w:pos="6300"/>
              </w:tabs>
              <w:spacing w:line="360" w:lineRule="auto"/>
              <w:contextualSpacing/>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、残疾人职业培训和就业创业服务、残疾人文化体育服务、残疾人和老年人无障碍环境建设（15项）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vAlign w:val="center"/>
          </w:tcPr>
          <w:p>
            <w:pPr>
              <w:tabs>
                <w:tab w:val="left" w:pos="6300"/>
              </w:tabs>
              <w:spacing w:line="360" w:lineRule="auto"/>
              <w:contextualSpacing/>
              <w:jc w:val="center"/>
              <w:rPr>
                <w:rFonts w:ascii="Times New Roman" w:hAnsi="Times New Roman" w:cs="Times New Roman" w:eastAsiaTheme="minorEastAsia"/>
                <w:b/>
                <w:bCs/>
                <w:kern w:val="0"/>
                <w:sz w:val="24"/>
                <w:szCs w:val="24"/>
              </w:rPr>
            </w:pPr>
            <w:r>
              <w:rPr>
                <w:rFonts w:ascii="Times New Roman" w:hAnsi="Times New Roman" w:cs="Times New Roman" w:eastAsiaTheme="minorEastAsia"/>
                <w:b/>
                <w:bCs/>
                <w:kern w:val="0"/>
                <w:sz w:val="24"/>
                <w:szCs w:val="24"/>
              </w:rPr>
              <w:t>优军服务保障</w:t>
            </w:r>
          </w:p>
        </w:tc>
        <w:tc>
          <w:tcPr>
            <w:tcW w:w="2413" w:type="dxa"/>
            <w:vAlign w:val="center"/>
          </w:tcPr>
          <w:p>
            <w:pPr>
              <w:tabs>
                <w:tab w:val="left" w:pos="6300"/>
              </w:tabs>
              <w:spacing w:line="360" w:lineRule="auto"/>
              <w:contextualSpacing/>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保障退役军人合法权益。</w:t>
            </w:r>
          </w:p>
        </w:tc>
        <w:tc>
          <w:tcPr>
            <w:tcW w:w="5318" w:type="dxa"/>
            <w:vAlign w:val="center"/>
          </w:tcPr>
          <w:p>
            <w:pPr>
              <w:tabs>
                <w:tab w:val="left" w:pos="6300"/>
              </w:tabs>
              <w:spacing w:line="360" w:lineRule="auto"/>
              <w:contextualSpacing/>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优待抚恤、退役军人安置、退役军人就业创业服务、特殊群体集中供养（4项）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vAlign w:val="center"/>
          </w:tcPr>
          <w:p>
            <w:pPr>
              <w:tabs>
                <w:tab w:val="left" w:pos="6300"/>
              </w:tabs>
              <w:spacing w:line="360" w:lineRule="auto"/>
              <w:contextualSpacing/>
              <w:jc w:val="center"/>
              <w:rPr>
                <w:rFonts w:ascii="Times New Roman" w:hAnsi="Times New Roman" w:cs="Times New Roman" w:eastAsiaTheme="minorEastAsia"/>
                <w:b/>
                <w:bCs/>
                <w:kern w:val="0"/>
                <w:sz w:val="24"/>
                <w:szCs w:val="24"/>
              </w:rPr>
            </w:pPr>
            <w:r>
              <w:rPr>
                <w:rFonts w:ascii="Times New Roman" w:hAnsi="Times New Roman" w:cs="Times New Roman" w:eastAsiaTheme="minorEastAsia"/>
                <w:b/>
                <w:bCs/>
                <w:kern w:val="0"/>
                <w:sz w:val="24"/>
                <w:szCs w:val="24"/>
              </w:rPr>
              <w:t>文体服务保障</w:t>
            </w:r>
          </w:p>
        </w:tc>
        <w:tc>
          <w:tcPr>
            <w:tcW w:w="2413" w:type="dxa"/>
            <w:vAlign w:val="center"/>
          </w:tcPr>
          <w:p>
            <w:pPr>
              <w:tabs>
                <w:tab w:val="left" w:pos="6300"/>
              </w:tabs>
              <w:spacing w:line="360" w:lineRule="auto"/>
              <w:contextualSpacing/>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保障人民群众参加大众文化活动和体育健身等合法权益</w:t>
            </w:r>
          </w:p>
        </w:tc>
        <w:tc>
          <w:tcPr>
            <w:tcW w:w="5318" w:type="dxa"/>
            <w:vAlign w:val="center"/>
          </w:tcPr>
          <w:p>
            <w:pPr>
              <w:tabs>
                <w:tab w:val="left" w:pos="6300"/>
              </w:tabs>
              <w:spacing w:line="360" w:lineRule="auto"/>
              <w:contextualSpacing/>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公共文化设施免费开放、送戏曲下乡、收听广播</w:t>
            </w:r>
          </w:p>
          <w:p>
            <w:pPr>
              <w:tabs>
                <w:tab w:val="left" w:pos="6300"/>
              </w:tabs>
              <w:spacing w:line="360" w:lineRule="auto"/>
              <w:contextualSpacing/>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、观看电视、观赏电影、读书看报、少数民族文化服务、</w:t>
            </w:r>
            <w:r>
              <w:rPr>
                <w:rFonts w:ascii="Times New Roman" w:hAnsi="Times New Roman" w:cs="Times New Roman" w:eastAsiaTheme="minorEastAsia"/>
                <w:spacing w:val="-6"/>
                <w:kern w:val="0"/>
                <w:sz w:val="24"/>
                <w:szCs w:val="24"/>
              </w:rPr>
              <w:t>公共体育设施开放、全民健身服务（9项）</w:t>
            </w:r>
          </w:p>
        </w:tc>
      </w:tr>
    </w:tbl>
    <w:p>
      <w:pPr>
        <w:tabs>
          <w:tab w:val="left" w:pos="6300"/>
        </w:tabs>
        <w:ind w:firstLine="643" w:firstLineChars="200"/>
        <w:contextualSpacing/>
        <w:rPr>
          <w:rFonts w:ascii="Times New Roman" w:hAnsi="Times New Roman" w:eastAsia="方正仿宋_GBK" w:cs="Times New Roman"/>
          <w:b/>
          <w:sz w:val="32"/>
          <w:szCs w:val="32"/>
        </w:rPr>
      </w:pPr>
      <w:bookmarkStart w:id="195" w:name="_Toc29540"/>
    </w:p>
    <w:p>
      <w:pPr>
        <w:tabs>
          <w:tab w:val="left" w:pos="6300"/>
        </w:tabs>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缩小街镇基本公共服务差距。</w:t>
      </w:r>
      <w:r>
        <w:rPr>
          <w:rFonts w:ascii="Times New Roman" w:hAnsi="Times New Roman" w:eastAsia="方正仿宋_GBK" w:cs="Times New Roman"/>
          <w:bCs/>
          <w:sz w:val="32"/>
          <w:szCs w:val="32"/>
        </w:rPr>
        <w:t>向铁山坪街道、郭家沱街道、五宝镇等地区，加大财政转移支付在基本公共服务体系建设方面的倾斜力度，完善区内基本公共服务支出保障机制，完善基本公共服务区直管街镇与两江新区范围内街镇间的合作机制，搭建区直管街镇与两江新区范围内街镇间便利共享基本公共服务的制度安排，开展街镇间基本公共服务对接和对口合作，扩大优质服务资源辐射覆盖范围。</w:t>
      </w:r>
    </w:p>
    <w:p>
      <w:pPr>
        <w:tabs>
          <w:tab w:val="left" w:pos="6300"/>
        </w:tabs>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缩小城乡基本公共服务差距。</w:t>
      </w:r>
      <w:r>
        <w:rPr>
          <w:rFonts w:ascii="Times New Roman" w:hAnsi="Times New Roman" w:eastAsia="方正仿宋_GBK" w:cs="Times New Roman"/>
          <w:bCs/>
          <w:sz w:val="32"/>
          <w:szCs w:val="32"/>
        </w:rPr>
        <w:t>以五宝镇、复盛镇、鱼嘴镇为重点，加快实施乡村建设行动，推进城乡基本公共服务标准统一、制度并轨，增加农村教育、医疗、养老、文化等服务供给，完善以观音桥街道、江北城街道、郭家沱街道、鱼嘴镇等人口流入集聚区的流动人口基本公共服务供给制度，逐步实现基本公共服务由户籍人口向常住人口扩展，逐步将基本公共服务领域各项法律法规和政策与户口性质相脱离，保障符合条件的外来人口与本地居民平等享有基本公共服务，健全与居住证为载体、与居住年限等条件相挂钩的基本公共服务提供机制，实现区—镇（街道）—村（社区）公共服务功能衔接互补。</w:t>
      </w:r>
    </w:p>
    <w:p>
      <w:pPr>
        <w:tabs>
          <w:tab w:val="left" w:pos="6300"/>
        </w:tabs>
        <w:ind w:firstLine="643" w:firstLineChars="200"/>
        <w:contextualSpacing/>
        <w:rPr>
          <w:rFonts w:ascii="Times New Roman" w:hAnsi="Times New Roman" w:cs="Times New Roman"/>
        </w:rPr>
      </w:pPr>
      <w:r>
        <w:rPr>
          <w:rFonts w:ascii="Times New Roman" w:hAnsi="Times New Roman" w:eastAsia="方正仿宋_GBK" w:cs="Times New Roman"/>
          <w:b/>
          <w:sz w:val="32"/>
          <w:szCs w:val="32"/>
        </w:rPr>
        <w:t>缩小群体基本公共服务差距。</w:t>
      </w:r>
      <w:r>
        <w:rPr>
          <w:rFonts w:ascii="Times New Roman" w:hAnsi="Times New Roman" w:eastAsia="方正仿宋_GBK" w:cs="Times New Roman"/>
          <w:bCs/>
          <w:sz w:val="32"/>
          <w:szCs w:val="32"/>
        </w:rPr>
        <w:t>落实基本公共服务标准体系建设和基本公共服务对象认定制度。落地落实国家和全市基本公共服务标准，制定全区具体实施配套标准，制定标准落地实施的各项保障措施和动态调整机制，加强各行业标准的统筹衔接，完善社会救助领域低保、特困、低收入家庭认定办法并建立动态调整机制和联动机制，放宽灵活就业人员参保条件。</w:t>
      </w:r>
    </w:p>
    <w:p>
      <w:pPr>
        <w:tabs>
          <w:tab w:val="left" w:pos="6300"/>
        </w:tabs>
        <w:spacing w:line="360" w:lineRule="auto"/>
        <w:contextualSpacing/>
        <w:jc w:val="center"/>
        <w:outlineLvl w:val="1"/>
        <w:rPr>
          <w:rFonts w:ascii="Times New Roman" w:hAnsi="Times New Roman" w:eastAsia="方正楷体_GBK" w:cs="Times New Roman"/>
          <w:b/>
          <w:bCs/>
          <w:sz w:val="32"/>
          <w:szCs w:val="32"/>
        </w:rPr>
      </w:pPr>
      <w:bookmarkStart w:id="196" w:name="_Toc5158"/>
      <w:bookmarkStart w:id="197" w:name="_Toc9701"/>
      <w:bookmarkStart w:id="198" w:name="_Toc5965"/>
      <w:bookmarkStart w:id="199" w:name="_Toc27404"/>
      <w:bookmarkStart w:id="200" w:name="_Toc1316"/>
      <w:bookmarkStart w:id="201" w:name="_Toc22807"/>
      <w:bookmarkStart w:id="202" w:name="_Toc473"/>
      <w:bookmarkStart w:id="203" w:name="_Toc5867"/>
      <w:r>
        <w:rPr>
          <w:rFonts w:ascii="Times New Roman" w:hAnsi="Times New Roman" w:eastAsia="方正楷体_GBK" w:cs="Times New Roman"/>
          <w:b/>
          <w:bCs/>
          <w:sz w:val="32"/>
          <w:szCs w:val="32"/>
        </w:rPr>
        <w:t>第二节 系统提升非基本公共服务普惠化水平</w:t>
      </w:r>
      <w:bookmarkEnd w:id="195"/>
      <w:bookmarkEnd w:id="196"/>
      <w:bookmarkEnd w:id="197"/>
      <w:bookmarkEnd w:id="198"/>
      <w:bookmarkEnd w:id="199"/>
      <w:bookmarkEnd w:id="200"/>
      <w:bookmarkEnd w:id="201"/>
      <w:bookmarkEnd w:id="202"/>
      <w:bookmarkEnd w:id="203"/>
    </w:p>
    <w:p>
      <w:pPr>
        <w:tabs>
          <w:tab w:val="left" w:pos="6300"/>
        </w:tabs>
        <w:spacing w:line="360" w:lineRule="auto"/>
        <w:ind w:firstLine="643" w:firstLineChars="200"/>
        <w:contextualSpacing/>
        <w:rPr>
          <w:rFonts w:ascii="Times New Roman" w:hAnsi="Times New Roman" w:eastAsia="方正仿宋_GBK" w:cs="Times New Roman"/>
          <w:bCs/>
          <w:sz w:val="32"/>
          <w:szCs w:val="32"/>
        </w:rPr>
      </w:pPr>
      <w:bookmarkStart w:id="204" w:name="_Toc30645"/>
      <w:r>
        <w:rPr>
          <w:rFonts w:ascii="Times New Roman" w:hAnsi="Times New Roman" w:eastAsia="方正仿宋_GBK" w:cs="Times New Roman"/>
          <w:b/>
          <w:bCs/>
          <w:sz w:val="32"/>
          <w:szCs w:val="32"/>
        </w:rPr>
        <w:t>降低服务成本。</w:t>
      </w:r>
      <w:r>
        <w:rPr>
          <w:rFonts w:ascii="Times New Roman" w:hAnsi="Times New Roman" w:eastAsia="方正仿宋_GBK" w:cs="Times New Roman"/>
          <w:bCs/>
          <w:sz w:val="32"/>
          <w:szCs w:val="32"/>
        </w:rPr>
        <w:t>因地制宜并系统规划江北区托幼、学前、养老、医疗等公共服务体系建设，统筹用好规划、土地、投资、税收、金融等各种支持政策，采取公建民营、购买服务等多种方式整合优化现有设施资源，引导社会力量参与，有效扩大公共服务供给，提升公共服务运营效率。优化财政预算内投资结构，引导和支持社会资本参与公共服务设施建设。围绕电测村、小苑、野水沟等老旧商业区、长安三工厂、四工厂、望江厂等老旧厂区以及南桥寺、玉带山、望江小镇等老旧小区，紧扣人民群众最急需的非基本公共服务，主动有为、加大投入，适度缓解供需矛盾，为培育和发展社会力量留出空间和时间。</w:t>
      </w:r>
    </w:p>
    <w:p>
      <w:pPr>
        <w:tabs>
          <w:tab w:val="left" w:pos="6300"/>
        </w:tabs>
        <w:spacing w:line="360" w:lineRule="auto"/>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促进价格普惠。</w:t>
      </w:r>
      <w:r>
        <w:rPr>
          <w:rFonts w:ascii="Times New Roman" w:hAnsi="Times New Roman" w:eastAsia="方正仿宋_GBK" w:cs="Times New Roman"/>
          <w:bCs/>
          <w:sz w:val="32"/>
          <w:szCs w:val="32"/>
        </w:rPr>
        <w:t>按照补偿成本、合理受益、节约资源、优质优价、公平负担的原则，加快理顺公共服务价格，引导非基本公共服务供给主体实现保本微利运营，遏制过度逐利行为，鼓励提供与全市城乡居民收入相适应的普惠性非基本公共服务。依据项目运行情况和绩效评价结果，健全非基本公共服务价格调整机制。及时披露项目运行过程中的成本变化、公共服务质量等信息，提高定价调价的透明度。</w:t>
      </w:r>
    </w:p>
    <w:p>
      <w:pPr>
        <w:tabs>
          <w:tab w:val="left" w:pos="6300"/>
        </w:tabs>
        <w:spacing w:line="360" w:lineRule="auto"/>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改革供给主体。</w:t>
      </w:r>
      <w:r>
        <w:rPr>
          <w:rFonts w:ascii="Times New Roman" w:hAnsi="Times New Roman" w:eastAsia="方正仿宋_GBK" w:cs="Times New Roman"/>
          <w:bCs/>
          <w:sz w:val="32"/>
          <w:szCs w:val="32"/>
        </w:rPr>
        <w:t>加大政府购买普惠性非基本公共服务的力度，推动供给主体和供给方式多元化，逐步实现由政府或公共部门直接生产，向购买服务的间接生产转变。将属于政府职责范围且适合通过市场化方式提供的普惠公共服务，纳入政府购买服务指导性目录，并实现费随事转。规范购买流程，按照政府采购法律制度规定确定承接主体，实现竞争择优，进一步完善政府购买公共服务的绩效管理。</w:t>
      </w:r>
    </w:p>
    <w:p>
      <w:pPr>
        <w:tabs>
          <w:tab w:val="left" w:pos="6300"/>
        </w:tabs>
        <w:spacing w:line="360" w:lineRule="auto"/>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规范供给质量。</w:t>
      </w:r>
      <w:r>
        <w:rPr>
          <w:rFonts w:ascii="Times New Roman" w:hAnsi="Times New Roman" w:eastAsia="方正仿宋_GBK" w:cs="Times New Roman"/>
          <w:bCs/>
          <w:sz w:val="32"/>
          <w:szCs w:val="32"/>
        </w:rPr>
        <w:t>加强对普惠性非基本公共服务的质量监管，明晰服务的软硬件条件和标准规范，强化服务后评价机制，对各类提供主体一视同仁。稳妥实施分类管理，按照国家统一部署制定民办机构分类管理实施办法，明确分类管理政策。行业主管部门、行政审批部门做好衔接工作，确保分类登记平稳，实施有序推进，加强普惠性非基本公共服务投诉平台建设，加大对举报违法行为的奖励力度，提高行业服务和监管水平，促进普惠性非基本公共服务健康规范发展。</w:t>
      </w:r>
    </w:p>
    <w:p>
      <w:pPr>
        <w:tabs>
          <w:tab w:val="left" w:pos="6300"/>
        </w:tabs>
        <w:spacing w:line="360" w:lineRule="auto"/>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明确重点方向。</w:t>
      </w:r>
      <w:r>
        <w:rPr>
          <w:rFonts w:ascii="Times New Roman" w:hAnsi="Times New Roman" w:eastAsia="方正仿宋_GBK" w:cs="Times New Roman"/>
          <w:bCs/>
          <w:sz w:val="32"/>
          <w:szCs w:val="32"/>
        </w:rPr>
        <w:t>在基本公共服务供给清单的基础上，结合江北区相关领域公共服务供给总量不足、供需性矛盾突出等短板，支持社会力量重点加强普惠托育、普惠养老、普惠学前教育、普惠医疗、普惠文体等领域普惠化供给，明确政府购买重点领域普惠公共服务。普惠性托育方面，实施城企联动普惠托育专项行动，大力发展普惠性托育服务，支持托幼一体化发展。普惠学前教育方面，持续推动“国家学前教育改革发展实验区”试点，实施重庆学前教育行动计划，扩大普惠优质学前教育资源。普惠养老方面，积极推进城企联动普惠养老项目建设，探索“互联网+老年健康”，开展“智慧助老”行动，扶持社会资本提供养老服务。普惠医疗方面，持续推动国家慢性病综合防控示范区建设，健全中医药传承创新发展体系，推动广大人民群众能够就近享有公平可及、系统连续的高水平医疗卫生服务。普惠文体方面，逐步完善社会化文化娱乐、社会化全民健身组织网络，全民文化娱乐、全民健身与教育、医疗、卫生、旅游等深度融合探索取得突破。</w:t>
      </w:r>
    </w:p>
    <w:bookmarkEnd w:id="204"/>
    <w:p>
      <w:pPr>
        <w:tabs>
          <w:tab w:val="left" w:pos="6300"/>
        </w:tabs>
        <w:spacing w:line="360" w:lineRule="auto"/>
        <w:contextualSpacing/>
        <w:jc w:val="center"/>
        <w:outlineLvl w:val="1"/>
        <w:rPr>
          <w:rFonts w:ascii="Times New Roman" w:hAnsi="Times New Roman" w:eastAsia="方正楷体_GBK" w:cs="Times New Roman"/>
          <w:b/>
          <w:bCs/>
          <w:sz w:val="32"/>
          <w:szCs w:val="32"/>
        </w:rPr>
      </w:pPr>
      <w:bookmarkStart w:id="205" w:name="_Toc8319"/>
      <w:bookmarkStart w:id="206" w:name="_Toc29384"/>
      <w:bookmarkStart w:id="207" w:name="_Toc10871"/>
      <w:bookmarkStart w:id="208" w:name="_Toc15290"/>
      <w:bookmarkStart w:id="209" w:name="_Toc32430"/>
      <w:bookmarkStart w:id="210" w:name="_Toc6570"/>
      <w:bookmarkStart w:id="211" w:name="_Toc25969"/>
      <w:bookmarkStart w:id="212" w:name="_Toc15627"/>
      <w:r>
        <w:rPr>
          <w:rFonts w:ascii="Times New Roman" w:hAnsi="Times New Roman" w:eastAsia="方正楷体_GBK" w:cs="Times New Roman"/>
          <w:b/>
          <w:bCs/>
          <w:sz w:val="32"/>
          <w:szCs w:val="32"/>
        </w:rPr>
        <w:t>第三节 系统提升生活服务业高质量水平</w:t>
      </w:r>
      <w:bookmarkEnd w:id="205"/>
      <w:bookmarkEnd w:id="206"/>
      <w:bookmarkEnd w:id="207"/>
      <w:bookmarkEnd w:id="208"/>
      <w:bookmarkEnd w:id="209"/>
      <w:bookmarkEnd w:id="210"/>
      <w:bookmarkEnd w:id="211"/>
      <w:bookmarkEnd w:id="212"/>
    </w:p>
    <w:p>
      <w:pPr>
        <w:tabs>
          <w:tab w:val="left" w:pos="6300"/>
        </w:tabs>
        <w:spacing w:line="360" w:lineRule="auto"/>
        <w:ind w:firstLine="643" w:firstLineChars="200"/>
        <w:contextualSpacing/>
        <w:rPr>
          <w:rFonts w:ascii="Times New Roman" w:hAnsi="Times New Roman" w:cs="Times New Roman"/>
        </w:rPr>
      </w:pPr>
      <w:r>
        <w:rPr>
          <w:rFonts w:ascii="Times New Roman" w:hAnsi="Times New Roman" w:eastAsia="方正仿宋_GBK" w:cs="Times New Roman"/>
          <w:b/>
          <w:sz w:val="32"/>
          <w:szCs w:val="32"/>
        </w:rPr>
        <w:t>拓展多层次多样化生活服务。</w:t>
      </w:r>
      <w:r>
        <w:rPr>
          <w:rFonts w:ascii="Times New Roman" w:hAnsi="Times New Roman" w:eastAsia="方正仿宋_GBK" w:cs="Times New Roman"/>
          <w:bCs/>
          <w:sz w:val="32"/>
          <w:szCs w:val="32"/>
        </w:rPr>
        <w:t>培育壮大生活性服务重点行业，以公共性、普惠性为导向，突出体育健身提档升级，强化养老服务体系建设，规范发展教育培训服务，推动文旅融合发展，加快医疗康养业态创新、促进家政服务提质扩容，积极拓展多层次多样化生活服务种类。做好与公共服务体系的有序衔接。优先发展教育、医疗、社会保障等与公共服务密切配合、有序衔接的重点行业，统筹协调校外培训与学校教育、高端医疗与公立医院、劳动与社会保障等关系，培育形成互嵌式或阶梯式发展模式。依托社区综合服务设施，建设规范化、标准化生活服务中心，提供方便可信赖的养老、托育、家政、体育健身等一站式、品牌化服务。</w:t>
      </w:r>
    </w:p>
    <w:p>
      <w:pPr>
        <w:tabs>
          <w:tab w:val="left" w:pos="6300"/>
        </w:tabs>
        <w:spacing w:line="360" w:lineRule="auto"/>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打造生活服务业品牌。</w:t>
      </w:r>
      <w:r>
        <w:rPr>
          <w:rFonts w:ascii="Times New Roman" w:hAnsi="Times New Roman" w:eastAsia="方正仿宋_GBK" w:cs="Times New Roman"/>
          <w:bCs/>
          <w:sz w:val="32"/>
          <w:szCs w:val="32"/>
        </w:rPr>
        <w:t>遵循品牌培育发展规律，采取分步实施、阶段推进的办法，有力有序培育打造健康、养老、教育培训、家政、体育健身等生活服务业品牌，保护传承“健康中国行”等“老字号”，开发打造“品质享老，江北享寿”等 “特字号”，培育壮大“我是小交警”等“新字号”。加大品牌宣传力度，深度挖掘展示品牌文化内涵、时尚理念和优秀品质，依托媒体、网络、展会等渠道，加强全区知名服务企业、服务品牌宣传，提高品牌知名度、认可度。</w:t>
      </w:r>
    </w:p>
    <w:p>
      <w:pPr>
        <w:tabs>
          <w:tab w:val="left" w:pos="6300"/>
        </w:tabs>
        <w:spacing w:line="360" w:lineRule="auto"/>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壮大服务类企业发展</w:t>
      </w:r>
      <w:r>
        <w:rPr>
          <w:rFonts w:ascii="Times New Roman" w:hAnsi="Times New Roman" w:eastAsia="方正仿宋_GBK" w:cs="Times New Roman"/>
          <w:bCs/>
          <w:sz w:val="32"/>
          <w:szCs w:val="32"/>
        </w:rPr>
        <w:t>。鼓励中小微企业创新发展，大力引进“中国服务业企业500强名单”“中国民营企业服务业100强”设立区域性总部，支持拥有优质资源的公共服务企业，通过合作、连锁经营等多种方式，跨地区开设服务网点。</w:t>
      </w:r>
    </w:p>
    <w:p>
      <w:pPr>
        <w:tabs>
          <w:tab w:val="left" w:pos="6300"/>
        </w:tabs>
        <w:spacing w:line="360" w:lineRule="auto"/>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加强市场监管和服务。</w:t>
      </w:r>
      <w:r>
        <w:rPr>
          <w:rFonts w:ascii="Times New Roman" w:hAnsi="Times New Roman" w:eastAsia="方正仿宋_GBK" w:cs="Times New Roman"/>
          <w:bCs/>
          <w:sz w:val="32"/>
          <w:szCs w:val="32"/>
        </w:rPr>
        <w:t>加大对生活服务业品牌评价的协调和指导，做好服务品牌评价、信息发布和监测工作。加强品牌保护力度，定期依法依规开展查处侵权假冒服务品牌行动。积极开展服务业标准化行动，鼓励龙头企业组建行业联盟推进行业自律和市场自主标准制定，以标准化促进服务质量提升。</w:t>
      </w:r>
    </w:p>
    <w:p>
      <w:pPr>
        <w:tabs>
          <w:tab w:val="left" w:pos="6300"/>
        </w:tabs>
        <w:spacing w:line="360" w:lineRule="auto"/>
        <w:ind w:firstLine="643" w:firstLineChars="200"/>
        <w:contextualSpacing/>
        <w:jc w:val="center"/>
        <w:outlineLvl w:val="1"/>
        <w:rPr>
          <w:rFonts w:ascii="Times New Roman" w:hAnsi="Times New Roman" w:eastAsia="方正楷体_GBK" w:cs="Times New Roman"/>
          <w:b/>
          <w:bCs/>
          <w:sz w:val="32"/>
          <w:szCs w:val="32"/>
        </w:rPr>
      </w:pPr>
      <w:bookmarkStart w:id="213" w:name="_Toc22261"/>
      <w:bookmarkStart w:id="214" w:name="_Toc5372"/>
      <w:bookmarkStart w:id="215" w:name="_Toc9651"/>
      <w:bookmarkStart w:id="216" w:name="_Toc3523"/>
      <w:bookmarkStart w:id="217" w:name="_Toc20883"/>
      <w:bookmarkStart w:id="218" w:name="_Toc15288"/>
      <w:bookmarkStart w:id="219" w:name="_Toc3834"/>
      <w:bookmarkStart w:id="220" w:name="_Toc30084"/>
      <w:bookmarkStart w:id="221" w:name="_Toc29047"/>
      <w:r>
        <w:rPr>
          <w:rFonts w:ascii="Times New Roman" w:hAnsi="Times New Roman" w:eastAsia="方正楷体_GBK" w:cs="Times New Roman"/>
          <w:b/>
          <w:bCs/>
          <w:sz w:val="32"/>
          <w:szCs w:val="32"/>
        </w:rPr>
        <w:t>第四节 系统提升公共服务共建共享水平</w:t>
      </w:r>
      <w:bookmarkEnd w:id="213"/>
      <w:bookmarkEnd w:id="214"/>
      <w:bookmarkEnd w:id="215"/>
      <w:bookmarkEnd w:id="216"/>
      <w:bookmarkEnd w:id="217"/>
      <w:bookmarkEnd w:id="218"/>
      <w:bookmarkEnd w:id="219"/>
      <w:bookmarkEnd w:id="220"/>
      <w:bookmarkEnd w:id="221"/>
    </w:p>
    <w:p>
      <w:pPr>
        <w:widowControl/>
        <w:numPr>
          <w:ilvl w:val="255"/>
          <w:numId w:val="0"/>
        </w:numPr>
        <w:tabs>
          <w:tab w:val="left" w:pos="6300"/>
        </w:tabs>
        <w:spacing w:line="360" w:lineRule="auto"/>
        <w:ind w:firstLine="643" w:firstLineChars="200"/>
        <w:contextualSpacing/>
        <w:jc w:val="left"/>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推进成渝公共服务共建共享。</w:t>
      </w:r>
      <w:bookmarkStart w:id="222" w:name="_Hlk98057316"/>
      <w:r>
        <w:rPr>
          <w:rFonts w:ascii="Times New Roman" w:hAnsi="Times New Roman" w:eastAsia="方正仿宋_GBK" w:cs="Times New Roman"/>
          <w:bCs/>
          <w:sz w:val="32"/>
          <w:szCs w:val="32"/>
        </w:rPr>
        <w:t>推动成渝地区构建就业服务共享协作机制，推动人力资源市场开放和服务机构及其从业人员资格互认，加快实现社会保险协同互认，推进养老、失业保险关系无障碍转移接续，实现社会保障卡共享应用和异地办理，推动准入年限同城化累计互认、居住证互通互认，有序扩大户政服务“跨省通办”范围。深度融合基础教育，推动成渝地区流动人口子女入学保障机制试点建设，开展与四川省成都青羊区、德阳市、泸州市、巴中市等教育战略性合作，共同开拓川渝教育协同发展新领域。统筹布局优质医疗卫生资源，促进医疗服务区域合作，完善医保异地就医即时结算机制，促进与四川省德阳市构建地区专科联盟，推进中医重点学（专）科、中医专科联盟建设，推动成渝毗邻地区中医医院在人才培养、科学研究、外事交流等方面合作。持续实施文化惠民工程，完善全民健身公共体育设施。推动老年人照护需求评估、老年人入住评估等互通互认，鼓励养老设施跨区域共建。全面融入广阳岛打造“长江风景眼，重庆生态岛”，推进望江生态休闲小镇、五宝国际生态运动城建设。加强生态环境保护与修复，切实筑牢长江上游重要生态屏障。</w:t>
      </w:r>
    </w:p>
    <w:bookmarkEnd w:id="222"/>
    <w:p>
      <w:pPr>
        <w:widowControl/>
        <w:numPr>
          <w:ilvl w:val="255"/>
          <w:numId w:val="0"/>
        </w:numPr>
        <w:tabs>
          <w:tab w:val="left" w:pos="6300"/>
        </w:tabs>
        <w:spacing w:line="360" w:lineRule="auto"/>
        <w:ind w:firstLine="643" w:firstLineChars="200"/>
        <w:contextualSpacing/>
        <w:jc w:val="left"/>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推进“一区两群”公共服务共建共享。</w:t>
      </w:r>
      <w:r>
        <w:rPr>
          <w:rFonts w:ascii="Times New Roman" w:hAnsi="Times New Roman" w:eastAsia="方正仿宋_GBK" w:cs="Times New Roman"/>
          <w:bCs/>
          <w:sz w:val="32"/>
          <w:szCs w:val="32"/>
        </w:rPr>
        <w:t>坚持优势互补、资源共享、互惠互利、协同联动，注重帮扶与协同并举，推进区域医疗协同服务。依托区内优质医院，开展医院结对帮扶活动，加强管理输出、技术帮带、人员培训、设备支持、学科建设，帮助改善医疗卫生服务条件，开展医务人员学习培训，推动优秀医务人员相互交流服务。与酉阳县建立远程数字化医疗协作系统，推进优质医疗卫生资源共享，实施公立医疗机构检查检验结果互认，在医疗质控、医院巡查等方面共享专家资源。推进教育跨区域合作发展，选择1—2所优质学校与酉阳县公立学校结对共建，通过体制改革、机制创新、干部挂职、教师互访、顶岗培训等新平台、新路径，引导区内集团化办学向“两群”延伸，带动“两群”基础教育更高水平优质均衡发展，为全市跨区域教育合作、开放与发展，提供可复制的先进经验与合作范式。</w:t>
      </w:r>
    </w:p>
    <w:p>
      <w:pPr>
        <w:widowControl/>
        <w:numPr>
          <w:ilvl w:val="255"/>
          <w:numId w:val="0"/>
        </w:numPr>
        <w:tabs>
          <w:tab w:val="left" w:pos="6300"/>
        </w:tabs>
        <w:spacing w:line="360" w:lineRule="auto"/>
        <w:ind w:firstLine="643" w:firstLineChars="200"/>
        <w:contextualSpacing/>
        <w:rPr>
          <w:rFonts w:ascii="Times New Roman" w:hAnsi="Times New Roman" w:eastAsia="方正仿宋_GBK" w:cs="Times New Roman"/>
          <w:bCs/>
          <w:sz w:val="32"/>
          <w:szCs w:val="32"/>
          <w:highlight w:val="yellow"/>
        </w:rPr>
      </w:pPr>
      <w:r>
        <w:rPr>
          <w:rFonts w:ascii="Times New Roman" w:hAnsi="Times New Roman" w:eastAsia="方正仿宋_GBK" w:cs="Times New Roman"/>
          <w:b/>
          <w:sz w:val="32"/>
          <w:szCs w:val="32"/>
        </w:rPr>
        <w:t>推进相邻区域公共服务共建共享。</w:t>
      </w:r>
      <w:r>
        <w:rPr>
          <w:rFonts w:ascii="Times New Roman" w:hAnsi="Times New Roman" w:eastAsia="方正仿宋_GBK" w:cs="Times New Roman"/>
          <w:bCs/>
          <w:sz w:val="32"/>
          <w:szCs w:val="32"/>
        </w:rPr>
        <w:t>积极强化江北区中心城区引领示范功能，积极推进公共服务同城共建，公共服务设施共建共享，推进公共服务资源和要素多向自由流动，为群众就近享有公共服务提供便利条件，争取率先建成全市高质量发展高品质生活新范例。探索区内优质学校与两江新区、渝中区、沙坪坝区、渝北区等开展名校结对活动，积极推进集团化办学，积极探索建立跨区域职教集团（联盟）和开展产教融合试点，共享优质教育培训等资源。积极争取与渝中区、南岸区、渝北区等建设应对突发公共卫生事件应急合作机制，积极统筹区域医疗卫生、养老托育服务等资源，畅通突发公共卫生事件信息，推进跨地区医师多点执业，联合开展学术交流、应急演练及培训等活动。加强与“两江四岸”沿线区域合作，依托“长嘉汇大景区”建设，共建一批体育文化公园、休闲娱乐场地等，推进望江生态休闲小镇、五宝国际生态运动城等建设，积极重塑“两江四岸”国际化山水商圈都市风貌。</w:t>
      </w:r>
    </w:p>
    <w:p>
      <w:pPr>
        <w:pStyle w:val="4"/>
        <w:numPr>
          <w:ilvl w:val="255"/>
          <w:numId w:val="0"/>
        </w:numPr>
        <w:jc w:val="center"/>
        <w:rPr>
          <w:rFonts w:ascii="Times New Roman" w:hAnsi="Times New Roman" w:cs="Times New Roman"/>
        </w:rPr>
      </w:pPr>
      <w:bookmarkStart w:id="223" w:name="_Toc17243"/>
      <w:bookmarkStart w:id="224" w:name="_Toc29104"/>
      <w:bookmarkStart w:id="225" w:name="_Toc18981"/>
      <w:bookmarkStart w:id="226" w:name="_Toc13661"/>
      <w:bookmarkStart w:id="227" w:name="_Toc4407"/>
      <w:bookmarkStart w:id="228" w:name="_Toc32093"/>
      <w:bookmarkStart w:id="229" w:name="_Toc29841"/>
      <w:bookmarkStart w:id="230" w:name="_Toc24529"/>
      <w:bookmarkStart w:id="231" w:name="_Toc7879"/>
      <w:r>
        <w:rPr>
          <w:rFonts w:ascii="Times New Roman" w:hAnsi="Times New Roman" w:eastAsia="方正楷体_GBK" w:cs="Times New Roman"/>
        </w:rPr>
        <w:t>第五节 系统提升公共服务数字服务水平</w:t>
      </w:r>
      <w:bookmarkEnd w:id="223"/>
      <w:bookmarkEnd w:id="224"/>
      <w:bookmarkEnd w:id="225"/>
      <w:bookmarkEnd w:id="226"/>
      <w:bookmarkEnd w:id="227"/>
      <w:bookmarkEnd w:id="228"/>
      <w:bookmarkEnd w:id="229"/>
      <w:bookmarkEnd w:id="230"/>
      <w:bookmarkEnd w:id="231"/>
    </w:p>
    <w:p>
      <w:pPr>
        <w:tabs>
          <w:tab w:val="left" w:pos="6300"/>
        </w:tabs>
        <w:spacing w:line="360" w:lineRule="auto"/>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推进公共服务新技术创新应用</w:t>
      </w:r>
      <w:r>
        <w:rPr>
          <w:rFonts w:ascii="Times New Roman" w:hAnsi="Times New Roman" w:eastAsia="方正仿宋_GBK" w:cs="Times New Roman"/>
          <w:bCs/>
          <w:sz w:val="32"/>
          <w:szCs w:val="32"/>
        </w:rPr>
        <w:t>。坚持场景化推动，以市区一体的“城市大脑”为统领，以江北区大数据资源中心为支撑，加快构建“基础能力+支撑体系+融跨平台+典型应用”一体化场景建设体系，持续驱动数据赋能公共服务。加大公共服务新型基础设施建设，深化5G网络在全区重点领域、公共区域全覆盖。积极争取“渝快政”钉钉政务应用在江北试点，依托“渝快政”移动政务应用平台，加快开发“公务邮件”等区属应用模块，实现政府内部办公、监督、决策、协调等业务协同。促进人工智能在公共服务领域推广应用，探索“区块链+”在公共服务领域的运用，鼓励支持智慧社区、智慧医疗、智慧文体、智慧养老、智慧人社等公共服务智慧化发展。深化“城市大脑”“大数据资源中心”等公共服务平台建设应用，加快信息无障碍建设，推动数字化服务普惠应用。鼓励社会力量依法平等参与“互联网+公共服务”供给，发挥市场主体资金、数据、技术、人才优势，推动教育、医疗、养老等公共服务模式和产品创新。</w:t>
      </w:r>
    </w:p>
    <w:p>
      <w:pPr>
        <w:tabs>
          <w:tab w:val="left" w:pos="6300"/>
        </w:tabs>
        <w:spacing w:line="360" w:lineRule="auto"/>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加快公共服务线上线下融合发展</w:t>
      </w:r>
      <w:r>
        <w:rPr>
          <w:rFonts w:ascii="Times New Roman" w:hAnsi="Times New Roman" w:eastAsia="方正仿宋_GBK" w:cs="Times New Roman"/>
          <w:bCs/>
          <w:sz w:val="32"/>
          <w:szCs w:val="32"/>
        </w:rPr>
        <w:t>。充分运用大数据、云计算、人工智能、物联网、区块链等新技术，推动线上线下公共服务融合互动。依托“智能江北”建设，全面推进教育部“基于教学改革，融合信息技术的新型教与学模式”实验区工作，开展“云学校”及“专递课堂”、“名师课堂”、“名校网络课堂”建设试点。推进未来学校创新计划，按照“11+5+X”模式，加快未来学校建设，培育STEM教育领航学校。推进“互联网+医疗健康”赋能行动，健全完善全民健康信息平台、公众健康服务平台，推进互联网医院建设。加强智慧医疗、智慧服务、智慧管理“三位一体”的智慧医院建设，推进疫苗接种全程数字化，探索医学人工智能应用场景试点。创新发展“互联网+中医药健康”服务，加快妇幼、老年、</w:t>
      </w:r>
      <w:r>
        <w:rPr>
          <w:rFonts w:hint="eastAsia" w:ascii="Times New Roman" w:hAnsi="Times New Roman" w:eastAsia="方正仿宋_GBK" w:cs="Times New Roman"/>
          <w:bCs/>
          <w:sz w:val="32"/>
          <w:szCs w:val="32"/>
        </w:rPr>
        <w:t>慢性病</w:t>
      </w:r>
      <w:r>
        <w:rPr>
          <w:rFonts w:ascii="Times New Roman" w:hAnsi="Times New Roman" w:eastAsia="方正仿宋_GBK" w:cs="Times New Roman"/>
          <w:bCs/>
          <w:sz w:val="32"/>
          <w:szCs w:val="32"/>
        </w:rPr>
        <w:t>等领域智能化服务改造，推进线上线下一体化服务模式应用。大力推动数字图书馆、数字博物馆、数字文化馆等建设。创新教育、医疗、养老等公共服务模式和产品，发挥市场主体资金、数据、技术、人才优势，激发公共服务市场创新活力。</w:t>
      </w:r>
    </w:p>
    <w:p>
      <w:pPr>
        <w:tabs>
          <w:tab w:val="left" w:pos="6300"/>
        </w:tabs>
        <w:spacing w:line="360" w:lineRule="auto"/>
        <w:ind w:firstLine="643" w:firstLineChars="200"/>
        <w:contextualSpacing/>
        <w:rPr>
          <w:rFonts w:ascii="Times New Roman" w:hAnsi="Times New Roman" w:cs="Times New Roman"/>
        </w:rPr>
      </w:pPr>
      <w:r>
        <w:rPr>
          <w:rFonts w:ascii="Times New Roman" w:hAnsi="Times New Roman" w:eastAsia="方正仿宋_GBK" w:cs="Times New Roman"/>
          <w:b/>
          <w:sz w:val="32"/>
          <w:szCs w:val="32"/>
        </w:rPr>
        <w:t>推动公共服务数据互联互通</w:t>
      </w:r>
      <w:r>
        <w:rPr>
          <w:rFonts w:ascii="Times New Roman" w:hAnsi="Times New Roman" w:eastAsia="方正仿宋_GBK" w:cs="Times New Roman"/>
          <w:bCs/>
          <w:sz w:val="32"/>
          <w:szCs w:val="32"/>
        </w:rPr>
        <w:t>。依托“渝快办”政务服务平台，加强教育、医疗卫生、社会保障、社会服务等重点领域信息共享和证明互认，完善统一身份认证、电子印章用章、电子证照服务系统，逐步建立以社会保障卡为载体的居民服务“一卡通”，加强区—街镇—村（社区）三级政务服务体系线上衔接，实现公共服务“一网通办”“一网统管”。畅通 “三医”数据融通共享，推动域内医院、基层医疗卫生、公共卫生与全民健康信息平台的规范连接，实现以数据驱动、流程再造、资源整合为重点的应用信息系统数据共享和业务协同。建立健全政府及公共服务机构数据开放共享规则，在加强公共服务数据安全保障和隐私保护的前提下，推动医疗卫生、养老等公共服务领域和政府部门数据有序开放，打破“数据烟囱”“信息孤岛”。</w:t>
      </w:r>
    </w:p>
    <w:p>
      <w:pPr>
        <w:numPr>
          <w:ilvl w:val="255"/>
          <w:numId w:val="0"/>
        </w:numPr>
        <w:jc w:val="center"/>
        <w:outlineLvl w:val="1"/>
        <w:rPr>
          <w:rFonts w:ascii="Times New Roman" w:hAnsi="Times New Roman" w:cs="Times New Roman"/>
        </w:rPr>
      </w:pPr>
      <w:bookmarkStart w:id="232" w:name="_Toc14093"/>
      <w:bookmarkStart w:id="233" w:name="_Toc8935"/>
      <w:bookmarkStart w:id="234" w:name="_Toc9979"/>
      <w:bookmarkStart w:id="235" w:name="_Toc1713"/>
      <w:bookmarkStart w:id="236" w:name="_Toc29984"/>
      <w:bookmarkStart w:id="237" w:name="_Toc30768"/>
      <w:bookmarkStart w:id="238" w:name="_Toc13087"/>
      <w:bookmarkStart w:id="239" w:name="_Toc16043"/>
      <w:bookmarkStart w:id="240" w:name="_Toc32166"/>
      <w:r>
        <w:rPr>
          <w:rFonts w:ascii="Times New Roman" w:hAnsi="Times New Roman" w:eastAsia="方正楷体_GBK" w:cs="Times New Roman"/>
          <w:b/>
          <w:bCs/>
          <w:sz w:val="32"/>
          <w:szCs w:val="32"/>
        </w:rPr>
        <w:t>第六节 系统提升与人口相适应的公共服务水平</w:t>
      </w:r>
      <w:bookmarkEnd w:id="232"/>
      <w:bookmarkEnd w:id="233"/>
      <w:bookmarkEnd w:id="234"/>
      <w:bookmarkEnd w:id="235"/>
      <w:bookmarkEnd w:id="236"/>
      <w:bookmarkEnd w:id="237"/>
      <w:bookmarkEnd w:id="238"/>
      <w:bookmarkEnd w:id="239"/>
      <w:bookmarkEnd w:id="240"/>
    </w:p>
    <w:p>
      <w:pPr>
        <w:widowControl/>
        <w:tabs>
          <w:tab w:val="left" w:pos="6300"/>
        </w:tabs>
        <w:spacing w:line="360" w:lineRule="auto"/>
        <w:ind w:firstLine="643" w:firstLineChars="200"/>
        <w:contextualSpacing/>
        <w:jc w:val="left"/>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优化人口治理服务。</w:t>
      </w:r>
      <w:r>
        <w:rPr>
          <w:rFonts w:ascii="Times New Roman" w:hAnsi="Times New Roman" w:eastAsia="方正仿宋_GBK" w:cs="Times New Roman"/>
          <w:bCs/>
          <w:sz w:val="32"/>
          <w:szCs w:val="32"/>
        </w:rPr>
        <w:t>加快推进以人为核心的新型城镇化，提高农业转移人口市民化质量，按要求落实以经常居住地登记户口制度，探索实施积分落户制度，逐步实现人口自由流动和迁徙，注重高素质人才集聚和发展。稳步提升城镇化水平和质量。推动人口合理有序聚集，进一步缓解石马河、华新街、五里店、观音桥等核心地段常住人口压力，坚持人口发展与产业布局、资源环境保护相结合，落实人口绿色发展计划。强化相关区域人口管理和服务配套，在观音桥、江北城、寸滩、铁山坪等写字楼和厂房密集地区，持续做好写字楼和厂房大规模工作人员的人口管理和服务配套。围绕人口发展，完善以人口为导向的社会治理服务，实现党建引领化解物业矛盾进小区、老马带小马工作室进社区“两个全覆盖”，畅通和规范社会群体和群众共同参与治理的途径，推广“百姓管家”“百姓议事厅”等治理品牌，创新打造“德治议事堂”，坚持和发展新时代“枫桥经验”，加快三级综治中心建设，促进治理智能化再造。</w:t>
      </w:r>
      <w:r>
        <w:rPr>
          <w:rFonts w:ascii="Times New Roman" w:hAnsi="Times New Roman" w:eastAsia="方正仿宋_GBK" w:cs="Times New Roman"/>
          <w:kern w:val="0"/>
          <w:sz w:val="32"/>
          <w:szCs w:val="32"/>
          <w:lang w:bidi="ar"/>
        </w:rPr>
        <w:t>加强人口监测和研判，落实人口监测预警制度，推动人口信息互通共享，推动教育、公安、民政、卫生健康、医保、社保等人口服务基础信息融合共享、动态更新。</w:t>
      </w:r>
    </w:p>
    <w:p>
      <w:pPr>
        <w:widowControl/>
        <w:numPr>
          <w:ilvl w:val="255"/>
          <w:numId w:val="0"/>
        </w:numPr>
        <w:tabs>
          <w:tab w:val="left" w:pos="6300"/>
        </w:tabs>
        <w:spacing w:line="360" w:lineRule="auto"/>
        <w:ind w:firstLine="643" w:firstLineChars="200"/>
        <w:contextualSpacing/>
        <w:jc w:val="left"/>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完善公共服务资源投入挂钩机制</w:t>
      </w:r>
      <w:r>
        <w:rPr>
          <w:rFonts w:ascii="Times New Roman" w:hAnsi="Times New Roman" w:eastAsia="方正仿宋_GBK" w:cs="Times New Roman"/>
          <w:bCs/>
          <w:sz w:val="32"/>
          <w:szCs w:val="32"/>
        </w:rPr>
        <w:t>。根据城镇常住人口发展趋势和空间分布，合理布局各项公共服务设施。贯彻落实全市统一要求，加快建立公共服务投入与常住人口挂钩机制，推动公共资源按常住人口规模配置。落实财政转移支付与农业转移人口市民化挂钩政策，加大区级财政均衡性转移支付中常住人口因素权重。落实城镇新增建设用地规模与吸纳农业转移人口落户数量挂钩政策，依据国土空间规划和上一年度进城落户人口数量，合理安排各类城镇新增建设用地规模，专项安排进城落户人口相应的新增建设用地计划指标。</w:t>
      </w:r>
    </w:p>
    <w:p>
      <w:pPr>
        <w:numPr>
          <w:ilvl w:val="255"/>
          <w:numId w:val="0"/>
        </w:numPr>
        <w:ind w:firstLine="643" w:firstLineChars="200"/>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提高制度统筹能力</w:t>
      </w:r>
      <w:r>
        <w:rPr>
          <w:rFonts w:ascii="Times New Roman" w:hAnsi="Times New Roman" w:eastAsia="方正仿宋_GBK" w:cs="Times New Roman"/>
          <w:bCs/>
          <w:sz w:val="32"/>
          <w:szCs w:val="32"/>
        </w:rPr>
        <w:t>。强化政府对基本公共服务的投入责任，建立稳定的公共服务投入机制，加大公共财政投入，优化政府对公共服务资源的直接配置模式，努力扩大城乡公共服务覆盖面。建立“保基本、买服务”的激励性财政补偿机制，提升政府公共服务供给效能和水平。完善政府主导的多元化公共服务筹资机制，统筹公共预算基建及政府债券各项资金资源资产，积极稳妥利用市场机制推进公共服务领域资源优化配置，充分发挥市场在资源配置中的决定性作用，支持和引入社会第三方提供公共服务，提高服务水平和效率。坚持把公共财政支出优先用于教育、医疗、养老等领域，提高资源利用效率和政策实施效果。</w:t>
      </w:r>
    </w:p>
    <w:p>
      <w:pPr>
        <w:tabs>
          <w:tab w:val="left" w:pos="6300"/>
        </w:tabs>
        <w:spacing w:line="360" w:lineRule="auto"/>
        <w:jc w:val="center"/>
        <w:outlineLvl w:val="0"/>
        <w:rPr>
          <w:rFonts w:ascii="Times New Roman" w:hAnsi="Times New Roman" w:eastAsia="方正黑体_GBK" w:cs="Times New Roman"/>
          <w:bCs/>
          <w:sz w:val="32"/>
          <w:szCs w:val="32"/>
        </w:rPr>
      </w:pPr>
      <w:bookmarkStart w:id="241" w:name="_Toc10542"/>
      <w:bookmarkStart w:id="242" w:name="_Toc31888"/>
      <w:bookmarkStart w:id="243" w:name="_Toc18678"/>
      <w:bookmarkStart w:id="244" w:name="_Toc2638"/>
      <w:bookmarkStart w:id="245" w:name="_Toc77438430"/>
      <w:bookmarkStart w:id="246" w:name="_Toc4237"/>
      <w:bookmarkStart w:id="247" w:name="_Toc11143"/>
      <w:bookmarkStart w:id="248" w:name="_Toc31712"/>
      <w:bookmarkStart w:id="249" w:name="_Toc11974"/>
      <w:bookmarkStart w:id="250" w:name="_Toc12716"/>
      <w:bookmarkStart w:id="251" w:name="_Toc30479"/>
      <w:bookmarkStart w:id="252" w:name="_Toc21048"/>
      <w:bookmarkStart w:id="253" w:name="_Toc17132"/>
      <w:bookmarkStart w:id="254" w:name="_Toc31959"/>
      <w:bookmarkStart w:id="255" w:name="_Toc16115"/>
      <w:bookmarkStart w:id="256" w:name="_Toc25900"/>
      <w:bookmarkStart w:id="257" w:name="_Toc15740"/>
      <w:bookmarkStart w:id="258" w:name="_Toc15474"/>
      <w:r>
        <w:rPr>
          <w:rFonts w:ascii="Times New Roman" w:hAnsi="Times New Roman" w:eastAsia="方正黑体_GBK" w:cs="Times New Roman"/>
          <w:bCs/>
          <w:sz w:val="32"/>
          <w:szCs w:val="32"/>
        </w:rPr>
        <w:t xml:space="preserve">第四章 </w:t>
      </w:r>
      <w:bookmarkEnd w:id="241"/>
      <w:bookmarkEnd w:id="242"/>
      <w:bookmarkEnd w:id="243"/>
      <w:bookmarkEnd w:id="244"/>
      <w:bookmarkEnd w:id="245"/>
      <w:bookmarkEnd w:id="246"/>
      <w:bookmarkEnd w:id="247"/>
      <w:bookmarkEnd w:id="248"/>
      <w:bookmarkEnd w:id="249"/>
      <w:bookmarkEnd w:id="250"/>
      <w:r>
        <w:rPr>
          <w:rFonts w:ascii="Times New Roman" w:hAnsi="Times New Roman" w:eastAsia="方正黑体_GBK" w:cs="Times New Roman"/>
          <w:bCs/>
          <w:sz w:val="32"/>
          <w:szCs w:val="32"/>
        </w:rPr>
        <w:t>补齐基本公共服务短板</w:t>
      </w:r>
      <w:bookmarkEnd w:id="251"/>
      <w:bookmarkEnd w:id="252"/>
      <w:bookmarkEnd w:id="253"/>
      <w:bookmarkEnd w:id="254"/>
      <w:bookmarkEnd w:id="255"/>
      <w:bookmarkEnd w:id="256"/>
      <w:bookmarkEnd w:id="257"/>
      <w:bookmarkEnd w:id="258"/>
    </w:p>
    <w:p>
      <w:pPr>
        <w:tabs>
          <w:tab w:val="left" w:pos="6300"/>
        </w:tabs>
        <w:spacing w:line="360" w:lineRule="auto"/>
        <w:contextualSpacing/>
        <w:jc w:val="center"/>
        <w:outlineLvl w:val="1"/>
        <w:rPr>
          <w:rFonts w:ascii="Times New Roman" w:hAnsi="Times New Roman" w:eastAsia="方正楷体_GBK" w:cs="Times New Roman"/>
          <w:b/>
          <w:sz w:val="32"/>
          <w:szCs w:val="32"/>
        </w:rPr>
      </w:pPr>
      <w:bookmarkStart w:id="259" w:name="_Toc4564"/>
      <w:bookmarkStart w:id="260" w:name="_Toc31541"/>
      <w:bookmarkStart w:id="261" w:name="_Toc11566"/>
      <w:bookmarkStart w:id="262" w:name="_Toc6374"/>
      <w:bookmarkStart w:id="263" w:name="_Toc19966"/>
      <w:bookmarkStart w:id="264" w:name="_Toc21742"/>
      <w:bookmarkStart w:id="265" w:name="_Toc21805"/>
      <w:bookmarkStart w:id="266" w:name="_Toc1940"/>
      <w:bookmarkStart w:id="267" w:name="_Toc6752"/>
      <w:bookmarkStart w:id="268" w:name="_Toc8763"/>
      <w:bookmarkStart w:id="269" w:name="_Toc11326"/>
      <w:bookmarkStart w:id="270" w:name="_Toc26760"/>
      <w:bookmarkStart w:id="271" w:name="_Toc19404"/>
      <w:bookmarkStart w:id="272" w:name="_Toc13477"/>
      <w:bookmarkStart w:id="273" w:name="_Toc20646"/>
      <w:bookmarkStart w:id="274" w:name="_Toc21051"/>
      <w:bookmarkStart w:id="275" w:name="_Toc77438432"/>
      <w:bookmarkStart w:id="276" w:name="_Toc20737"/>
      <w:r>
        <w:rPr>
          <w:rFonts w:ascii="Times New Roman" w:hAnsi="Times New Roman" w:eastAsia="方正楷体_GBK" w:cs="Times New Roman"/>
          <w:b/>
          <w:sz w:val="32"/>
          <w:szCs w:val="32"/>
        </w:rPr>
        <w:t>第一节 不断提高优生优育服务水平</w:t>
      </w:r>
      <w:bookmarkEnd w:id="259"/>
      <w:bookmarkEnd w:id="260"/>
      <w:bookmarkEnd w:id="261"/>
      <w:bookmarkEnd w:id="262"/>
      <w:bookmarkEnd w:id="263"/>
      <w:bookmarkEnd w:id="264"/>
    </w:p>
    <w:p>
      <w:pPr>
        <w:widowControl/>
        <w:tabs>
          <w:tab w:val="left" w:pos="6300"/>
        </w:tabs>
        <w:spacing w:line="360" w:lineRule="auto"/>
        <w:ind w:firstLine="640" w:firstLineChars="200"/>
        <w:contextualSpacing/>
        <w:jc w:val="left"/>
        <w:rPr>
          <w:rFonts w:ascii="Times New Roman" w:hAnsi="Times New Roman" w:cs="Times New Roman"/>
          <w:kern w:val="0"/>
          <w:lang w:bidi="ar"/>
        </w:rPr>
      </w:pPr>
      <w:r>
        <w:rPr>
          <w:rFonts w:ascii="Times New Roman" w:hAnsi="Times New Roman" w:eastAsia="方正仿宋_GBK" w:cs="Times New Roman"/>
          <w:sz w:val="32"/>
          <w:szCs w:val="32"/>
        </w:rPr>
        <w:t>落实妊娠风险筛查与评估、高危孕产妇专案管理、危急重症救治、孕产妇死亡个案报告和约谈通报等母婴安全五项制度。加强危重孕产妇、新生儿救治能力及儿科建设，夯实区—街镇—社区（村）三级优生优育服务网络体系，加强各级妇幼保健机构标准化建设和规范化管理。加强儿童保健门诊标准化、规范化建设，加强对儿童青少年近视、营养不均衡、龋齿等风险因素和疾病的筛查、诊断、干预。健全出生缺陷防治网络，落实三级预防措施。加强相关知识普及和出生缺陷防控咨询，强化婚前保健，推进孕前优生健康检查，加强产前筛查和诊断。规范人类辅助生殖技术应用，加强人类辅助生殖技术服务监管，严格规范相关技术应用。综合治理出生人口性别比，促进人口结构改善。增强生育政策包容性，</w:t>
      </w:r>
      <w:r>
        <w:rPr>
          <w:rFonts w:ascii="Times New Roman" w:hAnsi="Times New Roman" w:eastAsia="方正仿宋_GBK" w:cs="Times New Roman"/>
          <w:kern w:val="0"/>
          <w:sz w:val="32"/>
          <w:szCs w:val="32"/>
          <w:lang w:bidi="ar"/>
        </w:rPr>
        <w:t>提倡适龄婚育、优生优育，实施三孩生育政策及配套支持措施，优化完善生育登记服务、再生育服务制度等。</w:t>
      </w:r>
      <w:r>
        <w:rPr>
          <w:rFonts w:ascii="Times New Roman" w:hAnsi="Times New Roman" w:eastAsia="方正仿宋_GBK" w:cs="Times New Roman"/>
          <w:sz w:val="32"/>
          <w:szCs w:val="32"/>
        </w:rPr>
        <w:t>降低生育养育子女成本，</w:t>
      </w:r>
      <w:r>
        <w:rPr>
          <w:rFonts w:ascii="Times New Roman" w:hAnsi="Times New Roman" w:eastAsia="方正仿宋_GBK" w:cs="Times New Roman"/>
          <w:kern w:val="0"/>
          <w:sz w:val="32"/>
          <w:szCs w:val="32"/>
          <w:lang w:bidi="ar"/>
        </w:rPr>
        <w:t>严格落实婚假、产假、护理假、哺乳假、育儿假等制度，依法保障育儿家庭假期相关合法权益，逐步健全假期用工成本分担机制。</w:t>
      </w:r>
    </w:p>
    <w:p>
      <w:pPr>
        <w:rPr>
          <w:rFonts w:ascii="Times New Roman" w:hAnsi="Times New Roman" w:cs="Times New Roman"/>
        </w:rPr>
      </w:pP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tabs>
                <w:tab w:val="left" w:pos="6300"/>
              </w:tabs>
              <w:spacing w:line="360" w:lineRule="auto"/>
              <w:contextualSpacing/>
              <w:jc w:val="center"/>
              <w:rPr>
                <w:rFonts w:ascii="Times New Roman" w:hAnsi="Times New Roman" w:cs="Times New Roman"/>
                <w:b/>
                <w:bCs/>
                <w:kern w:val="0"/>
                <w:sz w:val="24"/>
                <w:szCs w:val="24"/>
              </w:rPr>
            </w:pPr>
            <w:r>
              <w:rPr>
                <w:rFonts w:ascii="Times New Roman" w:hAnsi="Times New Roman" w:cs="Times New Roman"/>
                <w:b/>
                <w:bCs/>
                <w:kern w:val="0"/>
                <w:sz w:val="24"/>
                <w:szCs w:val="24"/>
              </w:rPr>
              <w:t>专栏4-1 优生优育服务重点项目</w:t>
            </w:r>
          </w:p>
          <w:p>
            <w:pPr>
              <w:tabs>
                <w:tab w:val="left" w:pos="6300"/>
              </w:tabs>
              <w:spacing w:line="360" w:lineRule="auto"/>
              <w:ind w:firstLine="480" w:firstLineChars="200"/>
              <w:contextualSpacing/>
              <w:rPr>
                <w:rFonts w:ascii="Times New Roman" w:hAnsi="Times New Roman" w:eastAsia="方正仿宋_GBK" w:cs="Times New Roman"/>
                <w:highlight w:val="green"/>
              </w:rPr>
            </w:pPr>
            <w:r>
              <w:rPr>
                <w:rFonts w:ascii="Times New Roman" w:hAnsi="Times New Roman" w:cs="Times New Roman"/>
                <w:bCs/>
                <w:kern w:val="0"/>
                <w:sz w:val="24"/>
                <w:szCs w:val="24"/>
              </w:rPr>
              <w:t>实施妇幼健康保障工程，完善“区—街镇—村（社区）”三级妇幼健康服务网络，按照二级甲等妇幼保健机构建设标准提档升级区妇幼保健计划生育服务中心，加强危重孕产妇和新生儿救治中心建设。开展出生缺陷干预工程，落实孕前优生健康检查、农村妇女“两癌”筛查项目和乙肝母婴传播等项目，健全出生缺陷防治网络。实施孕产妇和儿童健康服务行动计划，全面落实母婴安全五项制度，开展青少年生殖、心理健康教育。开展生育支持计划，完善三孩生育政策及配套支持措施。</w:t>
            </w:r>
          </w:p>
        </w:tc>
      </w:tr>
    </w:tbl>
    <w:p>
      <w:pPr>
        <w:tabs>
          <w:tab w:val="left" w:pos="6300"/>
        </w:tabs>
        <w:spacing w:line="360" w:lineRule="auto"/>
        <w:contextualSpacing/>
        <w:jc w:val="center"/>
        <w:rPr>
          <w:rFonts w:ascii="Times New Roman" w:hAnsi="Times New Roman" w:eastAsia="方正楷体_GBK" w:cs="Times New Roman"/>
          <w:b/>
          <w:sz w:val="32"/>
          <w:szCs w:val="32"/>
        </w:rPr>
      </w:pPr>
      <w:bookmarkStart w:id="277" w:name="_Toc12152"/>
      <w:bookmarkStart w:id="278" w:name="_Toc32523"/>
      <w:bookmarkStart w:id="279" w:name="_Toc12354"/>
      <w:bookmarkStart w:id="280" w:name="_Toc30280"/>
    </w:p>
    <w:p>
      <w:pPr>
        <w:tabs>
          <w:tab w:val="left" w:pos="6300"/>
        </w:tabs>
        <w:spacing w:line="360" w:lineRule="auto"/>
        <w:contextualSpacing/>
        <w:jc w:val="center"/>
        <w:outlineLvl w:val="1"/>
        <w:rPr>
          <w:rFonts w:ascii="Times New Roman" w:hAnsi="Times New Roman" w:eastAsia="方正仿宋_GBK" w:cs="Times New Roman"/>
          <w:b/>
          <w:bCs/>
          <w:sz w:val="32"/>
          <w:szCs w:val="32"/>
        </w:rPr>
      </w:pPr>
      <w:bookmarkStart w:id="281" w:name="_Toc22323"/>
      <w:bookmarkStart w:id="282" w:name="_Toc23378"/>
      <w:r>
        <w:rPr>
          <w:rFonts w:ascii="Times New Roman" w:hAnsi="Times New Roman" w:eastAsia="方正楷体_GBK" w:cs="Times New Roman"/>
          <w:b/>
          <w:sz w:val="32"/>
          <w:szCs w:val="32"/>
        </w:rPr>
        <w:t>第二节 着力完善义务教育服务体系</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Fonts w:ascii="Times New Roman" w:hAnsi="Times New Roman" w:eastAsia="方正楷体_GBK" w:cs="Times New Roman"/>
          <w:b/>
          <w:sz w:val="32"/>
          <w:szCs w:val="32"/>
        </w:rPr>
        <w:t xml:space="preserve"> </w:t>
      </w:r>
      <w:r>
        <w:rPr>
          <w:rFonts w:ascii="Times New Roman" w:hAnsi="Times New Roman" w:eastAsia="方正仿宋_GBK" w:cs="Times New Roman"/>
          <w:b/>
          <w:bCs/>
          <w:sz w:val="32"/>
          <w:szCs w:val="32"/>
        </w:rPr>
        <w:t xml:space="preserve"> </w:t>
      </w:r>
    </w:p>
    <w:p>
      <w:pPr>
        <w:tabs>
          <w:tab w:val="left" w:pos="6300"/>
        </w:tabs>
        <w:spacing w:line="600" w:lineRule="exact"/>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优化配置全区义务教育资源。</w:t>
      </w:r>
      <w:r>
        <w:rPr>
          <w:rFonts w:ascii="Times New Roman" w:hAnsi="Times New Roman" w:eastAsia="方正仿宋_GBK" w:cs="Times New Roman"/>
          <w:bCs/>
          <w:sz w:val="32"/>
          <w:szCs w:val="32"/>
        </w:rPr>
        <w:t>结合三孩生育政策及配套支持措施，推动做好预测至2035年的中小学学生规模测算，通过各种方式和渠道预留中小学用地，合理有序扩大优质学校学位供给，完成华新小学福宁村校区、两江新村实验学校等26所学校续建、新建及改扩建项目建设，完善随迁子女入学政策。结合人口导向，推进中小学建设适度向人口增长趋势明显的石马河、大石坝、复盛等街镇倾斜，新建玉带新城规划学校、华新鹿鸣实验学校、溉澜溪实验学校等学校，使义务教育服务设施布局、供给规模与学生结构、分布和环境交通等相适应。统筹城乡公共教育服务资源布局，</w:t>
      </w:r>
      <w:r>
        <w:rPr>
          <w:rFonts w:ascii="Times New Roman" w:hAnsi="Times New Roman" w:eastAsia="方正仿宋_GBK" w:cs="Times New Roman"/>
          <w:sz w:val="32"/>
          <w:szCs w:val="32"/>
        </w:rPr>
        <w:t>因地制宜、分类</w:t>
      </w:r>
      <w:r>
        <w:rPr>
          <w:rFonts w:ascii="Times New Roman" w:hAnsi="Times New Roman" w:eastAsia="方正仿宋_GBK" w:cs="Times New Roman"/>
          <w:bCs/>
          <w:sz w:val="32"/>
          <w:szCs w:val="32"/>
        </w:rPr>
        <w:t>施策，统筹开展新一轮乡村学校布局规划，</w:t>
      </w:r>
      <w:r>
        <w:rPr>
          <w:rFonts w:ascii="Times New Roman" w:hAnsi="Times New Roman" w:eastAsia="方正仿宋_GBK" w:cs="Times New Roman"/>
          <w:sz w:val="32"/>
          <w:szCs w:val="32"/>
        </w:rPr>
        <w:t>持续改善乡镇寄宿制学校办学条件，保留并办好必要的小规模学校，支持发展城乡教育联合体。</w:t>
      </w:r>
      <w:r>
        <w:rPr>
          <w:rFonts w:ascii="Times New Roman" w:hAnsi="Times New Roman" w:eastAsia="方正仿宋_GBK" w:cs="Times New Roman"/>
          <w:bCs/>
          <w:sz w:val="32"/>
          <w:szCs w:val="32"/>
        </w:rPr>
        <w:t>推动城乡义务教育一体化发展。继续加大薄弱学校支持力度，实施徐悲鸿小学、雨花小学改扩建工程等，重点解决学校校地、校舍、运动场馆面积不足等问题，对全区校点布局中保留的老旧中小学校实施综合改造，全面实现全区义务教育学校校舍的优质均衡。</w:t>
      </w:r>
    </w:p>
    <w:p>
      <w:pPr>
        <w:tabs>
          <w:tab w:val="left" w:pos="6300"/>
        </w:tabs>
        <w:spacing w:line="600" w:lineRule="exact"/>
        <w:ind w:firstLine="641"/>
        <w:contextualSpacing/>
        <w:rPr>
          <w:rFonts w:ascii="Times New Roman" w:hAnsi="Times New Roman" w:cs="Times New Roman"/>
        </w:rPr>
      </w:pPr>
      <w:r>
        <w:rPr>
          <w:rFonts w:ascii="Times New Roman" w:hAnsi="Times New Roman" w:eastAsia="方正仿宋_GBK" w:cs="Times New Roman"/>
          <w:b/>
          <w:bCs/>
          <w:sz w:val="32"/>
          <w:szCs w:val="32"/>
        </w:rPr>
        <w:t>巩固推进义务教育优质均衡发展。</w:t>
      </w:r>
      <w:r>
        <w:rPr>
          <w:rFonts w:ascii="Times New Roman" w:hAnsi="Times New Roman" w:eastAsia="方正仿宋_GBK" w:cs="Times New Roman"/>
          <w:bCs/>
          <w:sz w:val="32"/>
          <w:szCs w:val="32"/>
        </w:rPr>
        <w:t>继续实施义务教育阶段困难学生资助制度，完善覆盖全学段的学生资助体系，推进义务教育“两免一补”政策城乡统一，健全应助尽助机制，提升精准资助水平。持续巩固消除义务教育大校额、大班额、超大班额工作成果，落实“双减”政策，深化中小学教学课程改革，健全中小学教育质量保障体系，着力减轻中小学生过重课内外学业负担。通过教育课程体系建设和改革，加强新时代中小学美育、体育和劳动教育，推动数字校园建设，提升教育服务数字化水平。加强心理教育工作，成立江北区学校心理健康教育工作中心。纵深推进集团化办学，发挥“民转公”等优质教育资源作用。加强教师队伍能力素质和师德师风建设，</w:t>
      </w:r>
      <w:r>
        <w:rPr>
          <w:rFonts w:ascii="Times New Roman" w:hAnsi="Times New Roman" w:eastAsia="方正仿宋_GBK" w:cs="Times New Roman"/>
          <w:sz w:val="32"/>
          <w:szCs w:val="32"/>
        </w:rPr>
        <w:t>全面推行义务教育教师“县管校聘”。</w:t>
      </w:r>
      <w:r>
        <w:rPr>
          <w:rFonts w:ascii="Times New Roman" w:hAnsi="Times New Roman" w:eastAsia="方正仿宋_GBK" w:cs="Times New Roman"/>
          <w:bCs/>
          <w:sz w:val="32"/>
          <w:szCs w:val="32"/>
        </w:rPr>
        <w:t>到2025年，全区义务教育巩固率达到100%、劳动年龄人口平均受教育年限（年）达到13年，义务教育阶段学校基本实现“群众身边满意学校”目标。</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tabs>
                <w:tab w:val="left" w:pos="6300"/>
              </w:tabs>
              <w:spacing w:line="360" w:lineRule="auto"/>
              <w:contextualSpacing/>
              <w:jc w:val="center"/>
              <w:rPr>
                <w:rFonts w:ascii="Times New Roman" w:hAnsi="Times New Roman" w:cs="Times New Roman"/>
                <w:b/>
                <w:bCs/>
                <w:kern w:val="0"/>
                <w:sz w:val="24"/>
                <w:szCs w:val="24"/>
              </w:rPr>
            </w:pPr>
            <w:r>
              <w:rPr>
                <w:rFonts w:ascii="Times New Roman" w:hAnsi="Times New Roman" w:cs="Times New Roman"/>
                <w:b/>
                <w:bCs/>
                <w:kern w:val="0"/>
                <w:sz w:val="24"/>
                <w:szCs w:val="24"/>
              </w:rPr>
              <w:t>专栏4-2 基本教育服务设施重点项目</w:t>
            </w:r>
          </w:p>
          <w:p>
            <w:pPr>
              <w:tabs>
                <w:tab w:val="left" w:pos="6300"/>
              </w:tabs>
              <w:spacing w:line="360" w:lineRule="auto"/>
              <w:ind w:firstLine="480" w:firstLineChars="200"/>
              <w:contextualSpacing/>
              <w:rPr>
                <w:rFonts w:ascii="Times New Roman" w:hAnsi="Times New Roman" w:cs="Times New Roman"/>
                <w:bCs/>
                <w:kern w:val="0"/>
                <w:sz w:val="24"/>
                <w:szCs w:val="24"/>
              </w:rPr>
            </w:pPr>
            <w:r>
              <w:rPr>
                <w:rFonts w:ascii="Times New Roman" w:hAnsi="Times New Roman" w:cs="Times New Roman"/>
                <w:bCs/>
                <w:kern w:val="0"/>
                <w:sz w:val="24"/>
                <w:szCs w:val="24"/>
              </w:rPr>
              <w:t>续建喜乐溪小学（二期）、华新小学福宁村校区、蜀都中学、203中学（二期）等学校4所；新建福宏小学、华新鹿鸣实验学校、重庆江北英华学校、两江国际实验学校、吉安园旁规划学校、溉澜溪实验学校、两江新村实验学校、玉带新城规划学校、唐桂新城规划学校、寸滩嘉溢华规划学校、望江中小学等学校；改扩建培新小学、字水中学（东区）、观音桥中学、徐悲鸿小学、载英中学、雨花小学、重庆八中宏帆初级中学、重庆鲁能巴蜀中学、新村致远实验学校、重庆十八中、女职中等学校；探索建设一批研学实习和劳动实践基地，建设3—5所劳动教育实验学校，创建3—5所心理健康教育特色学校。</w:t>
            </w:r>
          </w:p>
        </w:tc>
      </w:tr>
    </w:tbl>
    <w:p>
      <w:pPr>
        <w:tabs>
          <w:tab w:val="left" w:pos="6300"/>
        </w:tabs>
        <w:spacing w:line="360" w:lineRule="auto"/>
        <w:contextualSpacing/>
        <w:jc w:val="center"/>
        <w:outlineLvl w:val="1"/>
        <w:rPr>
          <w:rFonts w:ascii="Times New Roman" w:hAnsi="Times New Roman" w:eastAsia="方正楷体_GBK" w:cs="Times New Roman"/>
          <w:b/>
          <w:sz w:val="32"/>
          <w:szCs w:val="32"/>
        </w:rPr>
      </w:pPr>
      <w:bookmarkStart w:id="283" w:name="_Toc20589"/>
      <w:bookmarkStart w:id="284" w:name="_Toc77438433"/>
      <w:bookmarkStart w:id="285" w:name="_Toc11125"/>
      <w:bookmarkStart w:id="286" w:name="_Toc19648"/>
      <w:bookmarkStart w:id="287" w:name="_Toc21679"/>
      <w:bookmarkStart w:id="288" w:name="_Toc23990"/>
      <w:bookmarkStart w:id="289" w:name="_Toc27387"/>
      <w:bookmarkStart w:id="290" w:name="_Toc2180"/>
      <w:bookmarkStart w:id="291" w:name="_Toc18571"/>
      <w:bookmarkStart w:id="292" w:name="_Toc29162"/>
      <w:bookmarkStart w:id="293" w:name="_Toc7287"/>
      <w:bookmarkStart w:id="294" w:name="_Toc32758"/>
      <w:bookmarkStart w:id="295" w:name="_Toc5788"/>
      <w:bookmarkStart w:id="296" w:name="_Toc12769"/>
      <w:bookmarkStart w:id="297" w:name="_Toc3934"/>
      <w:bookmarkStart w:id="298" w:name="_Toc28224"/>
      <w:bookmarkStart w:id="299" w:name="_Toc11022"/>
      <w:bookmarkStart w:id="300" w:name="_Toc17777"/>
      <w:r>
        <w:rPr>
          <w:rFonts w:ascii="Times New Roman" w:hAnsi="Times New Roman" w:eastAsia="方正楷体_GBK" w:cs="Times New Roman"/>
          <w:b/>
          <w:sz w:val="32"/>
          <w:szCs w:val="32"/>
        </w:rPr>
        <w:t>第三节 不断提升劳动就业服务水平</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Fonts w:ascii="Times New Roman" w:hAnsi="Times New Roman" w:eastAsia="方正楷体_GBK" w:cs="Times New Roman"/>
          <w:b/>
          <w:sz w:val="32"/>
          <w:szCs w:val="32"/>
        </w:rPr>
        <w:t xml:space="preserve"> </w:t>
      </w:r>
    </w:p>
    <w:p>
      <w:pPr>
        <w:tabs>
          <w:tab w:val="left" w:pos="6300"/>
        </w:tabs>
        <w:spacing w:line="360" w:lineRule="auto"/>
        <w:ind w:firstLine="630" w:firstLineChars="196"/>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提升就业服务能力。</w:t>
      </w:r>
      <w:r>
        <w:rPr>
          <w:rFonts w:ascii="Times New Roman" w:hAnsi="Times New Roman" w:eastAsia="方正仿宋_GBK" w:cs="Times New Roman"/>
          <w:bCs/>
          <w:sz w:val="32"/>
          <w:szCs w:val="32"/>
        </w:rPr>
        <w:t>促进经济发展与扩大就业良性互动，强化就业创业政策与财税、金融、产业等政策的衔接，加强“按需送训”“新型学徒制”“师带徒”等新型就业</w:t>
      </w:r>
      <w:r>
        <w:rPr>
          <w:rFonts w:hint="eastAsia" w:ascii="Times New Roman" w:hAnsi="Times New Roman" w:eastAsia="方正仿宋_GBK" w:cs="Times New Roman"/>
          <w:bCs/>
          <w:sz w:val="32"/>
          <w:szCs w:val="32"/>
        </w:rPr>
        <w:t>形势</w:t>
      </w:r>
      <w:r>
        <w:rPr>
          <w:rFonts w:ascii="Times New Roman" w:hAnsi="Times New Roman" w:eastAsia="方正仿宋_GBK" w:cs="Times New Roman"/>
          <w:bCs/>
          <w:sz w:val="32"/>
          <w:szCs w:val="32"/>
        </w:rPr>
        <w:t>开发，支持和规范发展平台就业、网络就业、共享用工等新就业形态。大力实施全民职业技能提升工程，加强重点群体就业保障，缓解就业结构性矛盾，确保城镇“零就业”家庭动态清零。探索组建行业性、区域性技工教育集团，推进重庆艺才高级技工学校打造江北区首个技师学院，推动建立10个培训（实训）示范机构，支持建立2—5个公共培训（实训）示范机构，健全覆盖城乡、服务均等的公共就业创业服务体系。注重提高产业发展、重大项目、重点民生工程等吸纳就业的能力，确保每年城镇新增就业稳定在3.5万人左右。</w:t>
      </w:r>
    </w:p>
    <w:p>
      <w:pPr>
        <w:tabs>
          <w:tab w:val="left" w:pos="6300"/>
        </w:tabs>
        <w:spacing w:line="360" w:lineRule="auto"/>
        <w:ind w:firstLine="630" w:firstLineChars="196"/>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促进重点群体就业</w:t>
      </w:r>
      <w:r>
        <w:rPr>
          <w:rFonts w:ascii="Times New Roman" w:hAnsi="Times New Roman" w:eastAsia="方正仿宋_GBK" w:cs="Times New Roman"/>
          <w:bCs/>
          <w:sz w:val="32"/>
          <w:szCs w:val="32"/>
        </w:rPr>
        <w:t>。更加注重缓解结构性就业矛盾，实施百万青年就业促进计划、高校毕业生就业创业促进计划和基层成长计划。实施创业促进计划，通过多种形式帮扶大学生、返乡农民工、就业困难人员等灵活创业、共享创业、线上创业，引导更多高校毕业生到基层就业。以城镇“零就业家庭”“低保户家庭”失业人员和“4050”人员等就业困难对象为重点，加强困难人员就业援助。规范公益性岗位开发管理，对长期失业人员实施“一对一”帮扶，积极拓宽退役军人、残疾人等重点群体就业渠道，确保城镇零就业家庭动态清零。</w:t>
      </w:r>
    </w:p>
    <w:p>
      <w:pPr>
        <w:tabs>
          <w:tab w:val="left" w:pos="6300"/>
        </w:tabs>
        <w:spacing w:line="360" w:lineRule="auto"/>
        <w:ind w:firstLine="630" w:firstLineChars="196"/>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健全就业服务保障</w:t>
      </w:r>
      <w:r>
        <w:rPr>
          <w:rFonts w:ascii="Times New Roman" w:hAnsi="Times New Roman" w:eastAsia="方正仿宋_GBK" w:cs="Times New Roman"/>
          <w:bCs/>
          <w:sz w:val="32"/>
          <w:szCs w:val="32"/>
        </w:rPr>
        <w:t>。健全就业失业统计监测预警机制，加强规模性失业预警。完善和谐劳动关系协调机制，不断提升劳动关系基层治理能力。推动社保转移接续，对接全国统一的社会保险公共服务平台，推进失业保险、工伤保险向职业劳动者广覆盖。健全统一开放、竞争有序的人力资源市场体系，</w:t>
      </w:r>
      <w:r>
        <w:rPr>
          <w:rFonts w:ascii="Times New Roman" w:hAnsi="Times New Roman" w:eastAsia="方正仿宋_GBK" w:cs="Times New Roman"/>
          <w:sz w:val="32"/>
          <w:szCs w:val="32"/>
        </w:rPr>
        <w:t>培育壮大人力资源服务产业，</w:t>
      </w:r>
      <w:r>
        <w:rPr>
          <w:rFonts w:ascii="Times New Roman" w:hAnsi="Times New Roman" w:eastAsia="方正仿宋_GBK" w:cs="Times New Roman"/>
          <w:bCs/>
          <w:sz w:val="32"/>
          <w:szCs w:val="32"/>
        </w:rPr>
        <w:t>引进1—2家国内知名猎头公司，培育1—2家全市乃至全国知名的人力资源服务机构，在全市率先建成中国重庆人力资源产业园江北金融园区，</w:t>
      </w:r>
      <w:r>
        <w:rPr>
          <w:rFonts w:ascii="Times New Roman" w:hAnsi="Times New Roman" w:eastAsia="方正仿宋_GBK" w:cs="Times New Roman"/>
          <w:sz w:val="32"/>
          <w:szCs w:val="32"/>
        </w:rPr>
        <w:t>力争“十四五”期末，江北区人力资源服务机构数量达到250家以上，行业年营业收入达40亿元。</w:t>
      </w:r>
    </w:p>
    <w:p>
      <w:pPr>
        <w:tabs>
          <w:tab w:val="left" w:pos="6300"/>
        </w:tabs>
        <w:spacing w:line="360" w:lineRule="auto"/>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培育壮大创业主体。</w:t>
      </w:r>
      <w:r>
        <w:rPr>
          <w:rFonts w:ascii="Times New Roman" w:hAnsi="Times New Roman" w:eastAsia="方正仿宋_GBK" w:cs="Times New Roman"/>
          <w:bCs/>
          <w:sz w:val="32"/>
          <w:szCs w:val="32"/>
        </w:rPr>
        <w:t>打造一批联合孵化特色示范区和创业实训中心，积极打造10—15个市级和区级新职业培训示范基地，在全市率先建设1—2个“智能+技能”人才孵化空间。完善促进创业带动就业、多渠道灵活就业和新职业的保障制度，加快推进市场化、专业化的创业园区、创业孵化基地、众创空间、微企孵化园、楼宇产业园、小企业创业基地等创业载体建设，为创业者提供低成本场地支持、服务指导和政策扶持。推动科技企业孵化器、众创空间等新型孵化平台建设，扩大孵化企业总量、提高孵化企业存活率。</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tabs>
                <w:tab w:val="left" w:pos="6300"/>
              </w:tabs>
              <w:spacing w:line="360" w:lineRule="auto"/>
              <w:ind w:firstLine="1928" w:firstLineChars="800"/>
              <w:contextualSpacing/>
              <w:rPr>
                <w:rFonts w:ascii="Times New Roman" w:hAnsi="Times New Roman" w:cs="Times New Roman"/>
                <w:b/>
                <w:bCs/>
                <w:sz w:val="24"/>
                <w:szCs w:val="24"/>
              </w:rPr>
            </w:pPr>
            <w:r>
              <w:rPr>
                <w:rFonts w:ascii="Times New Roman" w:hAnsi="Times New Roman" w:cs="Times New Roman"/>
                <w:b/>
                <w:bCs/>
                <w:sz w:val="24"/>
                <w:szCs w:val="24"/>
              </w:rPr>
              <w:t>专栏4-3基本劳动就业服务设施补短板重点项目</w:t>
            </w:r>
          </w:p>
          <w:p>
            <w:pPr>
              <w:tabs>
                <w:tab w:val="left" w:pos="6300"/>
              </w:tabs>
              <w:spacing w:line="360" w:lineRule="auto"/>
              <w:ind w:firstLine="480" w:firstLineChars="200"/>
              <w:contextualSpacing/>
              <w:rPr>
                <w:rFonts w:ascii="Times New Roman" w:hAnsi="Times New Roman" w:cs="Times New Roman"/>
                <w:bCs/>
                <w:sz w:val="24"/>
                <w:szCs w:val="24"/>
              </w:rPr>
            </w:pPr>
            <w:r>
              <w:rPr>
                <w:rFonts w:ascii="Times New Roman" w:hAnsi="Times New Roman" w:cs="Times New Roman"/>
                <w:bCs/>
                <w:sz w:val="24"/>
                <w:szCs w:val="24"/>
              </w:rPr>
              <w:t>推进重庆艺才高级技工学校打造江北区首个技师学院，推动建立10个培训（实训）示范机构，支持建立2—5个公共培训（实训）示范机构，积极打造10—15个市级、区级新职业培训示范基地，在全市率先建设1—2个“智能+技能”人才孵化空间。实施人才集聚引育工程。引进1—2家国内知名猎头公司，培育1—2家全市乃至全国知名的人力资源服务机构，在全市率先建成中国重庆人力资源产业园江北金融园区。</w:t>
            </w:r>
          </w:p>
        </w:tc>
      </w:tr>
    </w:tbl>
    <w:p>
      <w:pPr>
        <w:tabs>
          <w:tab w:val="left" w:pos="6300"/>
        </w:tabs>
        <w:spacing w:line="360" w:lineRule="auto"/>
        <w:ind w:firstLine="640" w:firstLineChars="200"/>
        <w:contextualSpacing/>
        <w:rPr>
          <w:rFonts w:ascii="Times New Roman" w:hAnsi="Times New Roman" w:eastAsia="方正仿宋_GBK" w:cs="Times New Roman"/>
          <w:bCs/>
          <w:sz w:val="32"/>
          <w:szCs w:val="32"/>
        </w:rPr>
      </w:pPr>
    </w:p>
    <w:p>
      <w:pPr>
        <w:tabs>
          <w:tab w:val="left" w:pos="6300"/>
        </w:tabs>
        <w:contextualSpacing/>
        <w:jc w:val="center"/>
        <w:outlineLvl w:val="1"/>
        <w:rPr>
          <w:rFonts w:ascii="Times New Roman" w:hAnsi="Times New Roman" w:eastAsia="方正楷体_GBK" w:cs="Times New Roman"/>
          <w:b/>
          <w:sz w:val="32"/>
          <w:szCs w:val="32"/>
        </w:rPr>
      </w:pPr>
      <w:bookmarkStart w:id="301" w:name="_Toc21558"/>
      <w:bookmarkStart w:id="302" w:name="_Toc26163"/>
      <w:bookmarkStart w:id="303" w:name="_Toc77438434"/>
      <w:bookmarkStart w:id="304" w:name="_Toc28161"/>
      <w:bookmarkStart w:id="305" w:name="_Toc26108"/>
      <w:bookmarkStart w:id="306" w:name="_Toc30698"/>
      <w:bookmarkStart w:id="307" w:name="_Toc2117"/>
      <w:bookmarkStart w:id="308" w:name="_Toc23184"/>
      <w:bookmarkStart w:id="309" w:name="_Toc31116"/>
      <w:bookmarkStart w:id="310" w:name="_Toc2955"/>
      <w:bookmarkStart w:id="311" w:name="_Toc18862"/>
      <w:bookmarkStart w:id="312" w:name="_Toc2926"/>
      <w:bookmarkStart w:id="313" w:name="_Toc24774"/>
      <w:bookmarkStart w:id="314" w:name="_Toc6497"/>
      <w:bookmarkStart w:id="315" w:name="_Toc29163"/>
      <w:bookmarkStart w:id="316" w:name="_Toc32602"/>
      <w:bookmarkStart w:id="317" w:name="_Toc30609"/>
      <w:bookmarkStart w:id="318" w:name="_Toc23225"/>
      <w:r>
        <w:rPr>
          <w:rFonts w:ascii="Times New Roman" w:hAnsi="Times New Roman" w:eastAsia="方正楷体_GBK" w:cs="Times New Roman"/>
          <w:b/>
          <w:sz w:val="32"/>
          <w:szCs w:val="32"/>
        </w:rPr>
        <w:t>第四节 系统完善医疗卫生服务体系</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tabs>
          <w:tab w:val="left" w:pos="6300"/>
        </w:tabs>
        <w:spacing w:line="360" w:lineRule="auto"/>
        <w:ind w:firstLine="643" w:firstLineChars="200"/>
        <w:contextualSpacing/>
        <w:rPr>
          <w:rFonts w:ascii="Times New Roman" w:hAnsi="Times New Roman" w:eastAsia="方正仿宋_GBK" w:cs="Times New Roman"/>
          <w:sz w:val="32"/>
          <w:szCs w:val="32"/>
        </w:rPr>
      </w:pPr>
      <w:r>
        <w:rPr>
          <w:rFonts w:ascii="Times New Roman" w:hAnsi="Times New Roman" w:eastAsia="方正仿宋_GBK" w:cs="Times New Roman"/>
          <w:b/>
          <w:sz w:val="32"/>
          <w:szCs w:val="32"/>
        </w:rPr>
        <w:t>优化医疗卫生资源布局和配置。</w:t>
      </w:r>
      <w:r>
        <w:rPr>
          <w:rFonts w:ascii="Times New Roman" w:hAnsi="Times New Roman" w:eastAsia="方正仿宋_GBK" w:cs="Times New Roman"/>
          <w:sz w:val="32"/>
          <w:szCs w:val="32"/>
        </w:rPr>
        <w:t>优化全区医疗卫生布局规划，重点对寸滩至五宝地区进行新增资源和改扩建布局，引导南桥寺至五里店上段地区优质医疗资源向下段渐进式灵活转移，促进全区医疗卫生服务资源配置合理化，缩小城乡和区域医疗卫生差距。全力创建三甲医院，加快建成区人民医院新院区，推动江北区精神卫生中心门诊部大楼改扩建工程、江北区人民医院两江分院、江北区人民医院院区改造工程、江北区中医院二期改扩建项目等建设</w:t>
      </w:r>
      <w:r>
        <w:rPr>
          <w:rFonts w:ascii="Times New Roman" w:hAnsi="Times New Roman" w:eastAsia="方正仿宋_GBK" w:cs="Times New Roman"/>
          <w:sz w:val="32"/>
          <w:szCs w:val="32"/>
          <w:lang w:bidi="ar"/>
        </w:rPr>
        <w:t>，</w:t>
      </w:r>
      <w:r>
        <w:rPr>
          <w:rFonts w:ascii="Times New Roman" w:hAnsi="Times New Roman" w:eastAsia="方正仿宋_GBK" w:cs="Times New Roman"/>
          <w:sz w:val="32"/>
          <w:szCs w:val="32"/>
        </w:rPr>
        <w:t>推动江北区中医院港城院区新建工程项目落地实施。全面确保社区卫生服务中心（站）、乡镇卫生院和村卫生室基础设施和设备标准化建设，新建五里店社区卫生服务中心、郭家沱社区卫生服务中心建设，规划建设4个街镇级卫生服务中心，规划建设居住小区级（社区级）医疗卫生设施133处，实现基层医疗卫生机构标准化率保持100%。力争每个行政村设置一处村卫生室（所）（镇卫生院所在村及服务辐射半径内的村可不设），有条件的行政村可增设。新建1所优抚医院，新建医学检验所、血库。</w:t>
      </w:r>
    </w:p>
    <w:p>
      <w:pPr>
        <w:tabs>
          <w:tab w:val="left" w:pos="6300"/>
        </w:tabs>
        <w:spacing w:line="360" w:lineRule="auto"/>
        <w:ind w:firstLine="643" w:firstLineChars="200"/>
        <w:contextualSpacing/>
        <w:rPr>
          <w:rFonts w:ascii="Times New Roman" w:hAnsi="Times New Roman" w:eastAsia="方正仿宋_GBK" w:cs="Times New Roman"/>
          <w:sz w:val="32"/>
          <w:szCs w:val="32"/>
        </w:rPr>
      </w:pPr>
      <w:r>
        <w:rPr>
          <w:rFonts w:ascii="Times New Roman" w:hAnsi="Times New Roman" w:eastAsia="方正仿宋_GBK" w:cs="Times New Roman"/>
          <w:b/>
          <w:sz w:val="32"/>
          <w:szCs w:val="32"/>
        </w:rPr>
        <w:t>落实公共卫生服务政策。</w:t>
      </w:r>
      <w:r>
        <w:rPr>
          <w:rFonts w:ascii="Times New Roman" w:hAnsi="Times New Roman" w:eastAsia="方正仿宋_GBK" w:cs="Times New Roman"/>
          <w:sz w:val="32"/>
          <w:szCs w:val="32"/>
        </w:rPr>
        <w:t>按照基本公共服务清单项目，实现辖区内常住居民建立统一、规范的电子居民健康档案100%全覆盖，深化实施健康教育、健康咨询、健康科普等服务，大力开展传染病防治和突发公共卫生事件防范知识、卫生科普和教育、食品药品科普宣传与咨询服务等活动，不断完善慢性病患者、严重精神障碍患者等重点人群健康管理体系。完善医疗卫生机构公共卫生服务购买机制，建立公立医院公共卫生职责清单，将公共卫生履职情况纳入公立医院医共体绩效考核。完善公共卫生服务网络，提高公共卫生服务水平，确保实现基本医疗卫生的公平性。</w:t>
      </w:r>
    </w:p>
    <w:p>
      <w:pPr>
        <w:tabs>
          <w:tab w:val="left" w:pos="6300"/>
        </w:tabs>
        <w:spacing w:line="360" w:lineRule="auto"/>
        <w:ind w:firstLine="643" w:firstLineChars="200"/>
        <w:contextualSpacing/>
        <w:rPr>
          <w:rFonts w:ascii="Times New Roman" w:hAnsi="Times New Roman" w:eastAsia="方正仿宋_GBK" w:cs="Times New Roman"/>
          <w:sz w:val="32"/>
          <w:szCs w:val="32"/>
        </w:rPr>
      </w:pPr>
      <w:r>
        <w:rPr>
          <w:rFonts w:ascii="Times New Roman" w:hAnsi="Times New Roman" w:eastAsia="方正仿宋_GBK" w:cs="Times New Roman"/>
          <w:b/>
          <w:sz w:val="32"/>
          <w:szCs w:val="32"/>
        </w:rPr>
        <w:t>加强公共卫生应急体系建设。</w:t>
      </w:r>
      <w:r>
        <w:rPr>
          <w:rFonts w:ascii="Times New Roman" w:hAnsi="Times New Roman" w:eastAsia="方正仿宋_GBK" w:cs="Times New Roman"/>
          <w:sz w:val="32"/>
          <w:szCs w:val="32"/>
        </w:rPr>
        <w:t>完善突发公共卫生事件的应急响应机制，完善全区公共卫生应急项目体系，健全“区—街镇—社区（村）”三级疾病预防控制体系。以重大传染病的防控和突发公共卫生事件处置为重点，推进疾控体系现代化，完善公共卫生重大风险研判评估决策防控协同机制，统筹应急状态下医疗卫生机构动员响应、区域联动、人员调集，健全防治结合、联防联控、群防群治工作机制。</w:t>
      </w:r>
      <w:r>
        <w:rPr>
          <w:rFonts w:hint="eastAsia" w:ascii="Times New Roman" w:hAnsi="Times New Roman" w:eastAsia="方正仿宋_GBK" w:cs="Times New Roman"/>
          <w:sz w:val="32"/>
          <w:szCs w:val="32"/>
        </w:rPr>
        <w:t>鼓励运用大数据、人工智能、云计算等数字技术，在疫情监测分析、病毒溯源、防控救治、资源调配等方面更好发挥支撑作用。</w:t>
      </w:r>
      <w:r>
        <w:rPr>
          <w:rFonts w:ascii="Times New Roman" w:hAnsi="Times New Roman" w:eastAsia="方正仿宋_GBK" w:cs="Times New Roman"/>
          <w:sz w:val="32"/>
          <w:szCs w:val="32"/>
        </w:rPr>
        <w:t>健全统一的医疗应急保障体系，完善应急物资储备和保障制度，健全重大疾病医疗保险和救助制度。建立全民动员机制，深入开展爱国卫生运动，推动公共卫生社会参与。</w:t>
      </w:r>
    </w:p>
    <w:p>
      <w:pPr>
        <w:tabs>
          <w:tab w:val="left" w:pos="6300"/>
        </w:tabs>
        <w:spacing w:line="360" w:lineRule="auto"/>
        <w:ind w:firstLine="643" w:firstLineChars="200"/>
        <w:contextualSpacing/>
        <w:rPr>
          <w:rFonts w:ascii="Times New Roman" w:hAnsi="Times New Roman" w:eastAsia="方正仿宋_GBK" w:cs="Times New Roman"/>
          <w:sz w:val="32"/>
          <w:szCs w:val="32"/>
        </w:rPr>
      </w:pPr>
      <w:r>
        <w:rPr>
          <w:rFonts w:ascii="Times New Roman" w:hAnsi="Times New Roman" w:eastAsia="方正仿宋_GBK" w:cs="Times New Roman"/>
          <w:b/>
          <w:sz w:val="32"/>
          <w:szCs w:val="32"/>
        </w:rPr>
        <w:t>提高基本医疗卫生服务水平。</w:t>
      </w:r>
      <w:r>
        <w:rPr>
          <w:rFonts w:ascii="Times New Roman" w:hAnsi="Times New Roman" w:eastAsia="方正仿宋_GBK" w:cs="Times New Roman"/>
          <w:sz w:val="32"/>
          <w:szCs w:val="32"/>
        </w:rPr>
        <w:t>深化医药卫生体制改革，学习借鉴福建三明医改经验。落实医共体内实行医保基金“总额预算、结余留用、合理超支分担”机制。推进“县管乡用、乡聘村用”试点。深化基层卫生服务综合改革，规范社区卫生服务基本项目，明确基本标准、质量规范、服务责任，完善政策调控机制引导医务人才向基层、农村地区流动，做实家庭医生签约服务，全面建立新型基层医疗卫生服务体系，基本形成“基层首诊、双向转诊、急慢分治、上下联动”的分级诊疗格局。深化人事薪酬制度改革，积极探索医疗卫生事业单位用人制度改革，加快建立医疗卫生单位用人新机制，积极争取扩大我区公立医院人员总量管理试点范围。完善医药服务价格形成机制，建立以市场为主导的药品耗材价格形成机制，深化落实药品和医用耗材集中带量采购制度改革。提升医护人员培养质量和规模，重点扩大儿科、全科、精神科、老年医学科、康复理疗科、健康体检科等医护人员规模。</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tabs>
                <w:tab w:val="left" w:pos="6300"/>
              </w:tabs>
              <w:spacing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专栏4-4 基本医疗卫生服务设施补短板重点项目</w:t>
            </w:r>
          </w:p>
          <w:p>
            <w:pPr>
              <w:tabs>
                <w:tab w:val="left" w:pos="6300"/>
              </w:tabs>
              <w:spacing w:line="360" w:lineRule="auto"/>
              <w:ind w:firstLine="480" w:firstLineChars="200"/>
              <w:contextualSpacing/>
              <w:rPr>
                <w:rFonts w:ascii="Times New Roman" w:hAnsi="Times New Roman" w:cs="Times New Roman"/>
                <w:bCs/>
                <w:sz w:val="24"/>
                <w:szCs w:val="24"/>
              </w:rPr>
            </w:pPr>
            <w:r>
              <w:rPr>
                <w:rFonts w:ascii="Times New Roman" w:hAnsi="Times New Roman" w:cs="Times New Roman"/>
                <w:bCs/>
                <w:sz w:val="24"/>
                <w:szCs w:val="24"/>
              </w:rPr>
              <w:t>积极推动重庆市红十字会医院（江北区人民医院）新建工程、重庆市江北区人民医院两江分院新建工程、江北区精神卫生中心门诊部大楼改扩建工程、江北区人民医院院区改造工程、江北区中医院二期改扩建项目等建设。积极推动江北区中医院港城院区新建工程项目落地实施。实施疾病预防控制中心实验室能力提升工程。新建五里店社区卫生服务中心、郭家沱社区卫生服务中心，规划建设居住小区级（社区级）医疗卫生设施133处。力争每个行政村设置一处村卫生室（所）（镇卫生院所在村及服务辐射半径内的村可不设），有条件的行政村可增设。新建1所优抚医院，新建医学检验所、血库。建设公共卫生应急物资储备库。</w:t>
            </w:r>
          </w:p>
        </w:tc>
      </w:tr>
    </w:tbl>
    <w:p>
      <w:pPr>
        <w:tabs>
          <w:tab w:val="left" w:pos="6300"/>
        </w:tabs>
        <w:spacing w:line="360" w:lineRule="auto"/>
        <w:contextualSpacing/>
        <w:jc w:val="center"/>
        <w:outlineLvl w:val="1"/>
        <w:rPr>
          <w:rFonts w:ascii="Times New Roman" w:hAnsi="Times New Roman" w:eastAsia="方正楷体_GBK" w:cs="Times New Roman"/>
          <w:b/>
          <w:sz w:val="32"/>
          <w:szCs w:val="32"/>
        </w:rPr>
      </w:pPr>
      <w:bookmarkStart w:id="319" w:name="_Toc19801"/>
      <w:bookmarkStart w:id="320" w:name="_Toc784"/>
      <w:bookmarkStart w:id="321" w:name="_Toc27976"/>
      <w:bookmarkStart w:id="322" w:name="_Toc541"/>
      <w:bookmarkStart w:id="323" w:name="_Toc19257"/>
      <w:bookmarkStart w:id="324" w:name="_Toc1388"/>
      <w:bookmarkStart w:id="325" w:name="_Toc29558"/>
      <w:bookmarkStart w:id="326" w:name="_Toc2793"/>
      <w:bookmarkStart w:id="327" w:name="_Toc21656"/>
      <w:bookmarkStart w:id="328" w:name="_Toc10296"/>
      <w:bookmarkStart w:id="329" w:name="_Toc28363"/>
      <w:bookmarkStart w:id="330" w:name="_Toc5815"/>
      <w:bookmarkStart w:id="331" w:name="_Toc77438435"/>
      <w:bookmarkStart w:id="332" w:name="_Toc30297"/>
      <w:bookmarkStart w:id="333" w:name="_Toc26617"/>
      <w:bookmarkStart w:id="334" w:name="_Toc15506"/>
      <w:bookmarkStart w:id="335" w:name="_Toc9825"/>
      <w:bookmarkStart w:id="336" w:name="_Toc11364"/>
      <w:r>
        <w:rPr>
          <w:rFonts w:ascii="Times New Roman" w:hAnsi="Times New Roman" w:eastAsia="方正楷体_GBK" w:cs="Times New Roman"/>
          <w:b/>
          <w:sz w:val="32"/>
          <w:szCs w:val="32"/>
        </w:rPr>
        <w:t>第五节 切实保障基本养老服务需求</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ind w:firstLine="643" w:firstLineChars="200"/>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落实落好养老助老和养老保险服务。</w:t>
      </w:r>
      <w:r>
        <w:rPr>
          <w:rFonts w:ascii="Times New Roman" w:hAnsi="Times New Roman" w:eastAsia="方正仿宋_GBK" w:cs="Times New Roman"/>
          <w:sz w:val="32"/>
          <w:szCs w:val="32"/>
        </w:rPr>
        <w:t>发挥公办养老机构兜底作用，优先保障经济困难的孤寡、失能、高龄、失独等老年人的养老服务需求，进一步完善老年人优待补贴政策，建立老年人能力综合评估制度，强化失能特困供养服务在养老服务中的兜底作用，实现生活不能自理特困人员集中供养率达到100%，有集中供养意愿的特困人员集中供养率达到100%。完善家庭养老支持政策，鼓励家庭成员与老年人共同生活或就近居住，大力发展家庭养老床位，全区建成家庭养老床位1000张。</w:t>
      </w:r>
      <w:r>
        <w:rPr>
          <w:rFonts w:ascii="Times New Roman" w:hAnsi="Times New Roman" w:eastAsia="方正仿宋_GBK" w:cs="Times New Roman"/>
          <w:bCs/>
          <w:sz w:val="32"/>
          <w:szCs w:val="32"/>
        </w:rPr>
        <w:t>每年为辖区内65岁及以上常住居民至少提供1次生活方式和健康状况评估、体格检查、辅助检查和健康指导等服务，每人每年至少提供1次中医体质辨识和中医药保健指导，保障老年人基本福利。健全职工养老和城乡居民基本养老保险体系，促进基本养老保险基金长期平衡，完善城镇职工基本养老金合理调整机制，逐步提高城乡居民基础养老金标准，实现基本养老保险参保率达到97%。</w:t>
      </w:r>
    </w:p>
    <w:p>
      <w:pPr>
        <w:tabs>
          <w:tab w:val="left" w:pos="6300"/>
        </w:tabs>
        <w:spacing w:line="360" w:lineRule="auto"/>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优化基本养老资源配置和布局。</w:t>
      </w:r>
      <w:r>
        <w:rPr>
          <w:rFonts w:ascii="Times New Roman" w:hAnsi="Times New Roman" w:eastAsia="方正仿宋_GBK" w:cs="Times New Roman"/>
          <w:bCs/>
          <w:sz w:val="32"/>
          <w:szCs w:val="32"/>
        </w:rPr>
        <w:t>加强公办养老机构建设，深化双溪敬老院“公建民营”探索，提升兜底保障养老服务质量。科学编制江北区养老服务设施建设专项规划，明确建设位置、用地范围及建设规模，实行统一规划、优先建设。按照人均不少于0.2平方米、分区分类配建养老服务设施，新建城区、新建居民住宅小区配套建设养老服务设施达标率达到100%。按照“一街镇一中心，一社（村）一站（点）”的要求，推动现有存量养老机构标准化改扩建，利用铁山坪126亩康养用地资源，打造高品质的可持续照料退休社区（CCRC），规划建设市第二社会福利院颐康老年护养中心、市中西医结合康复医院失能老人养护中心、老年病医院新院区等。大力发展老年教育，依托社区养老服务机构等，建立健全“区－街（镇）－居委会（村）”老年教育网络。围绕施工改造、设施配备、老年用品配置等方面进行住宅及家具设施适老化改造，推动各类养老服务设施及公共建筑符合无障碍设施工程建设标准，推进老旧小区无障碍改造和加装电梯。</w:t>
      </w:r>
    </w:p>
    <w:p>
      <w:pPr>
        <w:tabs>
          <w:tab w:val="left" w:pos="6300"/>
        </w:tabs>
        <w:spacing w:line="360" w:lineRule="auto"/>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提升基本养老服务水平。</w:t>
      </w:r>
      <w:r>
        <w:rPr>
          <w:rFonts w:ascii="Times New Roman" w:hAnsi="Times New Roman" w:eastAsia="方正仿宋_GBK" w:cs="Times New Roman"/>
          <w:sz w:val="32"/>
          <w:szCs w:val="32"/>
        </w:rPr>
        <w:t>实施老年人照顾服务计划，扩大养老服务供给，开展养老助餐、助洁、助行、助浴、助医“五助”行动，全面推广“1+X”“党建引领+股份制”“中心带站”等养老助餐服务模式。</w:t>
      </w:r>
      <w:r>
        <w:rPr>
          <w:rFonts w:ascii="Times New Roman" w:hAnsi="Times New Roman" w:eastAsia="方正仿宋_GBK" w:cs="Times New Roman"/>
          <w:bCs/>
          <w:sz w:val="32"/>
          <w:szCs w:val="32"/>
        </w:rPr>
        <w:t>积极将建档立卡贫困户、低保家庭等经济困难老年人纳入政府保障范围，实施特困人员供养服务设施和服务质量达标工程，提升特困人员供养服务机构托底保障能力。推动农村敬老院、特困供养服务机构，逐步为农村低保、低收入家庭和脱贫家庭中的老年人，提供低偿或无偿的集中托养服务。健全养老服务培训机制，开展养老服务人才培训提升行动，壮大养老护理员、老年社会工作者队伍。</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tabs>
                <w:tab w:val="left" w:pos="6300"/>
              </w:tabs>
              <w:spacing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专栏4-5 基本养老服务设施补短板重点项目</w:t>
            </w:r>
          </w:p>
          <w:p>
            <w:pPr>
              <w:tabs>
                <w:tab w:val="left" w:pos="6300"/>
              </w:tabs>
              <w:spacing w:line="360" w:lineRule="auto"/>
              <w:ind w:firstLine="470" w:firstLineChars="196"/>
              <w:contextualSpacing/>
              <w:rPr>
                <w:rFonts w:ascii="Times New Roman" w:hAnsi="Times New Roman" w:cs="Times New Roman"/>
                <w:bCs/>
                <w:sz w:val="24"/>
                <w:szCs w:val="24"/>
              </w:rPr>
            </w:pPr>
            <w:r>
              <w:rPr>
                <w:rFonts w:ascii="Times New Roman" w:hAnsi="Times New Roman" w:cs="Times New Roman"/>
                <w:bCs/>
                <w:sz w:val="24"/>
                <w:szCs w:val="24"/>
              </w:rPr>
              <w:t>建设原江陵厂电影院片区养老院2个、五里店勤俭劳动片区养老院1个（改造）、江北区五里店万丰工校片区养老院1个、江北区五里店合作富强片区养老院1个、大石坝原江陵厂片区养老院1个，新建郭家沱养老服务中心，升级改造双溪敬老院等。规划建设市第二社会福利院颐康老年护养中心、市中西医结合康复医院失能老人养护中心、老年病医院新院区等。新建孤寡老人无线独立烟感系统。</w:t>
            </w:r>
          </w:p>
        </w:tc>
      </w:tr>
    </w:tbl>
    <w:p>
      <w:pPr>
        <w:tabs>
          <w:tab w:val="left" w:pos="2295"/>
          <w:tab w:val="left" w:pos="6300"/>
        </w:tabs>
        <w:spacing w:line="360" w:lineRule="auto"/>
        <w:contextualSpacing/>
        <w:rPr>
          <w:rFonts w:ascii="Times New Roman" w:hAnsi="Times New Roman" w:eastAsia="方正楷体_GBK" w:cs="Times New Roman"/>
          <w:b/>
          <w:sz w:val="32"/>
          <w:szCs w:val="32"/>
        </w:rPr>
      </w:pPr>
      <w:bookmarkStart w:id="337" w:name="_Toc2110"/>
      <w:bookmarkStart w:id="338" w:name="_Toc10882"/>
      <w:bookmarkStart w:id="339" w:name="_Toc9821"/>
      <w:bookmarkStart w:id="340" w:name="_Toc24275"/>
      <w:bookmarkStart w:id="341" w:name="_Toc14095"/>
      <w:bookmarkStart w:id="342" w:name="_Toc9997"/>
      <w:bookmarkStart w:id="343" w:name="_Toc28065"/>
      <w:bookmarkStart w:id="344" w:name="_Toc12908"/>
      <w:bookmarkStart w:id="345" w:name="_Toc6573"/>
      <w:bookmarkStart w:id="346" w:name="_Toc77438436"/>
      <w:bookmarkStart w:id="347" w:name="_Toc17765"/>
      <w:bookmarkStart w:id="348" w:name="_Toc22415"/>
      <w:bookmarkStart w:id="349" w:name="_Toc31865"/>
      <w:r>
        <w:rPr>
          <w:rFonts w:ascii="Times New Roman" w:hAnsi="Times New Roman" w:eastAsia="方正楷体_GBK" w:cs="Times New Roman"/>
          <w:b/>
          <w:sz w:val="32"/>
          <w:szCs w:val="32"/>
        </w:rPr>
        <w:tab/>
      </w:r>
    </w:p>
    <w:p>
      <w:pPr>
        <w:tabs>
          <w:tab w:val="left" w:pos="6300"/>
        </w:tabs>
        <w:spacing w:line="360" w:lineRule="auto"/>
        <w:contextualSpacing/>
        <w:jc w:val="center"/>
        <w:outlineLvl w:val="1"/>
        <w:rPr>
          <w:rFonts w:ascii="Times New Roman" w:hAnsi="Times New Roman" w:eastAsia="方正楷体_GBK" w:cs="Times New Roman"/>
          <w:b/>
          <w:sz w:val="32"/>
          <w:szCs w:val="32"/>
        </w:rPr>
      </w:pPr>
      <w:bookmarkStart w:id="350" w:name="_Toc22759"/>
      <w:bookmarkStart w:id="351" w:name="_Toc11798"/>
      <w:bookmarkStart w:id="352" w:name="_Toc11649"/>
      <w:bookmarkStart w:id="353" w:name="_Toc3583"/>
      <w:bookmarkStart w:id="354" w:name="_Toc31098"/>
      <w:r>
        <w:rPr>
          <w:rFonts w:ascii="Times New Roman" w:hAnsi="Times New Roman" w:eastAsia="方正楷体_GBK" w:cs="Times New Roman"/>
          <w:b/>
          <w:sz w:val="32"/>
          <w:szCs w:val="32"/>
        </w:rPr>
        <w:t>第六节 不断加强公共文化服务供给</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Fonts w:ascii="Times New Roman" w:hAnsi="Times New Roman" w:eastAsia="方正楷体_GBK" w:cs="Times New Roman"/>
          <w:b/>
          <w:sz w:val="32"/>
          <w:szCs w:val="32"/>
        </w:rPr>
        <w:t xml:space="preserve"> </w:t>
      </w:r>
    </w:p>
    <w:p>
      <w:pPr>
        <w:widowControl/>
        <w:tabs>
          <w:tab w:val="left" w:pos="6300"/>
        </w:tabs>
        <w:spacing w:line="360" w:lineRule="auto"/>
        <w:ind w:firstLine="643"/>
        <w:contextualSpacing/>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完善公共文化服务设施。</w:t>
      </w:r>
      <w:r>
        <w:rPr>
          <w:rFonts w:ascii="Times New Roman" w:hAnsi="Times New Roman" w:eastAsia="方正仿宋_GBK" w:cs="Times New Roman"/>
          <w:bCs/>
          <w:sz w:val="32"/>
          <w:szCs w:val="32"/>
        </w:rPr>
        <w:t>优化城乡文化资源配置，推进文化馆、图书馆总分馆制建设，实现城乡社区公共文化服务资源整合和互联互通。加快江北区鸿恩寺图书馆改建项目建设，打造西部地区最美林下智慧图书馆。启动实施基层综合文化服务中心全面升级改造，打造3个特色社区综合文化服务中心和1个地标级街道综合文化服务中心，形成功能更加完善、服务更加优质的基层综合文化服务中心。加快推动社区文化“嵌入式”服务，将文化创意融入社区生活场景，建设10个集全时段阅读、全方位服务、全舒适体验的现代智能图书馆。</w:t>
      </w:r>
    </w:p>
    <w:p>
      <w:pPr>
        <w:tabs>
          <w:tab w:val="left" w:pos="6300"/>
        </w:tabs>
        <w:spacing w:line="360" w:lineRule="auto"/>
        <w:ind w:firstLine="643"/>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不断丰富公共文化服务内容。</w:t>
      </w:r>
      <w:r>
        <w:rPr>
          <w:rFonts w:ascii="Times New Roman" w:hAnsi="Times New Roman" w:eastAsia="方正仿宋_GBK" w:cs="Times New Roman"/>
          <w:bCs/>
          <w:sz w:val="32"/>
          <w:szCs w:val="32"/>
        </w:rPr>
        <w:t>推进和指导三级公共文化服务场所免费开放和日常管理服务，着力健全公共文化设施基本服务项目、丰富公共文化活动，结合公众需求确保公共文化设施基本开放时间。完善公共图书馆、文化馆和基层综合性文化服务中心等建设和服务标准规范。深入开展全民艺术普及工作，举办全民艺术节。常态化开展流动文化进村服务，深入开展送戏曲下乡、收听广播、观看电视、惠民电影放映、读书看报等基本公共文化服务活动。持续推进流动文化进村活动，持续组织文化科技卫生“三下乡”、“百本好书送你读”、“戏曲进校园”活动，升级开展小蜜蜂乐园等阅读品牌活动，打造一批“一村一品”文化活动品牌。积极融入成渝地区文化活动共建共享。加强历史文化名城、名镇名村、历史风貌街区等保护与利用，推动优秀传统文化融入生产生活。建强用好区融媒体中心，巩固壮大主流舆论阵地。</w:t>
      </w:r>
    </w:p>
    <w:p>
      <w:pPr>
        <w:widowControl/>
        <w:tabs>
          <w:tab w:val="left" w:pos="6300"/>
        </w:tabs>
        <w:spacing w:line="360" w:lineRule="auto"/>
        <w:ind w:firstLine="643"/>
        <w:contextualSpacing/>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精心塑造艺术之都。</w:t>
      </w:r>
      <w:r>
        <w:rPr>
          <w:rFonts w:ascii="Times New Roman" w:hAnsi="Times New Roman" w:eastAsia="方正仿宋_GBK" w:cs="Times New Roman"/>
          <w:bCs/>
          <w:sz w:val="32"/>
          <w:szCs w:val="32"/>
        </w:rPr>
        <w:t>立足特有山水城市岸线，建设艺术地标，打造北滨人文艺术金丝带。推进徐悲鸿美术馆改造升级，打造国内顶级美术展会。启动实施徐悲鸿艺术街区项目，以徐悲鸿美术馆为核心，纳入徐悲鸿小学、徐悲鸿故居，打造国内第一个徐悲鸿主题艺术街区。推进铁山坪云岭艺术中心升级，打造铁山艺术小镇。推进北仓艺术空间改造，融合创意设计、打卡涂鸦等形式，打造小资网红艺术体验空间。完善三级公共艺术服务体系，协同打造鱼复地区区域文化艺术中心，推进江北区文化艺术中心大楼、街镇文化艺术中心改造升级。</w:t>
      </w:r>
    </w:p>
    <w:p>
      <w:pPr>
        <w:tabs>
          <w:tab w:val="left" w:pos="6300"/>
        </w:tabs>
        <w:spacing w:line="360" w:lineRule="auto"/>
        <w:ind w:firstLine="643"/>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着力提升公共文化服务水平。</w:t>
      </w:r>
      <w:r>
        <w:rPr>
          <w:rFonts w:ascii="Times New Roman" w:hAnsi="Times New Roman" w:eastAsia="方正仿宋_GBK" w:cs="Times New Roman"/>
          <w:bCs/>
          <w:sz w:val="32"/>
          <w:szCs w:val="32"/>
        </w:rPr>
        <w:t>深入开展</w:t>
      </w:r>
      <w:r>
        <w:rPr>
          <w:rFonts w:hint="eastAsia" w:ascii="Times New Roman" w:hAnsi="Times New Roman" w:eastAsia="方正仿宋_GBK" w:cs="Times New Roman"/>
          <w:bCs/>
          <w:sz w:val="32"/>
          <w:szCs w:val="32"/>
        </w:rPr>
        <w:t>学习</w:t>
      </w:r>
      <w:r>
        <w:rPr>
          <w:rFonts w:ascii="Times New Roman" w:hAnsi="Times New Roman" w:eastAsia="方正仿宋_GBK" w:cs="Times New Roman"/>
          <w:bCs/>
          <w:sz w:val="32"/>
          <w:szCs w:val="32"/>
        </w:rPr>
        <w:t>贯彻习近平新时代中国特色社会主义思想</w:t>
      </w:r>
      <w:r>
        <w:rPr>
          <w:rFonts w:hint="eastAsia" w:ascii="Times New Roman" w:hAnsi="Times New Roman" w:eastAsia="方正仿宋_GBK" w:cs="Times New Roman"/>
          <w:bCs/>
          <w:sz w:val="32"/>
          <w:szCs w:val="32"/>
        </w:rPr>
        <w:t>主题</w:t>
      </w:r>
      <w:r>
        <w:rPr>
          <w:rFonts w:ascii="Times New Roman" w:hAnsi="Times New Roman" w:eastAsia="方正仿宋_GBK" w:cs="Times New Roman"/>
          <w:bCs/>
          <w:sz w:val="32"/>
          <w:szCs w:val="32"/>
        </w:rPr>
        <w:t>教育，深化文明城区、文明村镇、文明单位、文明家庭、文明校园等群众性精神文明创建活动，持续巩固和提升国家文明城区创建成果。拓展新时代文明实践中心建设，健全志愿服务体系。深入推进总分馆制建设，实现城乡社区公共文化服务资源整合和互联互通。健全公共文化服务标准体系，推动公共文化服务标准化建设试点。加强数字文化建设工作，依靠公共文化云平台有效推进公共文化服务按需、精准配送。建强用好融媒体中心，逐步建成具有主流舆论阵地、综合服务平台、社区信息枢纽等多种功能的新型信息传播平台。</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tabs>
                <w:tab w:val="left" w:pos="6300"/>
              </w:tabs>
              <w:spacing w:line="360" w:lineRule="auto"/>
              <w:ind w:firstLine="482" w:firstLineChars="200"/>
              <w:contextualSpacing/>
              <w:rPr>
                <w:rFonts w:ascii="Times New Roman" w:hAnsi="Times New Roman" w:cs="Times New Roman"/>
                <w:b/>
                <w:bCs/>
                <w:sz w:val="24"/>
                <w:szCs w:val="24"/>
              </w:rPr>
            </w:pPr>
            <w:r>
              <w:rPr>
                <w:rFonts w:ascii="Times New Roman" w:hAnsi="Times New Roman" w:cs="Times New Roman"/>
                <w:b/>
                <w:bCs/>
                <w:sz w:val="24"/>
                <w:szCs w:val="24"/>
              </w:rPr>
              <w:t xml:space="preserve">          专栏4-6 基本公共文化服务设施补短板重点项目</w:t>
            </w:r>
          </w:p>
          <w:p>
            <w:pPr>
              <w:tabs>
                <w:tab w:val="left" w:pos="6300"/>
              </w:tabs>
              <w:spacing w:line="360" w:lineRule="auto"/>
              <w:ind w:firstLine="480" w:firstLineChars="200"/>
              <w:contextualSpacing/>
              <w:rPr>
                <w:rFonts w:ascii="Times New Roman" w:hAnsi="Times New Roman" w:cs="Times New Roman"/>
                <w:bCs/>
                <w:sz w:val="24"/>
                <w:szCs w:val="24"/>
              </w:rPr>
            </w:pPr>
            <w:r>
              <w:rPr>
                <w:rFonts w:ascii="Times New Roman" w:hAnsi="Times New Roman" w:cs="Times New Roman"/>
                <w:bCs/>
                <w:kern w:val="0"/>
                <w:sz w:val="24"/>
                <w:szCs w:val="24"/>
              </w:rPr>
              <w:t>江北区鸿恩寺图书馆（改建）、10个自助图书馆、徐悲鸿艺术街区、北仓艺术空间、江北区文化艺术中心大楼、街镇文化艺术中心改造升级等。</w:t>
            </w:r>
          </w:p>
        </w:tc>
      </w:tr>
    </w:tbl>
    <w:p>
      <w:pPr>
        <w:tabs>
          <w:tab w:val="left" w:pos="6300"/>
        </w:tabs>
        <w:spacing w:line="360" w:lineRule="auto"/>
        <w:ind w:firstLine="643"/>
        <w:contextualSpacing/>
        <w:rPr>
          <w:rFonts w:ascii="Times New Roman" w:hAnsi="Times New Roman" w:eastAsia="方正仿宋_GBK" w:cs="Times New Roman"/>
          <w:bCs/>
          <w:sz w:val="32"/>
          <w:szCs w:val="32"/>
        </w:rPr>
      </w:pPr>
    </w:p>
    <w:p>
      <w:pPr>
        <w:tabs>
          <w:tab w:val="left" w:pos="6300"/>
        </w:tabs>
        <w:spacing w:line="360" w:lineRule="auto"/>
        <w:contextualSpacing/>
        <w:jc w:val="center"/>
        <w:outlineLvl w:val="1"/>
        <w:rPr>
          <w:rFonts w:ascii="Times New Roman" w:hAnsi="Times New Roman" w:eastAsia="方正楷体_GBK" w:cs="Times New Roman"/>
          <w:b/>
          <w:sz w:val="32"/>
          <w:szCs w:val="32"/>
        </w:rPr>
      </w:pPr>
      <w:bookmarkStart w:id="355" w:name="_Toc3317"/>
      <w:bookmarkStart w:id="356" w:name="_Toc26350"/>
      <w:bookmarkStart w:id="357" w:name="_Toc26546"/>
      <w:bookmarkStart w:id="358" w:name="_Toc12988"/>
      <w:bookmarkStart w:id="359" w:name="_Toc15671"/>
      <w:bookmarkStart w:id="360" w:name="_Toc1501"/>
      <w:bookmarkStart w:id="361" w:name="_Toc8456"/>
      <w:bookmarkStart w:id="362" w:name="_Toc10809"/>
      <w:bookmarkStart w:id="363" w:name="_Toc5257"/>
      <w:bookmarkStart w:id="364" w:name="_Toc3161"/>
      <w:bookmarkStart w:id="365" w:name="_Toc3656"/>
      <w:bookmarkStart w:id="366" w:name="_Toc5494"/>
      <w:bookmarkStart w:id="367" w:name="_Toc23392"/>
      <w:bookmarkStart w:id="368" w:name="_Toc18654"/>
      <w:bookmarkStart w:id="369" w:name="_Toc14611"/>
      <w:bookmarkStart w:id="370" w:name="_Toc21323"/>
      <w:bookmarkStart w:id="371" w:name="_Toc11984"/>
      <w:r>
        <w:rPr>
          <w:rFonts w:ascii="Times New Roman" w:hAnsi="Times New Roman" w:eastAsia="方正楷体_GBK" w:cs="Times New Roman"/>
          <w:b/>
          <w:sz w:val="32"/>
          <w:szCs w:val="32"/>
        </w:rPr>
        <w:t>第七节 着力丰富公共体育服务内容</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tabs>
          <w:tab w:val="left" w:pos="6300"/>
        </w:tabs>
        <w:ind w:firstLine="64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加强三级体育场地设施建设</w:t>
      </w:r>
      <w:r>
        <w:rPr>
          <w:rFonts w:ascii="Times New Roman" w:hAnsi="Times New Roman" w:eastAsia="方正仿宋_GBK" w:cs="Times New Roman"/>
          <w:bCs/>
          <w:sz w:val="32"/>
          <w:szCs w:val="32"/>
        </w:rPr>
        <w:t>。打造区级全民健身中心、体育公园和健身步道，建成“15分钟体育健身圈”，实现三级场地设施全覆盖，推进公共体育场馆及配套设施开放共享。推进城乡公共体育服务体系一体化建设，重点在江北城、五宝等新建住宅小区、新建产业园区和观音桥、五里店等老旧小区按标准配建公共体育设施，合理利用公园、体育中心、闲置厂房等拓展公共体育设施场所，加强已建成公共文化和体育健身设施的后续运营管护，提高使用效益和使用寿命。加快推进鸿恩步道、三洞桥风情街—江北城西大街山城步道工程、大剧院—江北城大街山城步道提升工程、叶水坊步道工程等建设，积极推动市民健身步道建设项目（五宝沿江路扩建工程一期）、五宝镇马鬃岭健身步道项目、五宝镇明月山登山步道项目等落地实施。有序推动大中型体育场馆智慧化改造。深入实施农民体育健身工程，利用农村闲置房屋、集体建设用地、“四荒地”等建设公共体育设施。</w:t>
      </w:r>
    </w:p>
    <w:p>
      <w:pPr>
        <w:ind w:firstLine="643" w:firstLineChars="200"/>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提升体育公共服务能力。</w:t>
      </w:r>
      <w:r>
        <w:rPr>
          <w:rFonts w:ascii="Times New Roman" w:hAnsi="Times New Roman" w:eastAsia="方正仿宋_GBK" w:cs="Times New Roman"/>
          <w:bCs/>
          <w:sz w:val="32"/>
          <w:szCs w:val="32"/>
        </w:rPr>
        <w:t>完善社会体育指导员和志愿者服务机制，探索推行“基层体育委员”制度。加强青少年体育组织建设，广泛开展群众性青少年体育活动和竞赛，推进青少年体教融合取得实质性进展。继续实施体育场馆免费或低收费开放等惠民工程，加大区内政府公共体育场所、溉澜溪体育公园等体育场馆免费开放力度。全面开放社会足球场地，服务质量明显改善，制度完备、权责明确、主体多元、利用高效的社会足球场地长效运营管理机制初步形成。广泛开展和探索创新各类全民健身活动，继续举办江北区运动会和江北区老年人健身运动会等，做大做精户外运动品牌赛事，提升</w:t>
      </w:r>
      <w:r>
        <w:rPr>
          <w:rFonts w:hint="eastAsia" w:ascii="Times New Roman" w:hAnsi="Times New Roman" w:eastAsia="方正仿宋_GBK" w:cs="Times New Roman"/>
          <w:bCs/>
          <w:sz w:val="32"/>
          <w:szCs w:val="32"/>
          <w:lang w:eastAsia="zh-CN"/>
        </w:rPr>
        <w:t>全民健身</w:t>
      </w:r>
      <w:r>
        <w:rPr>
          <w:rFonts w:ascii="Times New Roman" w:hAnsi="Times New Roman" w:eastAsia="方正仿宋_GBK" w:cs="Times New Roman"/>
          <w:bCs/>
          <w:sz w:val="32"/>
          <w:szCs w:val="32"/>
        </w:rPr>
        <w:t>氛围。积极创建国家体育消费试点城市、全民运动健身模范城市。</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tabs>
                <w:tab w:val="left" w:pos="6300"/>
              </w:tabs>
              <w:spacing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专栏4-7 公共体育服务设施补短板重点项目</w:t>
            </w:r>
          </w:p>
          <w:p>
            <w:pPr>
              <w:tabs>
                <w:tab w:val="left" w:pos="6300"/>
              </w:tabs>
              <w:spacing w:line="360" w:lineRule="auto"/>
              <w:ind w:firstLine="480" w:firstLineChars="200"/>
              <w:contextualSpacing/>
              <w:rPr>
                <w:rFonts w:ascii="Times New Roman" w:hAnsi="Times New Roman" w:eastAsia="方正仿宋_GBK" w:cs="Times New Roman"/>
                <w:bCs/>
                <w:sz w:val="32"/>
                <w:szCs w:val="32"/>
              </w:rPr>
            </w:pPr>
            <w:r>
              <w:rPr>
                <w:rFonts w:ascii="Times New Roman" w:hAnsi="Times New Roman" w:cs="Times New Roman"/>
                <w:bCs/>
                <w:sz w:val="24"/>
                <w:szCs w:val="24"/>
              </w:rPr>
              <w:t>打造区级全民健身中心，新建或续建鸿恩步道、三洞桥风情街—江北城西大街山城步道工程、市民健身步道建设项目（五宝沿江路扩建工程一期）、五宝镇马鬃岭健身步道项目、五宝镇明月山登山步道等项目。重点加强新建楼盘较多的江北城片区的公共体育设施配建，建成“15分钟健身圈”，实现三级场地设施全覆盖。全面开放社会足球场地，广泛开展群众性青少年体育活动和竞赛等。</w:t>
            </w:r>
          </w:p>
        </w:tc>
      </w:tr>
    </w:tbl>
    <w:p>
      <w:pPr>
        <w:tabs>
          <w:tab w:val="left" w:pos="6300"/>
        </w:tabs>
        <w:spacing w:line="360" w:lineRule="auto"/>
        <w:contextualSpacing/>
        <w:jc w:val="center"/>
        <w:rPr>
          <w:rFonts w:ascii="Times New Roman" w:hAnsi="Times New Roman" w:cs="Times New Roman"/>
        </w:rPr>
      </w:pPr>
    </w:p>
    <w:p>
      <w:pPr>
        <w:tabs>
          <w:tab w:val="left" w:pos="6300"/>
        </w:tabs>
        <w:spacing w:line="360" w:lineRule="auto"/>
        <w:contextualSpacing/>
        <w:jc w:val="center"/>
        <w:outlineLvl w:val="1"/>
        <w:rPr>
          <w:rFonts w:ascii="Times New Roman" w:hAnsi="Times New Roman" w:eastAsia="方正仿宋_GBK" w:cs="Times New Roman"/>
          <w:sz w:val="32"/>
          <w:szCs w:val="32"/>
        </w:rPr>
      </w:pPr>
      <w:bookmarkStart w:id="372" w:name="_Toc22568"/>
      <w:bookmarkStart w:id="373" w:name="_Toc30793"/>
      <w:bookmarkStart w:id="374" w:name="_Toc2997"/>
      <w:bookmarkStart w:id="375" w:name="_Toc2861"/>
      <w:bookmarkStart w:id="376" w:name="_Toc10869"/>
      <w:bookmarkStart w:id="377" w:name="_Toc2487"/>
      <w:bookmarkStart w:id="378" w:name="_Toc20428"/>
      <w:bookmarkStart w:id="379" w:name="_Toc17419"/>
      <w:bookmarkStart w:id="380" w:name="_Toc28509"/>
      <w:bookmarkStart w:id="381" w:name="_Toc7419"/>
      <w:bookmarkStart w:id="382" w:name="_Toc16676"/>
      <w:bookmarkStart w:id="383" w:name="_Toc15210"/>
      <w:bookmarkStart w:id="384" w:name="_Toc14164"/>
      <w:bookmarkStart w:id="385" w:name="_Toc77438437"/>
      <w:bookmarkStart w:id="386" w:name="_Toc17773"/>
      <w:bookmarkStart w:id="387" w:name="_Toc15062"/>
      <w:bookmarkStart w:id="388" w:name="_Toc29392"/>
      <w:bookmarkStart w:id="389" w:name="_Toc22356"/>
      <w:r>
        <w:rPr>
          <w:rFonts w:ascii="Times New Roman" w:hAnsi="Times New Roman" w:eastAsia="方正楷体_GBK" w:cs="Times New Roman"/>
          <w:b/>
          <w:sz w:val="32"/>
          <w:szCs w:val="32"/>
        </w:rPr>
        <w:t>第八节 扎实推进基本住房保障建设</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Fonts w:ascii="Times New Roman" w:hAnsi="Times New Roman" w:eastAsia="方正楷体_GBK" w:cs="Times New Roman"/>
          <w:b/>
          <w:sz w:val="32"/>
          <w:szCs w:val="32"/>
        </w:rPr>
        <w:t xml:space="preserve"> </w:t>
      </w:r>
    </w:p>
    <w:p>
      <w:pPr>
        <w:tabs>
          <w:tab w:val="left" w:pos="6300"/>
        </w:tabs>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推进老旧小区改造。</w:t>
      </w:r>
      <w:r>
        <w:rPr>
          <w:rFonts w:ascii="Times New Roman" w:hAnsi="Times New Roman" w:eastAsia="方正仿宋_GBK" w:cs="Times New Roman"/>
          <w:sz w:val="32"/>
          <w:szCs w:val="32"/>
        </w:rPr>
        <w:t>以社区作为基本空间单位，按照“串点成线、连线成片、整体推进”的原则规划项目实施范围，</w:t>
      </w:r>
      <w:r>
        <w:rPr>
          <w:rFonts w:ascii="Times New Roman" w:hAnsi="Times New Roman" w:eastAsia="方正仿宋_GBK" w:cs="Times New Roman"/>
          <w:bCs/>
          <w:sz w:val="32"/>
          <w:szCs w:val="32"/>
        </w:rPr>
        <w:t>科学编制全区城镇老旧小区“十四五”改造规划和年度改造计划，</w:t>
      </w:r>
      <w:r>
        <w:rPr>
          <w:rFonts w:ascii="Times New Roman" w:hAnsi="Times New Roman" w:eastAsia="方正仿宋_GBK" w:cs="Times New Roman"/>
          <w:sz w:val="32"/>
          <w:szCs w:val="32"/>
        </w:rPr>
        <w:t>推行十六个重点片区+八个微改造片区老旧小区改造提升，总体纳入改造计划386.14万平方米，涉及楼栋1300栋，涉及户数约6.3万户。积极争取中央预算内资金和专项债券资金支持</w:t>
      </w:r>
      <w:r>
        <w:rPr>
          <w:rFonts w:ascii="Times New Roman" w:hAnsi="Times New Roman" w:eastAsia="方正仿宋_GBK" w:cs="Times New Roman"/>
          <w:bCs/>
          <w:sz w:val="32"/>
          <w:szCs w:val="32"/>
        </w:rPr>
        <w:t>，着力打造“完整社区”，</w:t>
      </w:r>
      <w:r>
        <w:rPr>
          <w:rFonts w:ascii="Times New Roman" w:hAnsi="Times New Roman" w:eastAsia="方正仿宋_GBK" w:cs="Times New Roman"/>
          <w:sz w:val="32"/>
          <w:szCs w:val="32"/>
        </w:rPr>
        <w:t>到“十四五”期末，力争基本完成2000年底前建成的386万平方米城镇老旧小区改造任务。</w:t>
      </w:r>
    </w:p>
    <w:p>
      <w:pPr>
        <w:tabs>
          <w:tab w:val="left" w:pos="6300"/>
        </w:tabs>
        <w:ind w:firstLine="641"/>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完善住房保障体系。</w:t>
      </w:r>
      <w:r>
        <w:rPr>
          <w:rFonts w:ascii="Times New Roman" w:hAnsi="Times New Roman" w:eastAsia="方正仿宋_GBK" w:cs="Times New Roman"/>
          <w:sz w:val="32"/>
          <w:szCs w:val="32"/>
        </w:rPr>
        <w:t>坚持“房住不炒”，坚持租购并举，促进房地产业良性循环和健康发展。</w:t>
      </w:r>
      <w:r>
        <w:rPr>
          <w:rFonts w:ascii="Times New Roman" w:hAnsi="Times New Roman" w:eastAsia="方正仿宋_GBK" w:cs="Times New Roman"/>
          <w:bCs/>
          <w:sz w:val="32"/>
          <w:szCs w:val="32"/>
        </w:rPr>
        <w:t>健全高层次及特殊人才住房保障、公租房住房保障、廉租房住房保障的“高—中—低”三端住房保障体系。加强各类高端人才公寓房源筹集与租赁住房建设，完善与之相配套的高端人才住房补贴等政策。常住人口纳入公共租赁住房保障范围，规范发展公共租赁住房市场，鼓励房地产开发企业开展住房租赁业务。结合江北区实际，采取“新建+改造”模式推进保障性租赁住房工作，利用区内闲置土地新开工建设一批保障性租赁住房，并改造一批闲置的安置房充实保障性租赁住房房源。实施城镇低收入住房困难群体住房保障工作，完善住房实物和货币化保障并举。加快推进实施鱼嘴农转非安置房三期、五宝安置房一期项目、望江棚户区改造及安置房项目等住房保障工程。因地制宜探索发展共有产权住房。</w:t>
      </w:r>
    </w:p>
    <w:p>
      <w:pPr>
        <w:tabs>
          <w:tab w:val="left" w:pos="6300"/>
        </w:tabs>
        <w:ind w:firstLine="641"/>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加强保障性住房精细化管理。</w:t>
      </w:r>
      <w:r>
        <w:rPr>
          <w:rFonts w:ascii="Times New Roman" w:hAnsi="Times New Roman" w:eastAsia="方正仿宋_GBK" w:cs="Times New Roman"/>
          <w:bCs/>
          <w:sz w:val="32"/>
          <w:szCs w:val="32"/>
        </w:rPr>
        <w:t>进一步完善公租房、廉租房等保障性住房的准入、使用和退出机制，严厉打击违规转租、恶意欠租等行为。对标巩固拓展脱贫攻坚成果要求，开展农村危房改造突出问题调查，全面整治排查农房安全隐患，提升农房建设品质。对重点监测脱贫户、农村低收入人口住房安全保障情况实施动态监测、及时跟踪并研究建立防止返贫的工作机制。</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tabs>
                <w:tab w:val="left" w:pos="6300"/>
              </w:tabs>
              <w:spacing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专栏4-8 基本住房保障服务设施补短板重点项目</w:t>
            </w:r>
          </w:p>
          <w:p>
            <w:pPr>
              <w:tabs>
                <w:tab w:val="left" w:pos="6300"/>
              </w:tabs>
              <w:spacing w:line="360" w:lineRule="auto"/>
              <w:ind w:firstLine="470" w:firstLineChars="195"/>
              <w:contextualSpacing/>
              <w:rPr>
                <w:rFonts w:ascii="Times New Roman" w:hAnsi="Times New Roman" w:cs="Times New Roman"/>
                <w:b/>
                <w:bCs/>
                <w:sz w:val="24"/>
                <w:szCs w:val="24"/>
              </w:rPr>
            </w:pPr>
            <w:r>
              <w:rPr>
                <w:rFonts w:ascii="Times New Roman" w:hAnsi="Times New Roman" w:cs="Times New Roman"/>
                <w:b/>
                <w:bCs/>
                <w:sz w:val="24"/>
                <w:szCs w:val="24"/>
              </w:rPr>
              <w:t>老旧小区改造。16个重点片区</w:t>
            </w:r>
            <w:r>
              <w:rPr>
                <w:rFonts w:ascii="Times New Roman" w:hAnsi="Times New Roman" w:cs="Times New Roman"/>
                <w:sz w:val="24"/>
                <w:szCs w:val="24"/>
              </w:rPr>
              <w:t>：大石坝原江陵厂电影院片区、大石坝徐悲鸿故居片区、塔坪片区、南桥苑片区、五里店合作富强片区、观音桥鲤鱼池片区、华新街原嘉化厂片区、大石坝原江陵厂片区、大溪村片区、锣旗寺片区、五里店勤俭劳动片区、五里店万丰工校片区、观音桥商圈周边片区、观音桥洋河片区、铁山坪东风船厂片区、华新街野水沟片区。</w:t>
            </w:r>
            <w:r>
              <w:rPr>
                <w:rFonts w:ascii="Times New Roman" w:hAnsi="Times New Roman" w:cs="Times New Roman"/>
                <w:b/>
                <w:bCs/>
                <w:sz w:val="24"/>
                <w:szCs w:val="24"/>
              </w:rPr>
              <w:t>8个微改造片区</w:t>
            </w:r>
            <w:r>
              <w:rPr>
                <w:rFonts w:ascii="Times New Roman" w:hAnsi="Times New Roman" w:cs="Times New Roman"/>
                <w:sz w:val="24"/>
                <w:szCs w:val="24"/>
              </w:rPr>
              <w:t>：区妇幼保健院片区、桥鸿片区、石马河零星住宅小区、黑石子片区、头塘片区、铁山坪零星住宅小区、大石坝大庆村片区、嘉陵华新村片区</w:t>
            </w:r>
            <w:r>
              <w:rPr>
                <w:rFonts w:ascii="Times New Roman" w:hAnsi="Times New Roman" w:cs="Times New Roman"/>
                <w:b/>
                <w:bCs/>
                <w:sz w:val="24"/>
                <w:szCs w:val="24"/>
              </w:rPr>
              <w:t>。</w:t>
            </w:r>
          </w:p>
          <w:p>
            <w:pPr>
              <w:tabs>
                <w:tab w:val="left" w:pos="6300"/>
              </w:tabs>
              <w:spacing w:line="360" w:lineRule="auto"/>
              <w:ind w:firstLine="470" w:firstLineChars="195"/>
              <w:contextualSpacing/>
              <w:rPr>
                <w:rFonts w:ascii="Times New Roman" w:hAnsi="Times New Roman" w:cs="Times New Roman"/>
                <w:bCs/>
                <w:sz w:val="24"/>
                <w:szCs w:val="24"/>
              </w:rPr>
            </w:pPr>
            <w:r>
              <w:rPr>
                <w:rFonts w:ascii="Times New Roman" w:hAnsi="Times New Roman" w:cs="Times New Roman"/>
                <w:b/>
                <w:bCs/>
                <w:sz w:val="24"/>
                <w:szCs w:val="24"/>
              </w:rPr>
              <w:t>棚户区改造。</w:t>
            </w:r>
            <w:r>
              <w:rPr>
                <w:rFonts w:ascii="Times New Roman" w:hAnsi="Times New Roman" w:cs="Times New Roman"/>
                <w:bCs/>
                <w:sz w:val="24"/>
                <w:szCs w:val="24"/>
              </w:rPr>
              <w:t>望江厂棚户区改造项目（企业）。</w:t>
            </w:r>
          </w:p>
          <w:p>
            <w:pPr>
              <w:tabs>
                <w:tab w:val="left" w:pos="6300"/>
              </w:tabs>
              <w:spacing w:line="360" w:lineRule="auto"/>
              <w:ind w:firstLine="470" w:firstLineChars="195"/>
              <w:contextualSpacing/>
              <w:rPr>
                <w:rFonts w:ascii="Times New Roman" w:hAnsi="Times New Roman" w:cs="Times New Roman"/>
                <w:bCs/>
                <w:sz w:val="24"/>
                <w:szCs w:val="24"/>
              </w:rPr>
            </w:pPr>
            <w:r>
              <w:rPr>
                <w:rFonts w:ascii="Times New Roman" w:hAnsi="Times New Roman" w:cs="Times New Roman"/>
                <w:b/>
                <w:sz w:val="24"/>
                <w:szCs w:val="24"/>
              </w:rPr>
              <w:t>安置房建设</w:t>
            </w:r>
            <w:r>
              <w:rPr>
                <w:rFonts w:ascii="Times New Roman" w:hAnsi="Times New Roman" w:cs="Times New Roman"/>
                <w:bCs/>
                <w:sz w:val="24"/>
                <w:szCs w:val="24"/>
              </w:rPr>
              <w:t>。五宝安置房一期项目、望江棚改安置房小区工程、鱼嘴农转非安置房三期等。</w:t>
            </w:r>
          </w:p>
        </w:tc>
      </w:tr>
    </w:tbl>
    <w:p>
      <w:pPr>
        <w:tabs>
          <w:tab w:val="left" w:pos="6300"/>
        </w:tabs>
        <w:spacing w:line="360" w:lineRule="auto"/>
        <w:contextualSpacing/>
        <w:jc w:val="center"/>
        <w:rPr>
          <w:rFonts w:ascii="Times New Roman" w:hAnsi="Times New Roman" w:eastAsia="方正楷体_GBK" w:cs="Times New Roman"/>
          <w:b/>
          <w:sz w:val="32"/>
          <w:szCs w:val="32"/>
        </w:rPr>
      </w:pPr>
      <w:bookmarkStart w:id="390" w:name="_Toc19985"/>
      <w:bookmarkStart w:id="391" w:name="_Toc16007"/>
      <w:bookmarkStart w:id="392" w:name="_Toc25915"/>
      <w:bookmarkStart w:id="393" w:name="_Toc20981"/>
      <w:bookmarkStart w:id="394" w:name="_Toc3712"/>
      <w:bookmarkStart w:id="395" w:name="_Toc19125"/>
      <w:bookmarkStart w:id="396" w:name="_Toc6436"/>
      <w:bookmarkStart w:id="397" w:name="_Toc8168"/>
      <w:bookmarkStart w:id="398" w:name="_Toc10004"/>
      <w:bookmarkStart w:id="399" w:name="_Toc23089"/>
      <w:bookmarkStart w:id="400" w:name="_Toc31711"/>
      <w:bookmarkStart w:id="401" w:name="_Toc26601"/>
      <w:bookmarkStart w:id="402" w:name="_Toc18893"/>
      <w:bookmarkStart w:id="403" w:name="_Toc12992"/>
      <w:bookmarkStart w:id="404" w:name="_Toc3836"/>
      <w:bookmarkStart w:id="405" w:name="_Toc8996"/>
      <w:bookmarkStart w:id="406" w:name="_Toc22964"/>
    </w:p>
    <w:p>
      <w:pPr>
        <w:tabs>
          <w:tab w:val="left" w:pos="6300"/>
        </w:tabs>
        <w:spacing w:line="360" w:lineRule="auto"/>
        <w:contextualSpacing/>
        <w:jc w:val="center"/>
        <w:outlineLvl w:val="1"/>
        <w:rPr>
          <w:rFonts w:ascii="Times New Roman" w:hAnsi="Times New Roman" w:eastAsia="方正楷体_GBK" w:cs="Times New Roman"/>
          <w:b/>
          <w:sz w:val="32"/>
          <w:szCs w:val="32"/>
        </w:rPr>
      </w:pPr>
      <w:r>
        <w:rPr>
          <w:rFonts w:ascii="Times New Roman" w:hAnsi="Times New Roman" w:eastAsia="方正楷体_GBK" w:cs="Times New Roman"/>
          <w:b/>
          <w:sz w:val="32"/>
          <w:szCs w:val="32"/>
        </w:rPr>
        <w:t>第九节 不断健全基本社会服务体系</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tabs>
          <w:tab w:val="left" w:pos="6300"/>
        </w:tabs>
        <w:ind w:firstLine="641"/>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健全社会保障体系。</w:t>
      </w:r>
      <w:r>
        <w:rPr>
          <w:rFonts w:ascii="Times New Roman" w:hAnsi="Times New Roman" w:eastAsia="方正仿宋_GBK" w:cs="Times New Roman"/>
          <w:bCs/>
          <w:sz w:val="32"/>
          <w:szCs w:val="32"/>
        </w:rPr>
        <w:t>落实全民参保计划，推动基本养老、医疗、失业、工伤、生育、长期护理等保险应保尽保。积极推动灵活就业人员参保，巩固提升社会保险法定人员全覆盖成果。对接全国统一的社保公共服务平台，落实以社会保障卡为载体“一卡通”相关应用工作，以推动成渝地区双城经济圈建设为重点持续扩大异地结算范围，推进工伤认定和保险待遇政策统一。大力发展企业年金、职业年金，完善城镇职工基本养老保险制度，逐步建立养老待遇合理调整机制，适度提高退休职工基本养老金和城乡居民基础养老金。实施渐进式延迟法定退休年龄。深化医保制度改革，扎实推进医保标准化、信息化建设，建立健全门诊共济保障机制，改革完善医保支付机制，提供更加便捷的医保经办服务，逐步建立与经济社会发展水平、各方承受能力相适应的居民医疗保险稳定筹资机制和待遇调整机制，稳步增加居民医保人均财政补助标准，提高医保基金使用效率。试点推进长期护理保险，探索创新长期护理保险资金筹措、评估体系和服务享受政策举措。强化基本医疗保险、补充医疗保险与医疗救助互补衔接，加快发展商业健康保险、互助健康保险，形成多层次、多支柱保障体系，城乡医保参保覆盖率稳定在95%以上。</w:t>
      </w:r>
    </w:p>
    <w:p>
      <w:pPr>
        <w:tabs>
          <w:tab w:val="left" w:pos="6300"/>
        </w:tabs>
        <w:ind w:firstLine="641"/>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完善社会救助体系。</w:t>
      </w:r>
      <w:r>
        <w:rPr>
          <w:rFonts w:ascii="Times New Roman" w:hAnsi="Times New Roman" w:eastAsia="方正仿宋_GBK" w:cs="Times New Roman"/>
          <w:bCs/>
          <w:sz w:val="32"/>
          <w:szCs w:val="32"/>
        </w:rPr>
        <w:t>健全分层分类社会救助体系，实现社会保险、社会救助、社会福利有效衔接。建立健全社会救助“一门受理</w:t>
      </w:r>
      <w:r>
        <w:rPr>
          <w:rFonts w:ascii="Times New Roman" w:hAnsi="Times New Roman" w:eastAsia="方正仿宋_GBK" w:cs="Times New Roman"/>
          <w:bCs/>
          <w:sz w:val="18"/>
          <w:szCs w:val="18"/>
        </w:rPr>
        <w:t>•</w:t>
      </w:r>
      <w:r>
        <w:rPr>
          <w:rFonts w:ascii="Times New Roman" w:hAnsi="Times New Roman" w:eastAsia="方正仿宋_GBK" w:cs="Times New Roman"/>
          <w:bCs/>
          <w:sz w:val="32"/>
          <w:szCs w:val="32"/>
        </w:rPr>
        <w:t>协同办理”工作机制，健全兜底性、智能化、发展型的现代社会救助网络。重点提升基层社会救助经办服务能力，推动村级设立社会救助协理员。稳步扩大基本生活救助范围，规范保障标准调整机制，持续巩固城乡低保标准统筹成果。加强救助对象分类动态管理，完善低保渐退制度。加强急难社会救助，全面建立健全街镇临时救助备用金制度。落实社会救助和保障标准与物价上涨挂钩联动机制。加大孤儿、事实无人抚养儿童兜底保障力度。强化特殊救助帮扶，加强特困人员照料护理服务。完善流浪乞讨人员救助政策。</w:t>
      </w:r>
    </w:p>
    <w:p>
      <w:pPr>
        <w:ind w:firstLine="643" w:firstLineChars="200"/>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提高妇女儿童服务水平。</w:t>
      </w:r>
      <w:r>
        <w:rPr>
          <w:rFonts w:ascii="Times New Roman" w:hAnsi="Times New Roman" w:eastAsia="方正仿宋_GBK" w:cs="Times New Roman"/>
          <w:bCs/>
          <w:sz w:val="32"/>
          <w:szCs w:val="32"/>
        </w:rPr>
        <w:t>坚持男女平等基本国策，保障妇女儿童合法权益，编制实施妇女儿童发展纲要，打造妇女儿童发展先进区县。推进妇幼健康服务保障工程，创建儿童健康综合发展示范区县，争创儿童早期发展示范基地，适龄儿童免疫规划疫苗接种率保持在90%以上。完善城乡“两癌”妇女、困境儿童、留守妇女、留守儿童、残疾儿童等特殊群体关爱服务体系。完善并落实孤儿和事实无人抚养儿童保障政策，孤儿和事实无人抚养儿童基本生活保障率保持100%。推动儿童优先理念更加深入人心，</w:t>
      </w:r>
      <w:r>
        <w:rPr>
          <w:rFonts w:ascii="Times New Roman" w:hAnsi="Times New Roman" w:eastAsia="方正仿宋_GBK" w:cs="Times New Roman"/>
          <w:sz w:val="32"/>
        </w:rPr>
        <w:t>引入</w:t>
      </w:r>
      <w:r>
        <w:rPr>
          <w:rFonts w:ascii="Times New Roman" w:hAnsi="Times New Roman" w:eastAsia="方正仿宋_GBK" w:cs="Times New Roman"/>
          <w:sz w:val="32"/>
          <w:lang w:eastAsia="zh-Hans"/>
        </w:rPr>
        <w:t>“</w:t>
      </w:r>
      <w:r>
        <w:rPr>
          <w:rFonts w:ascii="Times New Roman" w:hAnsi="Times New Roman" w:eastAsia="方正仿宋_GBK" w:cs="Times New Roman"/>
          <w:sz w:val="32"/>
        </w:rPr>
        <w:t>1米高度看城市</w:t>
      </w:r>
      <w:r>
        <w:rPr>
          <w:rFonts w:ascii="Times New Roman" w:hAnsi="Times New Roman" w:eastAsia="方正仿宋_GBK" w:cs="Times New Roman"/>
          <w:sz w:val="32"/>
          <w:lang w:eastAsia="zh-Hans"/>
        </w:rPr>
        <w:t>”</w:t>
      </w:r>
      <w:r>
        <w:rPr>
          <w:rFonts w:ascii="Times New Roman" w:hAnsi="Times New Roman" w:eastAsia="方正仿宋_GBK" w:cs="Times New Roman"/>
          <w:sz w:val="32"/>
        </w:rPr>
        <w:t>儿童视觉，</w:t>
      </w:r>
      <w:r>
        <w:rPr>
          <w:rFonts w:ascii="Times New Roman" w:hAnsi="Times New Roman" w:eastAsia="方正仿宋_GBK" w:cs="Times New Roman"/>
          <w:bCs/>
          <w:sz w:val="32"/>
          <w:szCs w:val="32"/>
        </w:rPr>
        <w:t>积极推进儿童友好城市、儿童友好社区建设，提高儿童之家建设水平，加强儿童早期教育和心理健康教育指导，完善区、街（镇）、社区（村）三级联动保护儿童网络。积极建设区域性未成年人保护设施，完善未成年人救助保护服务机制、加强未成年人救助保护机构服务人员专业化水平等。强化青少年心理健康教育，预防青少年违法犯罪，统筹建设青少年校外教育基地，建设青少年活动中心，教育引导青少年健康成长。加快女性人才队伍建设，提升女性素质，促进就业性别平等。</w:t>
      </w:r>
    </w:p>
    <w:p>
      <w:pPr>
        <w:tabs>
          <w:tab w:val="left" w:pos="6300"/>
        </w:tabs>
        <w:ind w:firstLine="641"/>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健全退役军人工作和保障体系。</w:t>
      </w:r>
      <w:r>
        <w:rPr>
          <w:rFonts w:ascii="Times New Roman" w:hAnsi="Times New Roman" w:eastAsia="方正仿宋_GBK" w:cs="Times New Roman"/>
          <w:bCs/>
          <w:sz w:val="32"/>
          <w:szCs w:val="32"/>
        </w:rPr>
        <w:t>落实退役军人接收安置相关政策。强化退役军人教育培训，完善退役军人就业创业优惠政策，健全退役军人就业创业扶持体系。建立新型抚恤优待保障制度，完善拥军优抚服务基础设施建设，建立退役军人关爱基金，完工投用江北区退役军人荣誉中心。完善军休安置制度，优化军休资源布局。完善双拥工作和军民共建机制，进一步健全退役军人工作体系和保障制度。加强烈士纪念设施和军人公墓建设，对符合条件的烈士纪念设施“应建尽建”“管好用好”。</w:t>
      </w:r>
    </w:p>
    <w:p>
      <w:pPr>
        <w:tabs>
          <w:tab w:val="left" w:pos="6300"/>
        </w:tabs>
        <w:ind w:firstLine="641"/>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提升残疾人服务保障水平。</w:t>
      </w:r>
      <w:r>
        <w:rPr>
          <w:rFonts w:ascii="Times New Roman" w:hAnsi="Times New Roman" w:eastAsia="方正仿宋_GBK" w:cs="Times New Roman"/>
          <w:sz w:val="32"/>
          <w:szCs w:val="32"/>
        </w:rPr>
        <w:t>积极推进残疾人康复中心、托养中心两个兜底项目建设工作，补齐江北区残疾人事业发展短板，</w:t>
      </w:r>
      <w:r>
        <w:rPr>
          <w:rFonts w:ascii="Times New Roman" w:hAnsi="Times New Roman" w:eastAsia="方正仿宋_GBK" w:cs="Times New Roman"/>
          <w:bCs/>
          <w:sz w:val="32"/>
          <w:szCs w:val="32"/>
        </w:rPr>
        <w:t>实现残疾人康复或托养设施全覆盖</w:t>
      </w:r>
      <w:r>
        <w:rPr>
          <w:rFonts w:ascii="Times New Roman" w:hAnsi="Times New Roman" w:eastAsia="方正仿宋_GBK" w:cs="Times New Roman"/>
          <w:sz w:val="32"/>
          <w:szCs w:val="32"/>
        </w:rPr>
        <w:t>。大力发展各类残疾人康复服务机构，就近就便、分类实施机构康复、社区康复等精准康复服务。</w:t>
      </w:r>
      <w:r>
        <w:rPr>
          <w:rFonts w:ascii="Times New Roman" w:hAnsi="Times New Roman" w:eastAsia="方正仿宋_GBK" w:cs="Times New Roman"/>
          <w:bCs/>
          <w:sz w:val="32"/>
          <w:szCs w:val="32"/>
        </w:rPr>
        <w:t>完善无障碍环境建设和维护政策体系，支持困难残疾人家庭无障碍设施改造。扩大残疾人社会保险覆盖面，稳步提高困难残疾人生活补贴和重度残疾人护理补贴标准，推进实施“福康工程”。推进精神障碍社区康复服务发展，基本建立家庭为基础、机构为支撑、“社会化、综合性、开放式”的精神障碍社区康复服务体系。推进残疾人职业技能培训和集中就业，多渠道多形式扶持残疾人自主创业和灵活就业，</w:t>
      </w:r>
      <w:r>
        <w:rPr>
          <w:rFonts w:ascii="Times New Roman" w:hAnsi="Times New Roman" w:eastAsia="方正仿宋_GBK" w:cs="Times New Roman"/>
          <w:sz w:val="32"/>
          <w:szCs w:val="32"/>
        </w:rPr>
        <w:t>加大政府购买残疾人就业、创业和培训服务力度。</w:t>
      </w:r>
      <w:r>
        <w:rPr>
          <w:rFonts w:ascii="Times New Roman" w:hAnsi="Times New Roman" w:eastAsia="方正仿宋_GBK" w:cs="Times New Roman"/>
          <w:bCs/>
          <w:sz w:val="32"/>
          <w:szCs w:val="32"/>
        </w:rPr>
        <w:t>发展残疾人教育事业，积极鼓励和支持社会力量举办特殊教育事业，适龄残疾儿童少年义务教育入学率达到100%，规划建设1所特殊教育学校。加快残疾人工作信息化建设，建设残疾人服务大数据。</w:t>
      </w:r>
    </w:p>
    <w:p>
      <w:pPr>
        <w:tabs>
          <w:tab w:val="left" w:pos="6300"/>
        </w:tabs>
        <w:spacing w:line="360" w:lineRule="auto"/>
        <w:ind w:firstLine="641"/>
        <w:contextualSpacing/>
        <w:rPr>
          <w:rFonts w:ascii="Times New Roman" w:hAnsi="Times New Roman" w:cs="Times New Roman"/>
        </w:rPr>
      </w:pPr>
      <w:r>
        <w:rPr>
          <w:rFonts w:ascii="Times New Roman" w:hAnsi="Times New Roman" w:eastAsia="方正仿宋_GBK" w:cs="Times New Roman"/>
          <w:b/>
          <w:sz w:val="32"/>
          <w:szCs w:val="32"/>
        </w:rPr>
        <w:t>促进专项社会公共服务均衡发展。</w:t>
      </w:r>
      <w:r>
        <w:rPr>
          <w:rFonts w:ascii="Times New Roman" w:hAnsi="Times New Roman" w:eastAsia="方正仿宋_GBK" w:cs="Times New Roman"/>
          <w:bCs/>
          <w:sz w:val="32"/>
          <w:szCs w:val="32"/>
        </w:rPr>
        <w:t>科学合理布局经营性公墓、公益性公墓和殡仪服务站等殡葬设施。强化公益性殡葬服务设施建设，减免城乡困难群众的基本丧葬服务费用，保障人民群众基本丧葬需求。建设精神卫生福利设施，积极引导社会和家庭力量参与精神障碍社区康复服务工作，培育一批精神障碍社区康复机构。规范婚姻登记工作，贯彻落实《</w:t>
      </w:r>
      <w:r>
        <w:rPr>
          <w:rFonts w:hint="eastAsia" w:ascii="Times New Roman" w:hAnsi="Times New Roman" w:eastAsia="方正仿宋_GBK" w:cs="Times New Roman"/>
          <w:bCs/>
          <w:sz w:val="32"/>
          <w:szCs w:val="32"/>
        </w:rPr>
        <w:t>中华</w:t>
      </w:r>
      <w:r>
        <w:rPr>
          <w:rFonts w:ascii="Times New Roman" w:hAnsi="Times New Roman" w:eastAsia="方正仿宋_GBK" w:cs="Times New Roman"/>
          <w:bCs/>
          <w:sz w:val="32"/>
          <w:szCs w:val="32"/>
        </w:rPr>
        <w:t>人民共和国民法典》，持续推进“家和计划”，推进婚俗改革，培育现代婚姻新理念新风尚。</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tabs>
                <w:tab w:val="left" w:pos="6300"/>
              </w:tabs>
              <w:spacing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专栏4-9 基本社会服务设施补短板重点项目</w:t>
            </w:r>
          </w:p>
          <w:p>
            <w:pPr>
              <w:tabs>
                <w:tab w:val="left" w:pos="6300"/>
              </w:tabs>
              <w:spacing w:line="360" w:lineRule="auto"/>
              <w:ind w:firstLine="480" w:firstLineChars="200"/>
              <w:contextualSpacing/>
              <w:rPr>
                <w:rFonts w:ascii="Times New Roman" w:hAnsi="Times New Roman" w:eastAsia="方正仿宋_GBK" w:cs="Times New Roman"/>
                <w:bCs/>
                <w:sz w:val="32"/>
                <w:szCs w:val="32"/>
              </w:rPr>
            </w:pPr>
            <w:r>
              <w:rPr>
                <w:rFonts w:ascii="Times New Roman" w:hAnsi="Times New Roman" w:cs="Times New Roman"/>
                <w:bCs/>
                <w:sz w:val="24"/>
                <w:szCs w:val="24"/>
              </w:rPr>
              <w:t>推进残疾人康复中心、托养中心两个兜底项目建设，支持困难残疾人家庭无障碍设施改造。扩建寺坪陵园，新建城市公益性公墓和经营性公墓各一个。积极规划建设精神卫生福利设施，推进精神障碍社区康复服务发展。</w:t>
            </w:r>
          </w:p>
        </w:tc>
      </w:tr>
    </w:tbl>
    <w:p>
      <w:pPr>
        <w:keepNext/>
        <w:keepLines/>
        <w:spacing w:line="416" w:lineRule="auto"/>
        <w:rPr>
          <w:rFonts w:ascii="Times New Roman" w:hAnsi="Times New Roman" w:cs="Times New Roman"/>
        </w:rPr>
      </w:pPr>
      <w:bookmarkStart w:id="407" w:name="_Toc8842"/>
      <w:bookmarkStart w:id="408" w:name="_Toc22959"/>
      <w:bookmarkStart w:id="409" w:name="_Toc22490"/>
      <w:bookmarkStart w:id="410" w:name="_Toc8408"/>
      <w:bookmarkStart w:id="411" w:name="_Toc28313"/>
      <w:bookmarkStart w:id="412" w:name="_Toc25121"/>
      <w:bookmarkStart w:id="413" w:name="_Toc4684"/>
      <w:bookmarkStart w:id="414" w:name="_Toc27741"/>
      <w:bookmarkStart w:id="415" w:name="_Toc13261"/>
      <w:bookmarkStart w:id="416" w:name="_Toc11113"/>
      <w:bookmarkStart w:id="417" w:name="_Toc5499"/>
      <w:bookmarkStart w:id="418" w:name="_Toc29521"/>
      <w:bookmarkStart w:id="419" w:name="_Toc77438440"/>
    </w:p>
    <w:p>
      <w:pPr>
        <w:tabs>
          <w:tab w:val="left" w:pos="6300"/>
        </w:tabs>
        <w:spacing w:line="360" w:lineRule="auto"/>
        <w:jc w:val="center"/>
        <w:outlineLvl w:val="0"/>
        <w:rPr>
          <w:rFonts w:ascii="Times New Roman" w:hAnsi="Times New Roman" w:eastAsia="方正黑体_GBK" w:cs="Times New Roman"/>
          <w:bCs/>
          <w:sz w:val="32"/>
          <w:szCs w:val="32"/>
        </w:rPr>
      </w:pPr>
      <w:bookmarkStart w:id="420" w:name="_Toc9914"/>
      <w:bookmarkStart w:id="421" w:name="_Toc12757"/>
      <w:bookmarkStart w:id="422" w:name="_Toc1156"/>
      <w:bookmarkStart w:id="423" w:name="_Toc10935"/>
      <w:bookmarkStart w:id="424" w:name="_Toc11637"/>
      <w:r>
        <w:rPr>
          <w:rFonts w:ascii="Times New Roman" w:hAnsi="Times New Roman" w:eastAsia="方正黑体_GBK" w:cs="Times New Roman"/>
          <w:bCs/>
          <w:sz w:val="32"/>
          <w:szCs w:val="32"/>
        </w:rPr>
        <w:t>第五章 扩大普惠性非基本公共服务供给</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tabs>
          <w:tab w:val="left" w:pos="6300"/>
        </w:tabs>
        <w:contextualSpacing/>
        <w:jc w:val="center"/>
        <w:outlineLvl w:val="1"/>
        <w:rPr>
          <w:rFonts w:ascii="Times New Roman" w:hAnsi="Times New Roman" w:eastAsia="方正楷体_GBK" w:cs="Times New Roman"/>
          <w:b/>
          <w:bCs/>
          <w:sz w:val="32"/>
          <w:szCs w:val="32"/>
        </w:rPr>
      </w:pPr>
      <w:bookmarkStart w:id="425" w:name="_Toc20022"/>
      <w:bookmarkStart w:id="426" w:name="_Toc30849"/>
      <w:bookmarkStart w:id="427" w:name="_Toc13548"/>
      <w:bookmarkStart w:id="428" w:name="_Toc32372"/>
      <w:bookmarkStart w:id="429" w:name="_Toc27148"/>
      <w:bookmarkStart w:id="430" w:name="_Toc6859"/>
      <w:bookmarkStart w:id="431" w:name="_Toc14837"/>
      <w:bookmarkStart w:id="432" w:name="_Toc26138"/>
      <w:bookmarkStart w:id="433" w:name="_Toc26170"/>
      <w:bookmarkStart w:id="434" w:name="_Toc3224"/>
      <w:bookmarkStart w:id="435" w:name="_Toc24821"/>
      <w:bookmarkStart w:id="436" w:name="_Toc8622"/>
      <w:bookmarkStart w:id="437" w:name="_Toc9928"/>
      <w:bookmarkStart w:id="438" w:name="_Toc18528"/>
      <w:bookmarkStart w:id="439" w:name="_Toc6906"/>
      <w:bookmarkStart w:id="440" w:name="_Toc22087"/>
      <w:bookmarkStart w:id="441" w:name="_Toc19143"/>
      <w:bookmarkStart w:id="442" w:name="_Toc77438442"/>
      <w:r>
        <w:rPr>
          <w:rFonts w:ascii="Times New Roman" w:hAnsi="Times New Roman" w:eastAsia="方正楷体_GBK" w:cs="Times New Roman"/>
          <w:b/>
          <w:bCs/>
          <w:sz w:val="32"/>
          <w:szCs w:val="32"/>
        </w:rPr>
        <w:t>第一节 不断健全婴幼儿照护服务体系</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Fonts w:ascii="Times New Roman" w:hAnsi="Times New Roman" w:eastAsia="方正楷体_GBK" w:cs="Times New Roman"/>
          <w:b/>
          <w:bCs/>
          <w:sz w:val="32"/>
          <w:szCs w:val="32"/>
        </w:rPr>
        <w:t xml:space="preserve"> </w:t>
      </w:r>
    </w:p>
    <w:p>
      <w:pPr>
        <w:tabs>
          <w:tab w:val="left" w:pos="6300"/>
        </w:tabs>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增加普惠托育服务供给。</w:t>
      </w:r>
      <w:r>
        <w:rPr>
          <w:rFonts w:ascii="Times New Roman" w:hAnsi="Times New Roman" w:eastAsia="方正仿宋_GBK" w:cs="Times New Roman"/>
          <w:sz w:val="32"/>
          <w:szCs w:val="32"/>
        </w:rPr>
        <w:t>建立健全婴幼儿托育服务政策体系，增强家庭科学育儿能力，构建完善“家庭为主、托育补充”的婴幼儿照护服务网络。</w:t>
      </w:r>
      <w:r>
        <w:rPr>
          <w:rFonts w:ascii="Times New Roman" w:hAnsi="Times New Roman" w:eastAsia="方正仿宋_GBK" w:cs="Times New Roman"/>
          <w:bCs/>
          <w:sz w:val="32"/>
          <w:szCs w:val="32"/>
        </w:rPr>
        <w:t>实施城企联动普惠托育专项行动，积极引导社会力量举办托育服务机构，加快形成和完善以社区为依托的普惠托育服务骨干网，重点建设五里店万丰工校片区托育机构、华新街野水沟片区托育机构、五里店合作富强片区托育机构、大石坝原江陵厂片区托育机构等。充分调动各方面力量，建成一批具备一定规模的普惠性</w:t>
      </w:r>
      <w:r>
        <w:rPr>
          <w:rFonts w:hint="eastAsia" w:ascii="Times New Roman" w:hAnsi="Times New Roman" w:eastAsia="方正仿宋_GBK" w:cs="Times New Roman"/>
          <w:bCs/>
          <w:sz w:val="32"/>
          <w:szCs w:val="32"/>
        </w:rPr>
        <w:t>托位</w:t>
      </w:r>
      <w:r>
        <w:rPr>
          <w:rFonts w:ascii="Times New Roman" w:hAnsi="Times New Roman" w:eastAsia="方正仿宋_GBK" w:cs="Times New Roman"/>
          <w:bCs/>
          <w:sz w:val="32"/>
          <w:szCs w:val="32"/>
        </w:rPr>
        <w:t>并提供培训、咨询、亲子指导等综合性服务的示范性托育服务机构，建成1—2个示范性婴幼儿照护服务机构。以社区为圆周、居住区为半径，建设一批嵌入式、分布式、连锁化、专业化的社区托育服务设施，探索推行全日托、半日托、计时托、临时托等多样化的婴幼儿照护服务等普惠性婴幼儿托育服务。利用社区中心、闲置校舍等存量资源建立婴幼儿照护中心，支持有条件的幼儿园开设托班招收</w:t>
      </w:r>
      <w:r>
        <w:rPr>
          <w:rFonts w:ascii="Times New Roman" w:hAnsi="Times New Roman" w:eastAsia="方正仿宋_GBK" w:cs="Times New Roman"/>
          <w:kern w:val="0"/>
          <w:sz w:val="32"/>
          <w:szCs w:val="32"/>
          <w:lang w:bidi="ar"/>
        </w:rPr>
        <w:t>3岁以下</w:t>
      </w:r>
      <w:r>
        <w:rPr>
          <w:rFonts w:ascii="Times New Roman" w:hAnsi="Times New Roman" w:eastAsia="方正仿宋_GBK" w:cs="Times New Roman"/>
          <w:bCs/>
          <w:sz w:val="32"/>
          <w:szCs w:val="32"/>
        </w:rPr>
        <w:t>的婴幼儿，加强社区婴幼儿照护服务设施与社区服务中心（站）及社区卫生、文化、体育等设施的功能衔接。鼓励用人单位以多种形式在工作场所为职工提供福利性婴幼儿照护服务。加大对进城务工人员随迁婴幼儿以及农村婴幼儿照护服务的支持。多元化、多样化、覆盖城乡的婴幼儿照护服务网络基本形成，婴幼儿照护服务水平明显提升。到2025年，多元化、多样化、覆盖城乡的婴幼儿照护服务网络基本形成，婴幼儿照护服务水平明显提升。</w:t>
      </w:r>
    </w:p>
    <w:p>
      <w:pPr>
        <w:widowControl/>
        <w:tabs>
          <w:tab w:val="left" w:pos="6300"/>
        </w:tabs>
        <w:ind w:firstLine="643" w:firstLineChars="200"/>
        <w:contextualSpacing/>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健全婴幼儿照护服务支持体系</w:t>
      </w:r>
      <w:r>
        <w:rPr>
          <w:rFonts w:ascii="Times New Roman" w:hAnsi="Times New Roman" w:eastAsia="方正仿宋_GBK" w:cs="Times New Roman"/>
          <w:bCs/>
          <w:sz w:val="32"/>
          <w:szCs w:val="32"/>
        </w:rPr>
        <w:t>。建立健全江北区普惠托育服务政府服务政策支持清单和企业普惠托育服务清单“2个清单”，支持社会力量开展婴幼儿照护服务。</w:t>
      </w:r>
      <w:r>
        <w:rPr>
          <w:rFonts w:ascii="Times New Roman" w:hAnsi="Times New Roman" w:eastAsia="方正仿宋_GBK" w:cs="Times New Roman"/>
          <w:snapToGrid w:val="0"/>
          <w:sz w:val="32"/>
          <w:szCs w:val="32"/>
          <w:lang w:val="zh-TW" w:eastAsia="zh-TW"/>
        </w:rPr>
        <w:t>积极探索婴幼儿照护服务示范区、示范机构的建设，加强对家庭婴幼儿照护的支持和指导，促进婴幼儿照护服务专业化、规范化</w:t>
      </w:r>
      <w:r>
        <w:rPr>
          <w:rFonts w:ascii="Times New Roman" w:hAnsi="Times New Roman" w:eastAsia="方正仿宋_GBK" w:cs="Times New Roman"/>
          <w:snapToGrid w:val="0"/>
          <w:sz w:val="32"/>
          <w:szCs w:val="32"/>
          <w:lang w:val="zh-TW"/>
        </w:rPr>
        <w:t>。</w:t>
      </w:r>
      <w:r>
        <w:rPr>
          <w:rFonts w:ascii="Times New Roman" w:hAnsi="Times New Roman" w:eastAsia="方正仿宋_GBK" w:cs="Times New Roman"/>
          <w:bCs/>
          <w:sz w:val="32"/>
          <w:szCs w:val="32"/>
        </w:rPr>
        <w:t>对已纳入专项规划的婴幼儿服务机构和设施提供用地保障，并按规划要求配备相应配套设施指标。建立健全婴幼儿照护服务机构备案登记制度、信息公示制度和质量评估制度，对婴幼儿照护服务机构实施动态管理。依托区妇幼保健院，建设婴幼儿照护服务指导中心，利用现有妇女儿童活动中心、儿童之家，与社会资本合作建设婴幼儿照护指导和活动场所。普及3岁以下婴幼儿家庭照护核心信息，为婴幼儿家庭提供新生儿访视、生长发育评估、营养喂养指导等健康管理服务。强化家庭监护婴幼儿的主体责任，按照国家要求实施独生子女父母护理假制度、探索建立父母育儿假制度等。</w:t>
      </w:r>
      <w:r>
        <w:rPr>
          <w:rFonts w:ascii="Times New Roman" w:hAnsi="Times New Roman" w:eastAsia="方正仿宋_GBK" w:cs="Times New Roman"/>
          <w:kern w:val="0"/>
          <w:sz w:val="32"/>
          <w:szCs w:val="32"/>
          <w:lang w:bidi="ar"/>
        </w:rPr>
        <w:t>及时落实将3岁以下婴幼儿照护费用纳入个人所得税专项附加扣除制度。</w:t>
      </w:r>
    </w:p>
    <w:p>
      <w:pPr>
        <w:tabs>
          <w:tab w:val="left" w:pos="6300"/>
        </w:tabs>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加强婴幼儿服务队伍建设</w:t>
      </w:r>
      <w:r>
        <w:rPr>
          <w:rFonts w:ascii="Times New Roman" w:hAnsi="Times New Roman" w:eastAsia="方正仿宋_GBK" w:cs="Times New Roman"/>
          <w:bCs/>
          <w:sz w:val="32"/>
          <w:szCs w:val="32"/>
        </w:rPr>
        <w:t>。按国家要求推行婴幼儿照护服务人员职业资格准入制度，探索对有犯罪记录、儿童虐待记录、性犯罪记录等相关个人和直接管理人员实行终身禁入照护行业领域。引入职业测评机制，定期严格审核照护人员执业资格和水平，规范育婴师资格认证和资格更新制度以保证师资质量。联合重庆女职中等区内外高等院校和职业院校，根据需求开设婴幼儿照护相关专业并实行“定向对口培养”，将婴幼儿照护人员纳入政府培训规划并给予培训补贴</w:t>
      </w:r>
      <w:r>
        <w:rPr>
          <w:rFonts w:ascii="Times New Roman" w:hAnsi="Times New Roman" w:eastAsia="方正仿宋_GBK" w:cs="Times New Roman"/>
          <w:sz w:val="32"/>
          <w:szCs w:val="32"/>
        </w:rPr>
        <w:t>。</w:t>
      </w:r>
      <w:r>
        <w:rPr>
          <w:rFonts w:ascii="Times New Roman" w:hAnsi="Times New Roman" w:eastAsia="方正仿宋_GBK" w:cs="Times New Roman"/>
          <w:bCs/>
          <w:sz w:val="32"/>
          <w:szCs w:val="32"/>
        </w:rPr>
        <w:t>依法逐步实行婴幼儿照护工作人员职业资格准入制度。</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tabs>
                <w:tab w:val="left" w:pos="6300"/>
              </w:tabs>
              <w:spacing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专栏5-1 普惠托育建设重点项目</w:t>
            </w:r>
          </w:p>
          <w:p>
            <w:pPr>
              <w:tabs>
                <w:tab w:val="left" w:pos="6300"/>
              </w:tabs>
              <w:spacing w:line="360" w:lineRule="auto"/>
              <w:ind w:firstLine="470" w:firstLineChars="196"/>
              <w:contextualSpacing/>
              <w:rPr>
                <w:rFonts w:ascii="Times New Roman" w:hAnsi="Times New Roman" w:eastAsia="方正仿宋_GBK" w:cs="Times New Roman"/>
                <w:bCs/>
                <w:sz w:val="32"/>
                <w:szCs w:val="32"/>
              </w:rPr>
            </w:pPr>
            <w:r>
              <w:rPr>
                <w:rFonts w:ascii="Times New Roman" w:hAnsi="Times New Roman" w:cs="Times New Roman"/>
                <w:bCs/>
                <w:sz w:val="24"/>
                <w:szCs w:val="24"/>
              </w:rPr>
              <w:t>建设五里店万丰工校片区托幼机构5个、华新街野水沟片区托幼机构 1个、江北区五里店合作富强片区托幼机构4个、大石坝原江陵厂片区托幼机构 1个，至少建成1—2所综合性示范托育服务机构。</w:t>
            </w:r>
          </w:p>
        </w:tc>
      </w:tr>
      <w:bookmarkEnd w:id="442"/>
    </w:tbl>
    <w:p>
      <w:pPr>
        <w:tabs>
          <w:tab w:val="left" w:pos="6300"/>
        </w:tabs>
        <w:spacing w:line="360" w:lineRule="auto"/>
        <w:contextualSpacing/>
        <w:jc w:val="left"/>
        <w:rPr>
          <w:rFonts w:ascii="Times New Roman" w:hAnsi="Times New Roman" w:eastAsia="方正仿宋_GBK" w:cs="Times New Roman"/>
          <w:bCs/>
          <w:sz w:val="32"/>
          <w:szCs w:val="32"/>
        </w:rPr>
      </w:pPr>
      <w:bookmarkStart w:id="443" w:name="_Toc3222"/>
      <w:bookmarkStart w:id="444" w:name="_Toc27433"/>
      <w:bookmarkStart w:id="445" w:name="_Toc3000"/>
      <w:bookmarkStart w:id="446" w:name="_Toc19256"/>
      <w:bookmarkStart w:id="447" w:name="_Toc22262"/>
      <w:bookmarkStart w:id="448" w:name="_Toc31946"/>
      <w:bookmarkStart w:id="449" w:name="_Toc28049"/>
      <w:bookmarkStart w:id="450" w:name="_Toc18717"/>
    </w:p>
    <w:p>
      <w:pPr>
        <w:tabs>
          <w:tab w:val="left" w:pos="6300"/>
        </w:tabs>
        <w:spacing w:line="360" w:lineRule="auto"/>
        <w:contextualSpacing/>
        <w:jc w:val="center"/>
        <w:outlineLvl w:val="1"/>
        <w:rPr>
          <w:rFonts w:ascii="Times New Roman" w:hAnsi="Times New Roman" w:eastAsia="方正楷体_GBK" w:cs="Times New Roman"/>
          <w:b/>
          <w:bCs/>
          <w:sz w:val="32"/>
          <w:szCs w:val="32"/>
        </w:rPr>
      </w:pPr>
      <w:bookmarkStart w:id="451" w:name="_Toc30274"/>
      <w:bookmarkStart w:id="452" w:name="_Toc4077"/>
      <w:bookmarkStart w:id="453" w:name="_Toc32375"/>
      <w:bookmarkStart w:id="454" w:name="_Toc21621"/>
      <w:bookmarkStart w:id="455" w:name="_Toc25036"/>
      <w:bookmarkStart w:id="456" w:name="_Toc27385"/>
      <w:bookmarkStart w:id="457" w:name="_Toc9558"/>
      <w:bookmarkStart w:id="458" w:name="_Toc5629"/>
      <w:bookmarkStart w:id="459" w:name="_Toc3559"/>
      <w:r>
        <w:rPr>
          <w:rFonts w:ascii="Times New Roman" w:hAnsi="Times New Roman" w:eastAsia="方正楷体_GBK" w:cs="Times New Roman"/>
          <w:b/>
          <w:bCs/>
          <w:sz w:val="32"/>
          <w:szCs w:val="32"/>
        </w:rPr>
        <w:t>第二节 着力推动普惠性学前教育</w:t>
      </w:r>
      <w:bookmarkEnd w:id="443"/>
      <w:bookmarkEnd w:id="444"/>
      <w:bookmarkEnd w:id="445"/>
      <w:bookmarkEnd w:id="446"/>
      <w:bookmarkEnd w:id="447"/>
      <w:bookmarkEnd w:id="448"/>
      <w:bookmarkEnd w:id="449"/>
      <w:bookmarkEnd w:id="450"/>
      <w:bookmarkEnd w:id="451"/>
      <w:r>
        <w:rPr>
          <w:rFonts w:ascii="Times New Roman" w:hAnsi="Times New Roman" w:eastAsia="方正楷体_GBK" w:cs="Times New Roman"/>
          <w:b/>
          <w:bCs/>
          <w:sz w:val="32"/>
          <w:szCs w:val="32"/>
        </w:rPr>
        <w:t>发展</w:t>
      </w:r>
      <w:bookmarkEnd w:id="452"/>
      <w:bookmarkEnd w:id="453"/>
      <w:bookmarkEnd w:id="454"/>
      <w:bookmarkEnd w:id="455"/>
      <w:bookmarkEnd w:id="456"/>
      <w:bookmarkEnd w:id="457"/>
      <w:bookmarkEnd w:id="458"/>
      <w:bookmarkEnd w:id="459"/>
    </w:p>
    <w:p>
      <w:pPr>
        <w:tabs>
          <w:tab w:val="left" w:pos="6300"/>
        </w:tabs>
        <w:spacing w:line="600" w:lineRule="exact"/>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大力发展公办幼儿园。</w:t>
      </w:r>
      <w:r>
        <w:rPr>
          <w:rFonts w:ascii="Times New Roman" w:hAnsi="Times New Roman" w:eastAsia="方正仿宋_GBK" w:cs="Times New Roman"/>
          <w:bCs/>
          <w:sz w:val="32"/>
          <w:szCs w:val="32"/>
        </w:rPr>
        <w:t>科学制定符合全区经济社会发展需要和人口分布及人口政策调整等区情实际的幼儿园全覆盖规划。完善三级学前教育公共服务网络，统筹城乡学前教育学校布局和建设规模，充分利用各类资源发展公办园，扩大城镇普惠性优质学前教育资源覆盖面。实施学前教育普及普惠工程，做好新建住宅项目配套建设幼儿园管理，接收一批住宅项目配套建设幼儿园、回收出租用于民办幼儿园的国资场地、回购一批优质小区配套幼儿园，用于举办公办幼儿园。支持国有企事业单位等举办公办园。江北区新村幼儿园万科悦湾分园、四叶草松幼儿园装修改造工程等完工投用。</w:t>
      </w:r>
    </w:p>
    <w:p>
      <w:pPr>
        <w:tabs>
          <w:tab w:val="left" w:pos="6300"/>
        </w:tabs>
        <w:spacing w:line="600" w:lineRule="exact"/>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支持普惠学前教育发展。</w:t>
      </w:r>
      <w:r>
        <w:rPr>
          <w:rFonts w:ascii="Times New Roman" w:hAnsi="Times New Roman" w:eastAsia="方正仿宋_GBK" w:cs="Times New Roman"/>
          <w:bCs/>
          <w:sz w:val="32"/>
          <w:szCs w:val="32"/>
        </w:rPr>
        <w:t>坚持政府主导、公办民办并举的原则，落实区级政府发展学前教育的主体责任。继续实施学前教育行动计划，鼓励引导社会力量举办普惠性幼儿园，普惠学位建设适度向石马河等街镇倾斜。进一步完善普惠性民办园认定标准和扶持政策，通过购买服务、减免租金、综合奖补、教师交流培训等方式，支持普惠性民办园发展。到2025年，全区学前教育在园幼儿公办率、普惠率达到55%、90%以上，适龄儿童毛入园率保持100%，积极建设重庆市“幼小衔接实验区”。</w:t>
      </w:r>
    </w:p>
    <w:p>
      <w:pPr>
        <w:tabs>
          <w:tab w:val="left" w:pos="6300"/>
        </w:tabs>
        <w:spacing w:line="600" w:lineRule="exact"/>
        <w:ind w:firstLine="643" w:firstLineChars="200"/>
        <w:contextualSpacing/>
        <w:rPr>
          <w:rFonts w:ascii="Times New Roman" w:hAnsi="Times New Roman" w:eastAsia="方正仿宋_GBK" w:cs="Times New Roman"/>
          <w:bCs/>
          <w:strike/>
          <w:sz w:val="32"/>
          <w:szCs w:val="32"/>
        </w:rPr>
      </w:pPr>
      <w:r>
        <w:rPr>
          <w:rFonts w:ascii="Times New Roman" w:hAnsi="Times New Roman" w:eastAsia="方正仿宋_GBK" w:cs="Times New Roman"/>
          <w:b/>
          <w:bCs/>
          <w:sz w:val="32"/>
          <w:szCs w:val="32"/>
        </w:rPr>
        <w:t>提高学前教育服务水平</w:t>
      </w:r>
      <w:r>
        <w:rPr>
          <w:rFonts w:ascii="Times New Roman" w:hAnsi="Times New Roman" w:eastAsia="方正仿宋_GBK" w:cs="Times New Roman"/>
          <w:bCs/>
          <w:sz w:val="32"/>
          <w:szCs w:val="32"/>
        </w:rPr>
        <w:t>。完善学前教育从业人员职业资格准入制度，确保学前教育师资质量。加强学前教育从业人员专业技能培训规划，完善相应的培训政策</w:t>
      </w:r>
      <w:r>
        <w:rPr>
          <w:rFonts w:ascii="Times New Roman" w:hAnsi="Times New Roman" w:eastAsia="方正仿宋_GBK" w:cs="Times New Roman"/>
          <w:sz w:val="32"/>
          <w:szCs w:val="32"/>
        </w:rPr>
        <w:t>。</w:t>
      </w:r>
      <w:r>
        <w:rPr>
          <w:rFonts w:ascii="Times New Roman" w:hAnsi="Times New Roman" w:eastAsia="方正仿宋_GBK" w:cs="Times New Roman"/>
          <w:bCs/>
          <w:sz w:val="32"/>
          <w:szCs w:val="32"/>
        </w:rPr>
        <w:t>落实保教常规要求，克服和纠正“小学化”倾向，探索小学和幼儿园“双向衔接”。提升督导教研水平，强化保育教育质量。</w:t>
      </w:r>
    </w:p>
    <w:p>
      <w:pPr>
        <w:rPr>
          <w:rFonts w:ascii="Times New Roman" w:hAnsi="Times New Roman" w:cs="Times New Roman"/>
        </w:rPr>
      </w:pP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tabs>
                <w:tab w:val="left" w:pos="6300"/>
              </w:tabs>
              <w:spacing w:line="360" w:lineRule="auto"/>
              <w:ind w:firstLine="1193" w:firstLineChars="495"/>
              <w:contextualSpacing/>
              <w:rPr>
                <w:rFonts w:ascii="Times New Roman" w:hAnsi="Times New Roman" w:cs="Times New Roman"/>
                <w:b/>
                <w:kern w:val="0"/>
                <w:sz w:val="24"/>
                <w:szCs w:val="24"/>
              </w:rPr>
            </w:pPr>
            <w:r>
              <w:rPr>
                <w:rFonts w:ascii="Times New Roman" w:hAnsi="Times New Roman" w:cs="Times New Roman"/>
                <w:b/>
                <w:bCs/>
                <w:kern w:val="0"/>
                <w:sz w:val="24"/>
                <w:szCs w:val="24"/>
              </w:rPr>
              <w:t>专栏5-2 普惠学前教育领域公共服务设施建设重点项目</w:t>
            </w:r>
          </w:p>
          <w:p>
            <w:pPr>
              <w:tabs>
                <w:tab w:val="left" w:pos="6300"/>
              </w:tabs>
              <w:spacing w:line="360" w:lineRule="auto"/>
              <w:ind w:firstLine="470" w:firstLineChars="196"/>
              <w:contextualSpacing/>
              <w:rPr>
                <w:rFonts w:ascii="Times New Roman" w:hAnsi="Times New Roman" w:cs="Times New Roman"/>
                <w:bCs/>
                <w:kern w:val="0"/>
                <w:sz w:val="24"/>
                <w:szCs w:val="24"/>
              </w:rPr>
            </w:pPr>
            <w:r>
              <w:rPr>
                <w:rFonts w:ascii="Times New Roman" w:hAnsi="Times New Roman" w:cs="Times New Roman"/>
                <w:bCs/>
                <w:kern w:val="0"/>
                <w:sz w:val="24"/>
                <w:szCs w:val="24"/>
              </w:rPr>
              <w:t>每年购买2—3所幼儿园举办为公办园，新增独立公办园3—5个，努力推动等级达标率</w:t>
            </w:r>
            <w:r>
              <w:rPr>
                <w:rFonts w:hint="eastAsia" w:ascii="Times New Roman" w:hAnsi="Times New Roman" w:cs="Times New Roman"/>
                <w:bCs/>
                <w:kern w:val="0"/>
                <w:sz w:val="24"/>
                <w:szCs w:val="24"/>
              </w:rPr>
              <w:t>达</w:t>
            </w:r>
            <w:r>
              <w:rPr>
                <w:rFonts w:ascii="Times New Roman" w:hAnsi="Times New Roman" w:cs="Times New Roman"/>
                <w:bCs/>
                <w:kern w:val="0"/>
                <w:sz w:val="24"/>
                <w:szCs w:val="24"/>
              </w:rPr>
              <w:t>到100%，创建一级园40%以上。江北区莺花巷幼儿园、江北区新村幼儿园万科悦湾分园、万科御澜道幼儿园、四叶草松幼儿园等幼儿园装修改造完工投用。</w:t>
            </w:r>
          </w:p>
        </w:tc>
      </w:tr>
    </w:tbl>
    <w:p>
      <w:pPr>
        <w:rPr>
          <w:rFonts w:ascii="Times New Roman" w:hAnsi="Times New Roman" w:cs="Times New Roman"/>
        </w:rPr>
      </w:pPr>
      <w:bookmarkStart w:id="460" w:name="_Toc15797"/>
      <w:bookmarkStart w:id="461" w:name="_Toc10872"/>
      <w:bookmarkStart w:id="462" w:name="_Toc11514"/>
      <w:bookmarkStart w:id="463" w:name="_Toc2130"/>
      <w:bookmarkStart w:id="464" w:name="_Toc24209"/>
      <w:bookmarkStart w:id="465" w:name="_Toc9127"/>
      <w:bookmarkStart w:id="466" w:name="_Toc19020"/>
      <w:bookmarkStart w:id="467" w:name="_Toc30284"/>
      <w:bookmarkStart w:id="468" w:name="_Toc21954"/>
      <w:bookmarkStart w:id="469" w:name="_Toc17326"/>
      <w:bookmarkStart w:id="470" w:name="_Toc12139"/>
      <w:bookmarkStart w:id="471" w:name="_Toc1585"/>
    </w:p>
    <w:p>
      <w:pPr>
        <w:tabs>
          <w:tab w:val="left" w:pos="6300"/>
        </w:tabs>
        <w:spacing w:line="360" w:lineRule="auto"/>
        <w:contextualSpacing/>
        <w:jc w:val="center"/>
        <w:outlineLvl w:val="1"/>
        <w:rPr>
          <w:rFonts w:ascii="Times New Roman" w:hAnsi="Times New Roman" w:eastAsia="方正楷体_GBK" w:cs="Times New Roman"/>
          <w:bCs/>
          <w:sz w:val="32"/>
          <w:szCs w:val="32"/>
        </w:rPr>
      </w:pPr>
      <w:bookmarkStart w:id="472" w:name="_Toc24808"/>
      <w:bookmarkStart w:id="473" w:name="_Toc15355"/>
      <w:bookmarkStart w:id="474" w:name="_Toc8085"/>
      <w:bookmarkStart w:id="475" w:name="_Toc26693"/>
      <w:bookmarkStart w:id="476" w:name="_Toc30742"/>
      <w:r>
        <w:rPr>
          <w:rFonts w:ascii="Times New Roman" w:hAnsi="Times New Roman" w:eastAsia="方正楷体_GBK" w:cs="Times New Roman"/>
          <w:b/>
          <w:bCs/>
          <w:sz w:val="32"/>
          <w:szCs w:val="32"/>
        </w:rPr>
        <w:t>第三节 持续推动高中等普惠教育</w:t>
      </w:r>
      <w:bookmarkEnd w:id="460"/>
      <w:bookmarkEnd w:id="461"/>
      <w:bookmarkEnd w:id="462"/>
      <w:bookmarkEnd w:id="463"/>
      <w:bookmarkEnd w:id="464"/>
      <w:bookmarkEnd w:id="465"/>
      <w:bookmarkEnd w:id="466"/>
      <w:bookmarkEnd w:id="467"/>
      <w:bookmarkEnd w:id="468"/>
      <w:r>
        <w:rPr>
          <w:rFonts w:ascii="Times New Roman" w:hAnsi="Times New Roman" w:eastAsia="方正楷体_GBK" w:cs="Times New Roman"/>
          <w:b/>
          <w:bCs/>
          <w:sz w:val="32"/>
          <w:szCs w:val="32"/>
        </w:rPr>
        <w:t>发展</w:t>
      </w:r>
      <w:bookmarkEnd w:id="469"/>
      <w:bookmarkEnd w:id="470"/>
      <w:bookmarkEnd w:id="471"/>
      <w:bookmarkEnd w:id="472"/>
      <w:bookmarkEnd w:id="473"/>
      <w:bookmarkEnd w:id="474"/>
      <w:bookmarkEnd w:id="475"/>
      <w:bookmarkEnd w:id="476"/>
    </w:p>
    <w:p>
      <w:pPr>
        <w:tabs>
          <w:tab w:val="left" w:pos="6300"/>
        </w:tabs>
        <w:spacing w:line="600" w:lineRule="exact"/>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发展优质特色普通高中教育。</w:t>
      </w:r>
      <w:r>
        <w:rPr>
          <w:rFonts w:ascii="Times New Roman" w:hAnsi="Times New Roman" w:eastAsia="方正仿宋_GBK" w:cs="Times New Roman"/>
          <w:bCs/>
          <w:sz w:val="32"/>
          <w:szCs w:val="32"/>
        </w:rPr>
        <w:t>推进高中阶段教育多样化发展，优化高中阶段教育结构。继续实施高中阶段教育困难学生资助制度。深化课堂教学改革，拓宽综合实践渠道，有序推进选课走班，培养学生创新思维和实践能力，提高普通高中学生综合素质。完善基础设施建设，加快推进中学改扩建工程。完善教育评价和考试招生制度，探索综合高中、科技高中、人文特色高中等模式，鼓励普通高中特色化发展，加强18中</w:t>
      </w:r>
      <w:r>
        <w:rPr>
          <w:rFonts w:hint="eastAsia" w:ascii="Times New Roman" w:hAnsi="Times New Roman" w:eastAsia="方正仿宋_GBK" w:cs="Times New Roman"/>
          <w:bCs/>
          <w:sz w:val="32"/>
          <w:szCs w:val="32"/>
        </w:rPr>
        <w:t>学</w:t>
      </w:r>
      <w:r>
        <w:rPr>
          <w:rFonts w:ascii="Times New Roman" w:hAnsi="Times New Roman" w:eastAsia="方正仿宋_GBK" w:cs="Times New Roman"/>
          <w:bCs/>
          <w:sz w:val="32"/>
          <w:szCs w:val="32"/>
        </w:rPr>
        <w:t>高中部、203中学等示范高中和特色高中建设。到2025年，普通高中育人方式改革进一步深化，办学活力进一步激发，普通高中特色多样发展的格局基本形成，区域内普通高中学校实现错位发展，建成3所全市高水平示范性普通高中、1—2所全市特色普通高中。</w:t>
      </w:r>
    </w:p>
    <w:p>
      <w:pPr>
        <w:tabs>
          <w:tab w:val="left" w:pos="6300"/>
        </w:tabs>
        <w:spacing w:line="600" w:lineRule="exact"/>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发展多元融合职业教育。</w:t>
      </w:r>
      <w:r>
        <w:rPr>
          <w:rFonts w:ascii="Times New Roman" w:hAnsi="Times New Roman" w:eastAsia="方正仿宋_GBK" w:cs="Times New Roman"/>
          <w:bCs/>
          <w:sz w:val="32"/>
          <w:szCs w:val="32"/>
        </w:rPr>
        <w:t>实施职业教育扩容提质培优行动计划，重点推动产教融合和“1+X”证书制度试点，探索建设职教国家“学分银行”重庆区域分中心。推动学历教育与职业培训并举并重，深化职普融通、产教融合、校企合作，深入推进校企“双元”育人。完善招生机制，积极招收初高中毕业未升学学生、退役军人、退役运动员、下岗职工、返乡农民工等接受中等职业教育。建立健全中外合作机制，支持中外职业院校合作办学项目。推动重庆女职中建成国家高水平中职学校，并创办高等职业院校。支持艺才高级技工学校建成国家级高技能人才培训基地，并创建技师学院。拓宽两江职教中心办学场地，力争创建为市级示范中职学校。</w:t>
      </w:r>
    </w:p>
    <w:p>
      <w:pPr>
        <w:tabs>
          <w:tab w:val="left" w:pos="6300"/>
        </w:tabs>
        <w:spacing w:line="600" w:lineRule="exact"/>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发展全民终身教育。</w:t>
      </w:r>
      <w:r>
        <w:rPr>
          <w:rFonts w:ascii="Times New Roman" w:hAnsi="Times New Roman" w:eastAsia="方正仿宋_GBK" w:cs="Times New Roman"/>
          <w:bCs/>
          <w:sz w:val="32"/>
          <w:szCs w:val="32"/>
        </w:rPr>
        <w:t>发挥全国社区教育示范区引领作用，持续完善全民参与的终身教育培训体系，建设学习型城区。积极整合老年大学、职业学校、社区学校等教育资源，广泛开展社区教育活动。鼓励职业学校在人才培养、课程开发、课题研究等方面参与社区教育和老年教育，打造2—3个社区教育示范基地，探索开发3—5门适宜社区群众学习的社区教育读本和一批特色微课，经常性参与教育活动的老年人占比超过20%。打造智慧江北平台，加快信息网络学习服务体系建设。</w:t>
      </w:r>
    </w:p>
    <w:p>
      <w:pPr>
        <w:keepNext/>
        <w:keepLines/>
        <w:rPr>
          <w:rFonts w:ascii="Times New Roman" w:hAnsi="Times New Roman" w:cs="Times New Roman"/>
        </w:rPr>
      </w:pP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tabs>
                <w:tab w:val="left" w:pos="6300"/>
              </w:tabs>
              <w:spacing w:line="360" w:lineRule="auto"/>
              <w:ind w:firstLine="1193" w:firstLineChars="495"/>
              <w:contextualSpacing/>
              <w:rPr>
                <w:rFonts w:ascii="Times New Roman" w:hAnsi="Times New Roman" w:cs="Times New Roman"/>
                <w:b/>
                <w:kern w:val="0"/>
                <w:sz w:val="24"/>
                <w:szCs w:val="24"/>
              </w:rPr>
            </w:pPr>
            <w:r>
              <w:rPr>
                <w:rFonts w:ascii="Times New Roman" w:hAnsi="Times New Roman" w:cs="Times New Roman"/>
                <w:b/>
                <w:bCs/>
                <w:kern w:val="0"/>
                <w:sz w:val="24"/>
                <w:szCs w:val="24"/>
              </w:rPr>
              <w:t>专栏5-3 其他普惠教育领域公共服务设施建设重点项目</w:t>
            </w:r>
          </w:p>
          <w:p>
            <w:pPr>
              <w:tabs>
                <w:tab w:val="left" w:pos="6300"/>
              </w:tabs>
              <w:spacing w:line="360" w:lineRule="auto"/>
              <w:ind w:firstLine="470" w:firstLineChars="196"/>
              <w:contextualSpacing/>
              <w:rPr>
                <w:rFonts w:ascii="Times New Roman" w:hAnsi="Times New Roman" w:cs="Times New Roman"/>
                <w:bCs/>
                <w:kern w:val="0"/>
                <w:sz w:val="24"/>
                <w:szCs w:val="24"/>
              </w:rPr>
            </w:pPr>
            <w:r>
              <w:rPr>
                <w:rFonts w:ascii="Times New Roman" w:hAnsi="Times New Roman" w:cs="Times New Roman"/>
                <w:bCs/>
                <w:kern w:val="0"/>
                <w:sz w:val="24"/>
                <w:szCs w:val="24"/>
              </w:rPr>
              <w:t>推进宏帆八中改扩建工程、鲁能巴蜀中学改扩建工程。实施产教融合、职业教育提升工程，加快建成现代职业教育体系，促进中高职教育有机衔接、贯通发展，推进国家现代学徒制改革，探索学分银行试点。实施教育现代化工程，完善深化区域“11+5+X”整体架构（11所未来学校、5所STEM教育领航学校、若干根据学校优势特色开展的项目式和探究式的专题研究活动）。建设基于5G的智能教育城域网，持续推进STEM创新空间、智慧教室、智慧校园建设，开展信息技术能力提升工程2.0，推进教育部“基于教学改革，融合信息技术的新型教与学模式”实验区建设。</w:t>
            </w:r>
          </w:p>
        </w:tc>
      </w:tr>
    </w:tbl>
    <w:p>
      <w:pPr>
        <w:tabs>
          <w:tab w:val="left" w:pos="6300"/>
        </w:tabs>
        <w:spacing w:line="360" w:lineRule="auto"/>
        <w:contextualSpacing/>
        <w:jc w:val="center"/>
        <w:rPr>
          <w:rFonts w:ascii="Times New Roman" w:hAnsi="Times New Roman" w:eastAsia="方正楷体_GBK" w:cs="Times New Roman"/>
          <w:b/>
          <w:bCs/>
          <w:sz w:val="32"/>
          <w:szCs w:val="32"/>
        </w:rPr>
      </w:pPr>
      <w:bookmarkStart w:id="477" w:name="_Toc4598"/>
      <w:bookmarkStart w:id="478" w:name="_Toc25856"/>
      <w:bookmarkStart w:id="479" w:name="_Toc2447"/>
      <w:bookmarkStart w:id="480" w:name="_Toc3336"/>
      <w:bookmarkStart w:id="481" w:name="_Toc17209"/>
      <w:bookmarkStart w:id="482" w:name="_Toc30089"/>
      <w:bookmarkStart w:id="483" w:name="_Toc26455"/>
      <w:bookmarkStart w:id="484" w:name="_Toc4634"/>
      <w:bookmarkStart w:id="485" w:name="_Toc27468"/>
      <w:bookmarkStart w:id="486" w:name="_Toc2262"/>
      <w:bookmarkStart w:id="487" w:name="_Toc20196"/>
      <w:bookmarkStart w:id="488" w:name="_Toc29823"/>
      <w:bookmarkStart w:id="489" w:name="_Toc18073"/>
      <w:bookmarkStart w:id="490" w:name="_Toc768"/>
      <w:bookmarkStart w:id="491" w:name="_Toc13506"/>
      <w:bookmarkStart w:id="492" w:name="_Toc24737"/>
      <w:bookmarkStart w:id="493" w:name="_Toc16999"/>
    </w:p>
    <w:p>
      <w:pPr>
        <w:tabs>
          <w:tab w:val="left" w:pos="6300"/>
        </w:tabs>
        <w:spacing w:line="360" w:lineRule="auto"/>
        <w:contextualSpacing/>
        <w:jc w:val="center"/>
        <w:outlineLvl w:val="1"/>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第四节 大力推动普惠性养老服务</w:t>
      </w:r>
      <w:bookmarkEnd w:id="477"/>
      <w:bookmarkEnd w:id="478"/>
      <w:bookmarkEnd w:id="479"/>
      <w:bookmarkEnd w:id="480"/>
      <w:bookmarkEnd w:id="481"/>
      <w:bookmarkEnd w:id="482"/>
      <w:bookmarkEnd w:id="483"/>
      <w:bookmarkEnd w:id="484"/>
      <w:bookmarkEnd w:id="485"/>
      <w:r>
        <w:rPr>
          <w:rFonts w:ascii="Times New Roman" w:hAnsi="Times New Roman" w:eastAsia="方正楷体_GBK" w:cs="Times New Roman"/>
          <w:b/>
          <w:bCs/>
          <w:sz w:val="32"/>
          <w:szCs w:val="32"/>
        </w:rPr>
        <w:t>升级</w:t>
      </w:r>
      <w:bookmarkEnd w:id="486"/>
      <w:bookmarkEnd w:id="487"/>
      <w:bookmarkEnd w:id="488"/>
      <w:bookmarkEnd w:id="489"/>
      <w:bookmarkEnd w:id="490"/>
      <w:bookmarkEnd w:id="491"/>
      <w:bookmarkEnd w:id="492"/>
      <w:bookmarkEnd w:id="493"/>
    </w:p>
    <w:p>
      <w:pPr>
        <w:ind w:firstLine="643" w:firstLineChars="200"/>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完善普惠养老服务体系。</w:t>
      </w:r>
      <w:r>
        <w:rPr>
          <w:rFonts w:ascii="Times New Roman" w:hAnsi="Times New Roman" w:eastAsia="方正仿宋_GBK" w:cs="Times New Roman"/>
          <w:sz w:val="32"/>
          <w:szCs w:val="32"/>
        </w:rPr>
        <w:t>公开发布养老服务扶持政策措施清单、投资指南，完善政府和社会联动机制，通过提供场地、减免租金、人才培养、财政补贴等政策支持，引导国有资本和社会资本参与建设一批普惠性养老服务机构，</w:t>
      </w:r>
      <w:r>
        <w:rPr>
          <w:rFonts w:ascii="Times New Roman" w:hAnsi="Times New Roman" w:eastAsia="方正仿宋_GBK" w:cs="Times New Roman"/>
          <w:bCs/>
          <w:sz w:val="32"/>
          <w:szCs w:val="32"/>
        </w:rPr>
        <w:t>大力建设居家社区型养老机构、医养结合型养老机构，发展普惠性养老服务和互助性养老服务，不断完善居家社区机构相协调、医养康养相结合的养老服务体系。</w:t>
      </w:r>
      <w:r>
        <w:rPr>
          <w:rFonts w:ascii="Times New Roman" w:hAnsi="Times New Roman" w:eastAsia="方正仿宋_GBK" w:cs="Times New Roman"/>
          <w:sz w:val="32"/>
          <w:szCs w:val="32"/>
        </w:rPr>
        <w:t>积极开展全国居家和社区基本养老服务提升行动试点，推进全龄友好城区、老年友好社区建设，积极创建全国示范性老龄友好型社区。</w:t>
      </w:r>
      <w:r>
        <w:rPr>
          <w:rFonts w:ascii="Times New Roman" w:hAnsi="Times New Roman" w:eastAsia="方正仿宋_GBK" w:cs="Times New Roman"/>
          <w:bCs/>
          <w:sz w:val="32"/>
          <w:szCs w:val="32"/>
        </w:rPr>
        <w:t>提升居家社区养老服务质量，重点搭建生活照料、医疗康复、休闲娱乐、文化教育、精神慰藉、短期托养等全功能社区居家养老服务平台。扶持发展市场化、专业化的居家养老服务组织，大力发展护理型养老机构和“嵌入式”养老模式，</w:t>
      </w:r>
      <w:r>
        <w:rPr>
          <w:rFonts w:ascii="Times New Roman" w:hAnsi="Times New Roman" w:eastAsia="方正仿宋_GBK" w:cs="Times New Roman"/>
          <w:sz w:val="32"/>
          <w:szCs w:val="32"/>
        </w:rPr>
        <w:t>鼓励以社区卫生服务中心为主的二级以下医院转型发展康复护理等养老服务，</w:t>
      </w:r>
      <w:r>
        <w:rPr>
          <w:rFonts w:ascii="Times New Roman" w:hAnsi="Times New Roman" w:eastAsia="方正仿宋_GBK" w:cs="Times New Roman"/>
          <w:bCs/>
          <w:sz w:val="32"/>
          <w:szCs w:val="32"/>
        </w:rPr>
        <w:t>社区养老服务设施社会化运营率保持在100%，优化完善“一刻钟”居家养老服务圈，助餐、助洁、助行等服务机制覆盖率达到100%，护理型养老床位占比达到80%。鼓励企业厂房、医院、闲置校舍、办公用房、培训设施、疗养设施及其他可利用的资源改扩建优先用于养老服务开发。重点梳理江北区废弃厂房、商业闲置用房等，择优选址，改建为区域性养老服务中心。鼓励餐饮业、家政服务业、零售业、娱乐</w:t>
      </w:r>
      <w:r>
        <w:rPr>
          <w:rFonts w:hint="eastAsia" w:ascii="Times New Roman" w:hAnsi="Times New Roman" w:eastAsia="方正仿宋_GBK" w:cs="Times New Roman"/>
          <w:bCs/>
          <w:sz w:val="32"/>
          <w:szCs w:val="32"/>
        </w:rPr>
        <w:t>业</w:t>
      </w:r>
      <w:r>
        <w:rPr>
          <w:rFonts w:ascii="Times New Roman" w:hAnsi="Times New Roman" w:eastAsia="方正仿宋_GBK" w:cs="Times New Roman"/>
          <w:bCs/>
          <w:sz w:val="32"/>
          <w:szCs w:val="32"/>
        </w:rPr>
        <w:t>等服务业，加入养老行业的发展，活化养老机构经营范围。通过购置、置换、租赁、社区设施整合利用等方式，重点配齐观音桥、大石坝、五里店等老城区和老旧小区配套标准化养老服务设施。力争到 2025 年，</w:t>
      </w:r>
      <w:r>
        <w:rPr>
          <w:rFonts w:ascii="Times New Roman" w:hAnsi="Times New Roman" w:eastAsia="方正仿宋_GBK" w:cs="Times New Roman"/>
          <w:sz w:val="32"/>
          <w:szCs w:val="32"/>
        </w:rPr>
        <w:t>城乡社区（村）养老托育服务设施配建达标率达到100%，养老助餐、助浴服务覆盖率达到100%</w:t>
      </w:r>
      <w:r>
        <w:rPr>
          <w:rFonts w:ascii="Times New Roman" w:hAnsi="Times New Roman" w:eastAsia="方正仿宋_GBK" w:cs="Times New Roman"/>
          <w:bCs/>
          <w:sz w:val="32"/>
          <w:szCs w:val="32"/>
        </w:rPr>
        <w:t>，老年大学覆盖面达到100%，经常性参加教育活动的老年人占比达到50%。</w:t>
      </w:r>
    </w:p>
    <w:p>
      <w:pPr>
        <w:tabs>
          <w:tab w:val="left" w:pos="6300"/>
        </w:tabs>
        <w:spacing w:line="360" w:lineRule="auto"/>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推进医养康养有机结合。</w:t>
      </w:r>
      <w:r>
        <w:rPr>
          <w:rFonts w:ascii="Times New Roman" w:hAnsi="Times New Roman" w:eastAsia="方正仿宋_GBK" w:cs="Times New Roman"/>
          <w:sz w:val="32"/>
          <w:szCs w:val="32"/>
        </w:rPr>
        <w:t>制定出台江北区医养结合规划，在财税政策、规划用地、医疗保险等领域加大政策倾斜扶持，鼓励和引导民间资本投资医养结合养老机构，对符合条件的养老机构内设医疗卫生机构纳入城乡基本医疗保险定点范围。</w:t>
      </w:r>
      <w:r>
        <w:rPr>
          <w:rFonts w:ascii="Times New Roman" w:hAnsi="Times New Roman" w:eastAsia="方正仿宋_GBK" w:cs="Times New Roman"/>
          <w:bCs/>
          <w:sz w:val="32"/>
          <w:szCs w:val="32"/>
        </w:rPr>
        <w:t>重点推动医养型、护理型、连锁型、学习型、旅居型民办养老机构发展，积极打造全国医养养老服务等示范区。简化医养结合机构设立流程，支持有条件的医疗机构转型为康复护理机构，依托基层医疗卫生机构，建设社区医养结合中心。建立医疗卫生机构与养老机构的合作机制，鼓励养老机构和医疗卫生机构开展协议合作，三二四医院、江北区第一人民医院等区内所有公立医院，以及社区卫生服务中心全部参与医共体建设，着力打造养老服务联合体。充分发挥重庆市江北区中医院的中医预防保健特色优势，积极为江北区养老</w:t>
      </w:r>
      <w:r>
        <w:rPr>
          <w:rFonts w:hint="eastAsia" w:ascii="Times New Roman" w:hAnsi="Times New Roman" w:eastAsia="方正仿宋_GBK" w:cs="Times New Roman"/>
          <w:bCs/>
          <w:sz w:val="32"/>
          <w:szCs w:val="32"/>
        </w:rPr>
        <w:t>事</w:t>
      </w:r>
      <w:r>
        <w:rPr>
          <w:rFonts w:ascii="Times New Roman" w:hAnsi="Times New Roman" w:eastAsia="方正仿宋_GBK" w:cs="Times New Roman"/>
          <w:bCs/>
          <w:sz w:val="32"/>
          <w:szCs w:val="32"/>
        </w:rPr>
        <w:t>业服务。引导专业化医疗资源与养老服务对接，探索建立以视力残疾、身体残疾等为主的特殊老年人医养结合机构。建立健全主体多元、形式多样、标准规范的安宁康疗服务体系，推进“长者运动健康之家”建设，充分发挥智慧健康驿站功能作用。</w:t>
      </w:r>
      <w:r>
        <w:rPr>
          <w:rFonts w:hint="eastAsia" w:ascii="Times New Roman" w:hAnsi="Times New Roman" w:eastAsia="方正仿宋_GBK" w:cs="Times New Roman"/>
          <w:bCs/>
          <w:sz w:val="32"/>
          <w:szCs w:val="32"/>
        </w:rPr>
        <w:t>鼓励符合条件的执业医师到养老机构、社区老年照料机构内设的医疗卫生机构多点执业。加强养老服务专业队伍建设和养老服务综合监管，提高养老机构服务质量。</w:t>
      </w:r>
      <w:r>
        <w:rPr>
          <w:rFonts w:ascii="Times New Roman" w:hAnsi="Times New Roman" w:eastAsia="方正仿宋_GBK" w:cs="Times New Roman"/>
          <w:bCs/>
          <w:sz w:val="32"/>
          <w:szCs w:val="32"/>
        </w:rPr>
        <w:t>到2025年，实现养老机构医养康养结合率达 100%，至少建设 5 个社区医养康养结合型机构，实现100%的养老机构和二级及以上的医院签订合作协议，100%医疗机构开设为老年人挂号、就医绿色通道，100%养老机构以不同形式为入住老年人提供医疗卫生服务。</w:t>
      </w:r>
    </w:p>
    <w:p>
      <w:pPr>
        <w:tabs>
          <w:tab w:val="left" w:pos="6300"/>
        </w:tabs>
        <w:spacing w:line="360" w:lineRule="auto"/>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建设智慧养老服务体系。</w:t>
      </w:r>
      <w:r>
        <w:rPr>
          <w:rFonts w:ascii="Times New Roman" w:hAnsi="Times New Roman" w:eastAsia="方正仿宋_GBK" w:cs="Times New Roman"/>
          <w:sz w:val="32"/>
          <w:szCs w:val="32"/>
        </w:rPr>
        <w:t>实</w:t>
      </w:r>
      <w:r>
        <w:rPr>
          <w:rFonts w:ascii="Times New Roman" w:hAnsi="Times New Roman" w:eastAsia="方正仿宋_GBK" w:cs="Times New Roman"/>
          <w:bCs/>
          <w:sz w:val="32"/>
          <w:szCs w:val="32"/>
        </w:rPr>
        <w:t>施“互联网+养老”行动，推动人工智能、物联网、机器人等技术在养老服务领域广泛应用，加快建设养老服务信息系统，构建“四位一体”（养老机构、社区养老服务站、老年人及家属、服务提供者）的智慧养老服务平台。打造养老“关爱地图”，建设“智慧养老院”和“智慧养老社区”，提升基本养老服务申请受理、过程管理、资金结算、信息推送、服务质量监测等全流程服务供给能力。引导和支持包括健康管理类可穿戴设备、便携式健康监测设备、自助式健康检测设备、智能养老监护设备、家庭服务机器人等新型智能养老产品的应用。强化养老服务智能化监管水平，构筑智能化权益保护机制，切实保障老人合法权益。接入市级智慧养老服务大数据云平台，加快建设智慧化、智能化养老社区和养老服务圈。</w:t>
      </w:r>
    </w:p>
    <w:p>
      <w:pPr>
        <w:tabs>
          <w:tab w:val="left" w:pos="6300"/>
        </w:tabs>
        <w:spacing w:line="360" w:lineRule="auto"/>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重视养老服务人才培养。</w:t>
      </w:r>
      <w:r>
        <w:rPr>
          <w:rFonts w:ascii="Times New Roman" w:hAnsi="Times New Roman" w:eastAsia="方正仿宋_GBK" w:cs="Times New Roman"/>
          <w:bCs/>
          <w:sz w:val="32"/>
          <w:szCs w:val="32"/>
        </w:rPr>
        <w:t>依托医学类高校、职业技术学院和养老机构，建立江北区养老护理员培训基地，加强对养老护理员和管理人员的专业培训，加快培养一批养老管理服务的专业人才。建立健全养老服务人员使用、评价和激励机制，建立养老护理岗位工作人员入职奖励制度，对从事养老护理岗位大中专毕业生给予一次性奖励。建立养老护理培训制度，培养养老护理人才，建立老年社会工作专业人才与志愿者队伍联动服务机制，探索建立时间储蓄制度试点，鼓励低龄老人为高龄老人提供居家养老。探索实施养老护理员岗位津贴制度，落实法律规定的社会保险待遇，不断改善养老服务人员工资收入和福利。到 2025 年，养老护理人员培训累计超过 6000 人次，老年志愿者注册人数占老年人口比例达15%以上。</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tabs>
                <w:tab w:val="left" w:pos="6300"/>
              </w:tabs>
              <w:spacing w:line="360" w:lineRule="auto"/>
              <w:contextualSpacing/>
              <w:jc w:val="center"/>
              <w:rPr>
                <w:rFonts w:ascii="Times New Roman" w:hAnsi="Times New Roman" w:cs="Times New Roman"/>
                <w:b/>
                <w:sz w:val="24"/>
                <w:szCs w:val="24"/>
              </w:rPr>
            </w:pPr>
            <w:r>
              <w:rPr>
                <w:rFonts w:ascii="Times New Roman" w:hAnsi="Times New Roman" w:cs="Times New Roman"/>
                <w:b/>
                <w:bCs/>
                <w:sz w:val="24"/>
                <w:szCs w:val="24"/>
              </w:rPr>
              <w:t>专栏5-4 普惠养老领域公共服务设施建设重点项目</w:t>
            </w:r>
          </w:p>
          <w:p>
            <w:pPr>
              <w:tabs>
                <w:tab w:val="left" w:pos="6300"/>
              </w:tabs>
              <w:spacing w:line="360" w:lineRule="auto"/>
              <w:ind w:firstLine="470" w:firstLineChars="196"/>
              <w:contextualSpacing/>
              <w:rPr>
                <w:rFonts w:ascii="Times New Roman" w:hAnsi="Times New Roman" w:cs="Times New Roman"/>
                <w:bCs/>
                <w:sz w:val="24"/>
                <w:szCs w:val="24"/>
              </w:rPr>
            </w:pPr>
            <w:r>
              <w:rPr>
                <w:rFonts w:ascii="Times New Roman" w:hAnsi="Times New Roman" w:cs="Times New Roman"/>
                <w:bCs/>
                <w:sz w:val="24"/>
                <w:szCs w:val="24"/>
              </w:rPr>
              <w:t>积极争创全国示范性老年友好型社区。重点配齐观音桥、大石坝、五里店等老城区和老旧小区配套标准化养老服务设施。推进郭家沱养老服务中心二期工程（国药望江医院）、铁山坪126亩康养用地CCRC项目、合展怡朗山项目、中鹏养老公寓项目等尽快实施，开展居家上门服务。建成老年大学1所。</w:t>
            </w:r>
          </w:p>
        </w:tc>
      </w:tr>
    </w:tbl>
    <w:p>
      <w:pPr>
        <w:tabs>
          <w:tab w:val="left" w:pos="6300"/>
        </w:tabs>
        <w:spacing w:line="360" w:lineRule="auto"/>
        <w:contextualSpacing/>
        <w:jc w:val="center"/>
        <w:rPr>
          <w:rFonts w:ascii="Times New Roman" w:hAnsi="Times New Roman" w:eastAsia="方正楷体_GBK" w:cs="Times New Roman"/>
          <w:b/>
          <w:bCs/>
          <w:sz w:val="32"/>
          <w:szCs w:val="32"/>
        </w:rPr>
      </w:pPr>
      <w:bookmarkStart w:id="494" w:name="_Toc25826"/>
      <w:bookmarkStart w:id="495" w:name="_Toc14675"/>
      <w:bookmarkStart w:id="496" w:name="_Toc77438446"/>
      <w:bookmarkStart w:id="497" w:name="_Toc19752"/>
      <w:bookmarkStart w:id="498" w:name="_Toc19891"/>
      <w:bookmarkStart w:id="499" w:name="_Toc13183"/>
    </w:p>
    <w:p>
      <w:pPr>
        <w:tabs>
          <w:tab w:val="left" w:pos="6300"/>
        </w:tabs>
        <w:spacing w:line="360" w:lineRule="auto"/>
        <w:contextualSpacing/>
        <w:jc w:val="center"/>
        <w:outlineLvl w:val="1"/>
        <w:rPr>
          <w:rFonts w:ascii="Times New Roman" w:hAnsi="Times New Roman" w:eastAsia="方正楷体_GBK" w:cs="Times New Roman"/>
          <w:b/>
          <w:bCs/>
          <w:sz w:val="32"/>
          <w:szCs w:val="32"/>
        </w:rPr>
      </w:pPr>
      <w:bookmarkStart w:id="500" w:name="_Toc29190"/>
      <w:bookmarkStart w:id="501" w:name="_Toc10640"/>
      <w:bookmarkStart w:id="502" w:name="_Toc26186"/>
      <w:bookmarkStart w:id="503" w:name="_Toc4497"/>
      <w:bookmarkStart w:id="504" w:name="_Toc2511"/>
      <w:bookmarkStart w:id="505" w:name="_Toc12246"/>
      <w:bookmarkStart w:id="506" w:name="_Toc28918"/>
      <w:bookmarkStart w:id="507" w:name="_Toc17906"/>
      <w:r>
        <w:rPr>
          <w:rFonts w:ascii="Times New Roman" w:hAnsi="Times New Roman" w:eastAsia="方正楷体_GBK" w:cs="Times New Roman"/>
          <w:b/>
          <w:bCs/>
          <w:sz w:val="32"/>
          <w:szCs w:val="32"/>
        </w:rPr>
        <w:t>第五节 着力增强普惠性医疗服务</w:t>
      </w:r>
      <w:bookmarkEnd w:id="494"/>
      <w:bookmarkEnd w:id="495"/>
      <w:bookmarkEnd w:id="496"/>
      <w:bookmarkEnd w:id="497"/>
      <w:bookmarkEnd w:id="498"/>
      <w:bookmarkEnd w:id="499"/>
      <w:r>
        <w:rPr>
          <w:rFonts w:ascii="Times New Roman" w:hAnsi="Times New Roman" w:eastAsia="方正楷体_GBK" w:cs="Times New Roman"/>
          <w:b/>
          <w:bCs/>
          <w:sz w:val="32"/>
          <w:szCs w:val="32"/>
        </w:rPr>
        <w:t>能力</w:t>
      </w:r>
      <w:bookmarkEnd w:id="500"/>
      <w:bookmarkEnd w:id="501"/>
      <w:bookmarkEnd w:id="502"/>
      <w:bookmarkEnd w:id="503"/>
      <w:bookmarkEnd w:id="504"/>
      <w:bookmarkEnd w:id="505"/>
      <w:bookmarkEnd w:id="506"/>
      <w:bookmarkEnd w:id="507"/>
    </w:p>
    <w:p>
      <w:pPr>
        <w:ind w:firstLine="643" w:firstLineChars="200"/>
        <w:contextualSpacing/>
        <w:rPr>
          <w:rFonts w:ascii="Times New Roman" w:hAnsi="Times New Roman" w:eastAsia="方正仿宋_GBK" w:cs="Times New Roman"/>
          <w:sz w:val="32"/>
          <w:szCs w:val="32"/>
        </w:rPr>
      </w:pPr>
      <w:r>
        <w:rPr>
          <w:rFonts w:ascii="Times New Roman" w:hAnsi="Times New Roman" w:eastAsia="方正仿宋_GBK" w:cs="Times New Roman"/>
          <w:b/>
          <w:sz w:val="32"/>
          <w:szCs w:val="32"/>
        </w:rPr>
        <w:t>构建整合型全生命周期的医疗卫生服务体系。</w:t>
      </w:r>
      <w:r>
        <w:rPr>
          <w:rFonts w:ascii="Times New Roman" w:hAnsi="Times New Roman" w:eastAsia="方正仿宋_GBK" w:cs="Times New Roman"/>
          <w:bCs/>
          <w:sz w:val="32"/>
          <w:szCs w:val="32"/>
        </w:rPr>
        <w:t>以区人民医院、区中医院创建三级医院为引领，以区疾控中心、区妇幼保健院提档升级为支撑，以社区卫生服务中心能力提升为依托，建设全市一流的医院联合体。</w:t>
      </w:r>
      <w:r>
        <w:rPr>
          <w:rFonts w:ascii="Times New Roman" w:hAnsi="Times New Roman" w:eastAsia="方正仿宋_GBK" w:cs="Times New Roman"/>
          <w:sz w:val="32"/>
          <w:szCs w:val="32"/>
        </w:rPr>
        <w:t>推进以“区级医院为龙头，乡镇卫生院（社区卫生服务中心）为枢纽，村卫生室为基础”的城乡一体化管理，与乡村一体化有效衔接，健全村居级公共卫生委员会，构建区镇村三级联动的紧密型区域医共体。探索推进川渝跨区域医共体、医联体建设，推进结果互认。加强老年医院、康复医院、护理院、安宁疗护中心等接续性医疗机构建设。加强妇女儿童健康服务能力建设，推动胸痛中心、卒中中心、创伤中心、呼吸中心、肿瘤综合治疗中心等专病中心建设。发展“互联网+健康”服务，建成全区人口健康信息平台，构建覆盖城乡的远程医疗服务网络</w:t>
      </w:r>
      <w:r>
        <w:rPr>
          <w:rFonts w:hint="eastAsia" w:ascii="Times New Roman" w:hAnsi="Times New Roman" w:eastAsia="方正仿宋_GBK" w:cs="Times New Roman"/>
          <w:sz w:val="32"/>
          <w:szCs w:val="32"/>
        </w:rPr>
        <w:t>体系</w:t>
      </w:r>
      <w:r>
        <w:rPr>
          <w:rFonts w:ascii="Times New Roman" w:hAnsi="Times New Roman" w:eastAsia="方正仿宋_GBK" w:cs="Times New Roman"/>
          <w:sz w:val="32"/>
          <w:szCs w:val="32"/>
        </w:rPr>
        <w:t>，推动互联网医院有序发展。聚焦社区卫生服务中心“健康管理中心”“康复中心”“护理中心”等“三个中心”建设。</w:t>
      </w:r>
    </w:p>
    <w:p>
      <w:pPr>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推动中医药事业高质量发展。</w:t>
      </w:r>
      <w:r>
        <w:rPr>
          <w:rFonts w:ascii="Times New Roman" w:hAnsi="Times New Roman" w:eastAsia="方正仿宋_GBK" w:cs="Times New Roman"/>
          <w:sz w:val="32"/>
          <w:szCs w:val="32"/>
        </w:rPr>
        <w:t>以市中医院为龙头、区中医院为引领，带动全区中医药事业发展。推进市中医院积极创建国家区域中医医疗中心、国家中医疫病防治基地、国家中医传承创新中心。加快区中医院三级中医医院创建工作，</w:t>
      </w:r>
      <w:r>
        <w:rPr>
          <w:rFonts w:ascii="Times New Roman" w:hAnsi="Times New Roman" w:eastAsia="方正仿宋_GBK" w:cs="Times New Roman"/>
          <w:bCs/>
          <w:sz w:val="32"/>
          <w:szCs w:val="32"/>
        </w:rPr>
        <w:t>推进区中医院申报市级中医康复示范中心、市级中医治未病中心等项目建设。</w:t>
      </w:r>
      <w:r>
        <w:rPr>
          <w:rFonts w:ascii="Times New Roman" w:hAnsi="Times New Roman" w:eastAsia="方正仿宋_GBK" w:cs="Times New Roman"/>
          <w:sz w:val="32"/>
          <w:szCs w:val="32"/>
        </w:rPr>
        <w:t>强化区中医药适宜技术推广基地建设，促进中医药适宜技术推广应用。推进市、区级名老中医传承工作室建设和市级中医重点、特色专科建设。强化中医药健康管理服务，进一步提升65岁以上老年人、0—36个月儿童、孕产妇、高血压和2型糖尿病等人群中医药健康管理服务质量和水平。</w:t>
      </w:r>
      <w:r>
        <w:rPr>
          <w:rFonts w:ascii="Times New Roman" w:hAnsi="Times New Roman" w:eastAsia="方正仿宋_GBK" w:cs="Times New Roman"/>
          <w:bCs/>
          <w:sz w:val="32"/>
          <w:szCs w:val="32"/>
        </w:rPr>
        <w:t>鼓励家庭医生提供中医“治未病”签约服务，推动中医康复技术进社区、进家庭、进机构。</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tabs>
                <w:tab w:val="left" w:pos="6300"/>
              </w:tabs>
              <w:spacing w:line="360" w:lineRule="auto"/>
              <w:ind w:firstLine="1431" w:firstLineChars="594"/>
              <w:contextualSpacing/>
              <w:rPr>
                <w:rFonts w:ascii="Times New Roman" w:hAnsi="Times New Roman" w:cs="Times New Roman"/>
                <w:b/>
                <w:sz w:val="24"/>
                <w:szCs w:val="24"/>
              </w:rPr>
            </w:pPr>
            <w:r>
              <w:rPr>
                <w:rFonts w:ascii="Times New Roman" w:hAnsi="Times New Roman" w:cs="Times New Roman"/>
                <w:b/>
                <w:bCs/>
                <w:sz w:val="24"/>
                <w:szCs w:val="24"/>
              </w:rPr>
              <w:t>专栏5-5普惠医疗领域公共服务设施建设重点项目</w:t>
            </w:r>
          </w:p>
          <w:p>
            <w:pPr>
              <w:tabs>
                <w:tab w:val="left" w:pos="6300"/>
              </w:tabs>
              <w:spacing w:line="360" w:lineRule="auto"/>
              <w:ind w:firstLine="480" w:firstLineChars="200"/>
              <w:contextualSpacing/>
              <w:jc w:val="left"/>
              <w:rPr>
                <w:rFonts w:ascii="Times New Roman" w:hAnsi="Times New Roman" w:cs="Times New Roman"/>
                <w:bCs/>
                <w:sz w:val="24"/>
                <w:szCs w:val="24"/>
              </w:rPr>
            </w:pPr>
            <w:r>
              <w:rPr>
                <w:rFonts w:ascii="Times New Roman" w:hAnsi="Times New Roman" w:cs="Times New Roman"/>
                <w:bCs/>
                <w:sz w:val="24"/>
                <w:szCs w:val="24"/>
              </w:rPr>
              <w:t>争取区域医疗中心项目落地实施，开展医院优质医疗资源扩容下沉工程，建设</w:t>
            </w:r>
            <w:r>
              <w:rPr>
                <w:rFonts w:ascii="Times New Roman" w:hAnsi="Times New Roman" w:cs="Times New Roman"/>
                <w:bCs/>
                <w:spacing w:val="-11"/>
                <w:sz w:val="24"/>
                <w:szCs w:val="24"/>
              </w:rPr>
              <w:t>中医疫病防治基地，推进干细胞存储中心、基因检测专科医院、智慧医疗中心建设等。</w:t>
            </w:r>
          </w:p>
        </w:tc>
      </w:tr>
    </w:tbl>
    <w:p>
      <w:pPr>
        <w:tabs>
          <w:tab w:val="left" w:pos="6300"/>
        </w:tabs>
        <w:spacing w:line="360" w:lineRule="auto"/>
        <w:contextualSpacing/>
        <w:jc w:val="center"/>
        <w:rPr>
          <w:rFonts w:ascii="Times New Roman" w:hAnsi="Times New Roman" w:eastAsia="方正楷体_GBK" w:cs="Times New Roman"/>
          <w:b/>
          <w:bCs/>
          <w:sz w:val="32"/>
          <w:szCs w:val="32"/>
        </w:rPr>
      </w:pPr>
      <w:bookmarkStart w:id="508" w:name="_Toc21299"/>
      <w:bookmarkStart w:id="509" w:name="_Toc77438447"/>
      <w:bookmarkStart w:id="510" w:name="_Toc18684"/>
      <w:bookmarkStart w:id="511" w:name="_Toc24294"/>
      <w:bookmarkStart w:id="512" w:name="_Toc2250"/>
      <w:bookmarkStart w:id="513" w:name="_Toc6742"/>
      <w:bookmarkStart w:id="514" w:name="_Toc5690"/>
      <w:bookmarkStart w:id="515" w:name="_Toc3099"/>
      <w:bookmarkStart w:id="516" w:name="_Toc2756"/>
      <w:bookmarkStart w:id="517" w:name="_Toc20383"/>
      <w:bookmarkStart w:id="518" w:name="_Toc21615"/>
      <w:bookmarkStart w:id="519" w:name="_Toc19156"/>
      <w:bookmarkStart w:id="520" w:name="_Toc16887"/>
      <w:bookmarkStart w:id="521" w:name="_Toc10171"/>
      <w:bookmarkStart w:id="522" w:name="_Toc12897"/>
      <w:bookmarkStart w:id="523" w:name="_Toc27001"/>
      <w:bookmarkStart w:id="524" w:name="_Toc30318"/>
      <w:bookmarkStart w:id="525" w:name="_Toc8180"/>
    </w:p>
    <w:p>
      <w:pPr>
        <w:tabs>
          <w:tab w:val="left" w:pos="6300"/>
        </w:tabs>
        <w:spacing w:line="360" w:lineRule="auto"/>
        <w:contextualSpacing/>
        <w:jc w:val="center"/>
        <w:outlineLvl w:val="1"/>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第六节 不断增强普惠性文化服务能力</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ind w:firstLine="643" w:firstLineChars="200"/>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推进文艺事业繁荣发展。</w:t>
      </w:r>
      <w:r>
        <w:rPr>
          <w:rFonts w:ascii="Times New Roman" w:hAnsi="Times New Roman" w:eastAsia="方正仿宋_GBK" w:cs="Times New Roman"/>
          <w:bCs/>
          <w:sz w:val="32"/>
          <w:szCs w:val="32"/>
        </w:rPr>
        <w:t>全面繁荣新闻出版、广播影视、文学艺术、哲学社会科学事业。实施文艺作品质量提升行动，实施当代文学艺术创作工程，不断推出反映时代新气象、讴歌人民新创造的文艺精品。加强文艺理论研究、积极开展文艺评论，促进文艺创作生产健康发展，建立文艺精品选拔、出版、推广机制。</w:t>
      </w:r>
    </w:p>
    <w:p>
      <w:pPr>
        <w:tabs>
          <w:tab w:val="left" w:pos="6300"/>
        </w:tabs>
        <w:spacing w:line="360" w:lineRule="auto"/>
        <w:ind w:firstLine="643" w:firstLineChars="200"/>
        <w:contextualSpacing/>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加强“文物活化”展示展现。</w:t>
      </w:r>
      <w:r>
        <w:rPr>
          <w:rFonts w:ascii="Times New Roman" w:hAnsi="Times New Roman" w:eastAsia="方正仿宋_GBK" w:cs="Times New Roman"/>
          <w:sz w:val="32"/>
          <w:szCs w:val="32"/>
        </w:rPr>
        <w:t>深入挖掘江北历史文脉，实施文化珍珠链战略，以文化开放提升“两江四岸”人文品质。大力实施文物修缮保护工程，推进区级以上文物全覆盖修缮。重点针对长嘉汇大景区江北嘴片区，以文脉融古今，加快实施东升门、明玉珍睿陵、测候亭、“三·三一”惨案死难志士群葬墓地升级提质工程。加快推进蜀都中学旧址、无铭阙、文物复建区、观音阁、至善桥、天宝寨等保护性利用修缮。引入社会力量，集中抓好董家溪皮件厂礼堂、亚细亚石油公司旧址大班房、蜀都中学旧址等文物活化利用。协同共建重庆金融博物馆、嘉陵江索道博物馆，打造西部独具特色的测候亭气象博物馆。实施江北区历史文化资源挖掘与研究应用项目，深度展现和推广江北历史文化。进一步挖掘江北非遗项目，力争2025年，市级非遗项目达12项，国家级非遗项目达2项。</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tabs>
                <w:tab w:val="left" w:pos="6300"/>
              </w:tabs>
              <w:spacing w:line="360" w:lineRule="auto"/>
              <w:contextualSpacing/>
              <w:rPr>
                <w:rFonts w:ascii="Times New Roman" w:hAnsi="Times New Roman" w:cs="Times New Roman"/>
                <w:b/>
                <w:sz w:val="24"/>
                <w:szCs w:val="24"/>
              </w:rPr>
            </w:pPr>
            <w:r>
              <w:rPr>
                <w:rFonts w:ascii="Times New Roman" w:hAnsi="Times New Roman" w:cs="Times New Roman"/>
                <w:b/>
                <w:bCs/>
                <w:sz w:val="24"/>
                <w:szCs w:val="24"/>
              </w:rPr>
              <w:t xml:space="preserve">           专栏5-6 普惠文化领域公共服务设施建设重点项目</w:t>
            </w:r>
          </w:p>
          <w:p>
            <w:pPr>
              <w:tabs>
                <w:tab w:val="left" w:pos="6300"/>
              </w:tabs>
              <w:spacing w:line="360" w:lineRule="auto"/>
              <w:ind w:firstLine="480" w:firstLineChars="200"/>
              <w:contextualSpacing/>
              <w:rPr>
                <w:rFonts w:ascii="Times New Roman" w:hAnsi="Times New Roman" w:cs="Times New Roman"/>
                <w:bCs/>
                <w:sz w:val="24"/>
                <w:szCs w:val="24"/>
              </w:rPr>
            </w:pPr>
            <w:r>
              <w:rPr>
                <w:rFonts w:ascii="Times New Roman" w:hAnsi="Times New Roman" w:cs="Times New Roman"/>
                <w:bCs/>
                <w:kern w:val="0"/>
                <w:sz w:val="24"/>
                <w:szCs w:val="24"/>
              </w:rPr>
              <w:t>加快实施东升门、明玉珍睿陵、测候亭、“三·三一”惨案死难志士群葬墓地升级提质工程。加快推进蜀都中学旧址、无铭阙、文物复建区、观音阁、至善桥、天宝寨等保护性利用修缮。抓好董家溪皮件厂礼堂、亚细亚石油公司旧址大班房、蜀都中学旧址等文物活化利用。协同共建重庆金融博物馆、嘉陵江索道博物馆，打造西部独具特色的测候亭气象博物馆。实施江北区历史文化资源挖掘与研究应用项目，深度展现和推广江北历史文化。力争2025年，市级非遗项目达12项，国家级非遗项目达2项。</w:t>
            </w:r>
          </w:p>
        </w:tc>
      </w:tr>
    </w:tbl>
    <w:p>
      <w:pPr>
        <w:tabs>
          <w:tab w:val="left" w:pos="6300"/>
        </w:tabs>
        <w:spacing w:line="360" w:lineRule="auto"/>
        <w:contextualSpacing/>
        <w:jc w:val="center"/>
        <w:outlineLvl w:val="1"/>
        <w:rPr>
          <w:rFonts w:ascii="Times New Roman" w:hAnsi="Times New Roman" w:eastAsia="方正楷体_GBK" w:cs="Times New Roman"/>
          <w:b/>
          <w:bCs/>
          <w:sz w:val="32"/>
          <w:szCs w:val="32"/>
        </w:rPr>
      </w:pPr>
      <w:bookmarkStart w:id="526" w:name="_Toc2708"/>
      <w:bookmarkStart w:id="527" w:name="_Toc23557"/>
      <w:bookmarkStart w:id="528" w:name="_Toc5932"/>
      <w:bookmarkStart w:id="529" w:name="_Toc31448"/>
      <w:bookmarkStart w:id="530" w:name="_Toc9844"/>
      <w:bookmarkStart w:id="531" w:name="_Toc7848"/>
      <w:bookmarkStart w:id="532" w:name="_Toc13446"/>
      <w:bookmarkStart w:id="533" w:name="_Toc12481"/>
      <w:bookmarkStart w:id="534" w:name="_Toc17805"/>
      <w:bookmarkStart w:id="535" w:name="_Toc21150"/>
      <w:bookmarkStart w:id="536" w:name="_Toc9831"/>
      <w:bookmarkStart w:id="537" w:name="_Toc9024"/>
      <w:bookmarkStart w:id="538" w:name="_Toc14543"/>
      <w:bookmarkStart w:id="539" w:name="_Toc926"/>
      <w:bookmarkStart w:id="540" w:name="_Toc30826"/>
      <w:bookmarkStart w:id="541" w:name="_Toc9751"/>
      <w:bookmarkStart w:id="542" w:name="_Toc3240"/>
      <w:r>
        <w:rPr>
          <w:rFonts w:ascii="Times New Roman" w:hAnsi="Times New Roman" w:eastAsia="方正楷体_GBK" w:cs="Times New Roman"/>
          <w:b/>
          <w:bCs/>
          <w:sz w:val="32"/>
          <w:szCs w:val="32"/>
        </w:rPr>
        <w:t>第七节 积极推进普惠性体育服务发展</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tabs>
          <w:tab w:val="left" w:pos="6300"/>
        </w:tabs>
        <w:spacing w:line="360" w:lineRule="auto"/>
        <w:ind w:firstLine="640"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sz w:val="32"/>
          <w:szCs w:val="32"/>
        </w:rPr>
        <w:t>增加普惠性体育服务供给，</w:t>
      </w:r>
      <w:r>
        <w:rPr>
          <w:rFonts w:ascii="Times New Roman" w:hAnsi="Times New Roman" w:eastAsia="方正仿宋_GBK" w:cs="Times New Roman"/>
          <w:bCs/>
          <w:sz w:val="32"/>
          <w:szCs w:val="32"/>
        </w:rPr>
        <w:t>提升承办重大赛事场馆设施基础条件，实现具备承办全市单项赛事场馆设施条件，有条件情况下，积极实现具备承办全市综合性运动会和国家级单项赛事场馆设施条件。做优综合体育场馆、全民健身中心竞技体育训练设施，在有条件的情况下，建成能满足备战专业训练和业余训练相配套的竞技体育训练场地设施。积极引进和培育具有社会基础和全国影响力的体育竞技赛事，促进具有广阔前景的体育竞技赛事发展，积极组团参加全国和全市各类竞技赛事，继续积极举办铁山坪森林半程马拉松、校园铁人三项邀请赛、马术邀请赛等市级重点赛事和业余足球、篮球联赛等区级常态赛事。提升职业体育发展，加强江北区业余体校建设，拓宽职业体育发展渠道，鼓励具备条件的运动项目走职业道路。支持引导海派健身、海悦荟等体育健身机构开展全民健身活动。完善社区体育公园体系和布局，提档升级李家坪、赵家山等一批社区体育公园，鼓励开发溉澜溪、塔子山等一批社区体育公园健身娱乐项目。</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tabs>
                <w:tab w:val="left" w:pos="6300"/>
              </w:tabs>
              <w:spacing w:line="360" w:lineRule="auto"/>
              <w:ind w:firstLine="1431" w:firstLineChars="594"/>
              <w:contextualSpacing/>
              <w:rPr>
                <w:rFonts w:ascii="Times New Roman" w:hAnsi="Times New Roman" w:cs="Times New Roman"/>
                <w:b/>
                <w:sz w:val="24"/>
                <w:szCs w:val="24"/>
              </w:rPr>
            </w:pPr>
            <w:r>
              <w:rPr>
                <w:rFonts w:ascii="Times New Roman" w:hAnsi="Times New Roman" w:cs="Times New Roman"/>
                <w:b/>
                <w:bCs/>
                <w:sz w:val="24"/>
                <w:szCs w:val="24"/>
              </w:rPr>
              <w:t>专栏5-7 普惠体育领域公共服务设施建设重点项目</w:t>
            </w:r>
          </w:p>
          <w:p>
            <w:pPr>
              <w:tabs>
                <w:tab w:val="left" w:pos="6300"/>
              </w:tabs>
              <w:spacing w:line="360" w:lineRule="auto"/>
              <w:ind w:firstLine="480" w:firstLineChars="200"/>
              <w:contextualSpacing/>
              <w:rPr>
                <w:rFonts w:ascii="Times New Roman" w:hAnsi="Times New Roman" w:cs="Times New Roman"/>
                <w:b/>
                <w:bCs/>
                <w:sz w:val="32"/>
                <w:szCs w:val="32"/>
              </w:rPr>
            </w:pPr>
            <w:r>
              <w:rPr>
                <w:rFonts w:ascii="Times New Roman" w:hAnsi="Times New Roman" w:cs="Times New Roman"/>
                <w:bCs/>
                <w:sz w:val="24"/>
                <w:szCs w:val="24"/>
              </w:rPr>
              <w:t>重点做优综合体育场馆、全民健身中心竞技体育训练设施，积极建设能满足备战专业训练和业余训练相配套的竞技体育训练场地设施。支持引导海派健身、海悦荟等体育健身机构开展全民健身活动。提档升级李家坪、赵家山等一批社区体育公园，鼓励开发溉澜溪、塔子山等一批社区体育公园健身娱乐项目。</w:t>
            </w:r>
          </w:p>
        </w:tc>
      </w:tr>
    </w:tbl>
    <w:p>
      <w:pPr>
        <w:tabs>
          <w:tab w:val="left" w:pos="6300"/>
        </w:tabs>
        <w:contextualSpacing/>
        <w:jc w:val="center"/>
        <w:rPr>
          <w:rFonts w:ascii="Times New Roman" w:hAnsi="Times New Roman" w:eastAsia="方正黑体_GBK" w:cs="Times New Roman"/>
          <w:bCs/>
          <w:sz w:val="32"/>
          <w:szCs w:val="32"/>
        </w:rPr>
      </w:pPr>
      <w:bookmarkStart w:id="543" w:name="_Toc19529"/>
      <w:bookmarkStart w:id="544" w:name="_Toc77438449"/>
      <w:bookmarkStart w:id="545" w:name="_Toc32498"/>
      <w:bookmarkStart w:id="546" w:name="_Toc17791"/>
      <w:bookmarkStart w:id="547" w:name="_Toc30041"/>
      <w:bookmarkStart w:id="548" w:name="_Toc2830"/>
      <w:bookmarkStart w:id="549" w:name="_Toc17321"/>
      <w:bookmarkStart w:id="550" w:name="_Toc18711"/>
      <w:bookmarkStart w:id="551" w:name="_Toc1455"/>
      <w:bookmarkStart w:id="552" w:name="_Toc8206"/>
      <w:bookmarkStart w:id="553" w:name="_Toc14043"/>
      <w:bookmarkStart w:id="554" w:name="_Toc24265"/>
      <w:bookmarkStart w:id="555" w:name="_Toc21989"/>
      <w:bookmarkStart w:id="556" w:name="_Toc30557"/>
    </w:p>
    <w:p>
      <w:pPr>
        <w:tabs>
          <w:tab w:val="left" w:pos="6300"/>
        </w:tabs>
        <w:contextualSpacing/>
        <w:jc w:val="center"/>
        <w:outlineLvl w:val="0"/>
        <w:rPr>
          <w:rFonts w:ascii="Times New Roman" w:hAnsi="Times New Roman" w:eastAsia="方正黑体_GBK" w:cs="Times New Roman"/>
          <w:bCs/>
          <w:sz w:val="32"/>
          <w:szCs w:val="32"/>
        </w:rPr>
      </w:pPr>
      <w:bookmarkStart w:id="557" w:name="_Toc13687"/>
      <w:bookmarkStart w:id="558" w:name="_Toc2847"/>
      <w:bookmarkStart w:id="559" w:name="_Toc15605"/>
      <w:bookmarkStart w:id="560" w:name="_Toc27955"/>
      <w:r>
        <w:rPr>
          <w:rFonts w:ascii="Times New Roman" w:hAnsi="Times New Roman" w:eastAsia="方正黑体_GBK" w:cs="Times New Roman"/>
          <w:bCs/>
          <w:sz w:val="32"/>
          <w:szCs w:val="32"/>
        </w:rPr>
        <w:t>第六章 促进多样化多层次生活服务优质发展</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tabs>
          <w:tab w:val="left" w:pos="6300"/>
        </w:tabs>
        <w:spacing w:line="360" w:lineRule="auto"/>
        <w:contextualSpacing/>
        <w:jc w:val="center"/>
        <w:outlineLvl w:val="1"/>
        <w:rPr>
          <w:rFonts w:ascii="Times New Roman" w:hAnsi="Times New Roman" w:eastAsia="方正楷体_GBK" w:cs="Times New Roman"/>
          <w:b/>
          <w:bCs/>
          <w:sz w:val="32"/>
          <w:szCs w:val="32"/>
        </w:rPr>
      </w:pPr>
      <w:bookmarkStart w:id="561" w:name="_Toc22473"/>
      <w:bookmarkStart w:id="562" w:name="_Toc6030"/>
      <w:bookmarkStart w:id="563" w:name="_Toc8970"/>
      <w:bookmarkStart w:id="564" w:name="_Toc23747"/>
      <w:bookmarkStart w:id="565" w:name="_Toc24327"/>
      <w:bookmarkStart w:id="566" w:name="_Toc15138"/>
      <w:bookmarkStart w:id="567" w:name="_Toc3848"/>
      <w:bookmarkStart w:id="568" w:name="_Toc12415"/>
      <w:bookmarkStart w:id="569" w:name="_Toc32710"/>
      <w:bookmarkStart w:id="570" w:name="_Toc31824"/>
      <w:bookmarkStart w:id="571" w:name="_Toc18852"/>
      <w:bookmarkStart w:id="572" w:name="_Toc5556"/>
      <w:bookmarkStart w:id="573" w:name="_Toc15348"/>
      <w:bookmarkStart w:id="574" w:name="_Toc15913"/>
      <w:bookmarkStart w:id="575" w:name="_Toc2648"/>
      <w:bookmarkStart w:id="576" w:name="_Toc17994"/>
      <w:bookmarkStart w:id="577" w:name="_Toc3979"/>
      <w:r>
        <w:rPr>
          <w:rFonts w:ascii="Times New Roman" w:hAnsi="Times New Roman" w:eastAsia="方正楷体_GBK" w:cs="Times New Roman"/>
          <w:b/>
          <w:bCs/>
          <w:sz w:val="32"/>
          <w:szCs w:val="32"/>
        </w:rPr>
        <w:t>第一节 积极培育</w:t>
      </w:r>
      <w:bookmarkEnd w:id="561"/>
      <w:bookmarkEnd w:id="562"/>
      <w:bookmarkEnd w:id="563"/>
      <w:bookmarkEnd w:id="564"/>
      <w:bookmarkEnd w:id="565"/>
      <w:r>
        <w:rPr>
          <w:rFonts w:ascii="Times New Roman" w:hAnsi="Times New Roman" w:eastAsia="方正楷体_GBK" w:cs="Times New Roman"/>
          <w:b/>
          <w:bCs/>
          <w:sz w:val="32"/>
          <w:szCs w:val="32"/>
        </w:rPr>
        <w:t>养老托育服务产业集群</w:t>
      </w:r>
      <w:bookmarkEnd w:id="566"/>
      <w:bookmarkEnd w:id="567"/>
      <w:bookmarkEnd w:id="568"/>
      <w:bookmarkEnd w:id="569"/>
      <w:bookmarkEnd w:id="570"/>
      <w:bookmarkEnd w:id="571"/>
      <w:bookmarkEnd w:id="572"/>
      <w:bookmarkEnd w:id="573"/>
      <w:bookmarkEnd w:id="574"/>
      <w:bookmarkEnd w:id="575"/>
      <w:bookmarkEnd w:id="576"/>
      <w:bookmarkEnd w:id="577"/>
    </w:p>
    <w:p>
      <w:pPr>
        <w:ind w:firstLine="643" w:firstLineChars="200"/>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加快推动“养老服务+”产业。</w:t>
      </w:r>
      <w:r>
        <w:rPr>
          <w:rFonts w:ascii="Times New Roman" w:hAnsi="Times New Roman" w:eastAsia="方正仿宋_GBK" w:cs="Times New Roman"/>
          <w:bCs/>
          <w:sz w:val="32"/>
          <w:szCs w:val="32"/>
        </w:rPr>
        <w:t>鼓励扶持社会资本投资老年健康产业，培育发展上下游产业链于一体的养老服务产业体系，探索创新“城市+龙头企业+金融机构”的新型养老合作服务模式，争创一批试点示范，积极打造健康养老产业集聚区，到2025年，力争培育5家以上品牌化、专业化、连锁化的康养服务机构，社会运营的养老床位占比达100%。开发老年应用产品，重点培育开发和引进满足老年人生活需求、健康需求、个性需求的智能家电、智能音箱、智能语音、陪护助手、健身器材等新型老年特色生活用品。建立健全“互联网+养老”标准化体系，推进智慧健康养老产业发展，积极申报智慧健康养老各类试点示范，鼓励开发老年智慧健康产品，重点培育发展健康管理类可穿戴设备、便携式健康监测设备、自助式健康监测设备等健康监测产品，以及围绕家务、情感陪护、娱乐休闲、安防监控等智能服务型机器人产品和智能康复辅助器具等。大力推动面向老年人的健康管理、预防干预、养生保健、健身休闲、文化娱乐、旅居养老等“养老+”多业态深度融合发展。</w:t>
      </w:r>
      <w:r>
        <w:rPr>
          <w:rFonts w:ascii="Times New Roman" w:hAnsi="Times New Roman" w:eastAsia="方正仿宋_GBK" w:cs="Times New Roman"/>
          <w:sz w:val="32"/>
          <w:szCs w:val="32"/>
        </w:rPr>
        <w:t>推进成渝地区养老服务协同发展，</w:t>
      </w:r>
      <w:r>
        <w:rPr>
          <w:rFonts w:ascii="Times New Roman" w:hAnsi="Times New Roman" w:eastAsia="方正仿宋_GBK" w:cs="Times New Roman"/>
          <w:bCs/>
          <w:sz w:val="32"/>
          <w:szCs w:val="32"/>
        </w:rPr>
        <w:t>联动全市健康养老基地、温泉养生基地等形成养老产业链上下游补充和衔接，</w:t>
      </w:r>
      <w:r>
        <w:rPr>
          <w:rFonts w:ascii="Times New Roman" w:hAnsi="Times New Roman" w:eastAsia="方正仿宋_GBK" w:cs="Times New Roman"/>
          <w:sz w:val="32"/>
          <w:szCs w:val="32"/>
        </w:rPr>
        <w:t>打造铁山坪高端森林康养集群，争取创建国家康养森林基地。</w:t>
      </w:r>
      <w:r>
        <w:rPr>
          <w:rFonts w:ascii="Times New Roman" w:hAnsi="Times New Roman" w:eastAsia="方正仿宋_GBK" w:cs="Times New Roman"/>
          <w:bCs/>
          <w:sz w:val="32"/>
          <w:szCs w:val="32"/>
        </w:rPr>
        <w:t>引导金融机构开发适合老年人的理财、信贷等金融产品，探索建立长期护理保险制度。推动养老服务向精神慰藉、康复护理、紧急救援、临终关怀等领域延伸。</w:t>
      </w:r>
    </w:p>
    <w:p>
      <w:pPr>
        <w:tabs>
          <w:tab w:val="left" w:pos="6300"/>
        </w:tabs>
        <w:spacing w:line="360" w:lineRule="auto"/>
        <w:ind w:firstLine="636"/>
        <w:contextualSpacing/>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积极培育“托育服务+”产业。</w:t>
      </w:r>
      <w:r>
        <w:rPr>
          <w:rFonts w:ascii="Times New Roman" w:hAnsi="Times New Roman" w:eastAsia="方正仿宋_GBK" w:cs="Times New Roman"/>
          <w:bCs/>
          <w:sz w:val="32"/>
          <w:szCs w:val="32"/>
        </w:rPr>
        <w:t>引导市场主体投资“托育服务+”产业，鼓励有资质的社会力量以多种形式开办月子中心、母婴照料、婴幼托育、第三方妇幼健康检测评价及咨询服务等专业化、高端化母婴及托育服务机构。大力开展示范性托育服务机构创建工作，争创全国示范性托育服务机构，逐步做响江北育幼服务品牌。积极发展智慧托育等新业态，充分利用互联网、大数据、物联网等新技术新手段，开发婴幼儿照护服务大数据信息管理系统、培训系统、服务系统，推动线上线下结合服务，发展婴幼儿早期相关产品。探索发展家庭育儿共享平台、家庭托育点等托育服务新模式新业态。</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tabs>
                <w:tab w:val="left" w:pos="6300"/>
              </w:tabs>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专栏6-1 养老托育产业品牌培育项目</w:t>
            </w:r>
          </w:p>
          <w:p>
            <w:pPr>
              <w:tabs>
                <w:tab w:val="left" w:pos="6300"/>
              </w:tabs>
              <w:spacing w:line="360" w:lineRule="auto"/>
              <w:ind w:firstLine="480"/>
              <w:contextualSpacing/>
              <w:rPr>
                <w:rFonts w:ascii="Times New Roman" w:hAnsi="Times New Roman" w:cs="Times New Roman"/>
                <w:bCs/>
                <w:sz w:val="28"/>
                <w:szCs w:val="28"/>
              </w:rPr>
            </w:pPr>
            <w:r>
              <w:rPr>
                <w:rFonts w:ascii="Times New Roman" w:hAnsi="Times New Roman" w:cs="Times New Roman"/>
                <w:bCs/>
                <w:sz w:val="24"/>
                <w:szCs w:val="24"/>
              </w:rPr>
              <w:t>积极扶持民营企业提供专业化、高端化养老服务，打造合展浩田怡朗山项目等一批具有示范性的养老服务项目，打造合展新模式康养研发基地。鼓励有资质的社会力量开办月子中心、母婴照料、婴幼托育、第三方妇幼健康检测评价及咨询服务等专业化、高端化母婴及托育服务机构等。</w:t>
            </w:r>
          </w:p>
        </w:tc>
      </w:tr>
    </w:tbl>
    <w:p>
      <w:pPr>
        <w:tabs>
          <w:tab w:val="left" w:pos="6300"/>
        </w:tabs>
        <w:spacing w:line="360" w:lineRule="auto"/>
        <w:ind w:firstLine="636"/>
        <w:contextualSpacing/>
        <w:rPr>
          <w:rFonts w:ascii="Times New Roman" w:hAnsi="Times New Roman" w:eastAsia="方正仿宋_GBK" w:cs="Times New Roman"/>
          <w:bCs/>
          <w:sz w:val="32"/>
          <w:szCs w:val="32"/>
        </w:rPr>
      </w:pPr>
    </w:p>
    <w:p>
      <w:pPr>
        <w:tabs>
          <w:tab w:val="left" w:pos="6300"/>
        </w:tabs>
        <w:spacing w:line="360" w:lineRule="auto"/>
        <w:ind w:firstLine="636"/>
        <w:contextualSpacing/>
        <w:jc w:val="center"/>
        <w:outlineLvl w:val="1"/>
        <w:rPr>
          <w:rFonts w:ascii="Times New Roman" w:hAnsi="Times New Roman" w:eastAsia="方正楷体_GBK" w:cs="Times New Roman"/>
          <w:b/>
          <w:bCs/>
          <w:sz w:val="32"/>
          <w:szCs w:val="32"/>
        </w:rPr>
      </w:pPr>
      <w:bookmarkStart w:id="578" w:name="_Toc18910"/>
      <w:bookmarkStart w:id="579" w:name="_Toc26560"/>
      <w:bookmarkStart w:id="580" w:name="_Toc31482"/>
      <w:bookmarkStart w:id="581" w:name="_Toc21479"/>
      <w:bookmarkStart w:id="582" w:name="_Toc22677"/>
      <w:bookmarkStart w:id="583" w:name="_Toc1598"/>
      <w:bookmarkStart w:id="584" w:name="_Toc5051"/>
      <w:bookmarkStart w:id="585" w:name="_Toc31104"/>
      <w:bookmarkStart w:id="586" w:name="_Toc27608"/>
      <w:bookmarkStart w:id="587" w:name="_Toc23861"/>
      <w:bookmarkStart w:id="588" w:name="_Toc22211"/>
      <w:bookmarkStart w:id="589" w:name="_Toc5526"/>
      <w:bookmarkStart w:id="590" w:name="_Toc25734"/>
      <w:bookmarkStart w:id="591" w:name="_Toc25677"/>
      <w:bookmarkStart w:id="592" w:name="_Toc16597"/>
      <w:bookmarkStart w:id="593" w:name="_Toc14516"/>
      <w:bookmarkStart w:id="594" w:name="_Toc77438452"/>
      <w:bookmarkStart w:id="595" w:name="_Toc20723"/>
      <w:r>
        <w:rPr>
          <w:rFonts w:ascii="Times New Roman" w:hAnsi="Times New Roman" w:eastAsia="方正楷体_GBK" w:cs="Times New Roman"/>
          <w:b/>
          <w:bCs/>
          <w:sz w:val="32"/>
          <w:szCs w:val="32"/>
        </w:rPr>
        <w:t>第二节 着力发展优质医疗康养服务业</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ind w:firstLine="643"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引导优质社会办医多层次发展。</w:t>
      </w:r>
      <w:r>
        <w:rPr>
          <w:rFonts w:ascii="Times New Roman" w:hAnsi="Times New Roman" w:eastAsia="方正仿宋_GBK" w:cs="Times New Roman"/>
          <w:bCs/>
          <w:sz w:val="32"/>
          <w:szCs w:val="32"/>
        </w:rPr>
        <w:t>支持社会力量举办全科医疗、专科医疗、医技服务、康复等机构，重点支持举办康复医疗中心、老年病医院、护理中心、健康体检中心等医疗机构和连锁化、集团化经营的医学检验实验室、病理诊断中心、医学影像中心、血液透析中心等。充分挖掘民间中医文化，鼓励社会资本举办以中医药健康养生养老为主的护理院疗养院。鼓励发展特色化民营医院，进一步补齐康复服务、老年服务、高端医疗、健康体检、高端医美等服务短板，引进和培育发展专业性医院管理集团，推动精准医疗等新兴服务发展。支持符合条件的高水平民营医院跨区域办医，向基层延伸，实现品牌化、集团化发展。</w:t>
      </w:r>
    </w:p>
    <w:p>
      <w:pPr>
        <w:ind w:firstLine="643" w:firstLineChars="200"/>
        <w:jc w:val="left"/>
        <w:rPr>
          <w:rFonts w:ascii="Times New Roman" w:hAnsi="Times New Roman" w:cs="Times New Roman"/>
        </w:rPr>
      </w:pPr>
      <w:r>
        <w:rPr>
          <w:rFonts w:ascii="Times New Roman" w:hAnsi="Times New Roman" w:eastAsia="方正仿宋_GBK" w:cs="Times New Roman"/>
          <w:b/>
          <w:sz w:val="32"/>
          <w:szCs w:val="32"/>
        </w:rPr>
        <w:t>大力发展健康管理服务产业。</w:t>
      </w:r>
      <w:r>
        <w:rPr>
          <w:rFonts w:ascii="Times New Roman" w:hAnsi="Times New Roman" w:eastAsia="方正仿宋_GBK" w:cs="Times New Roman"/>
          <w:bCs/>
          <w:sz w:val="32"/>
          <w:szCs w:val="32"/>
        </w:rPr>
        <w:t>大力发展康体美容、高端医疗、健康管理、远程医疗等业态，培育引进专科医院，撬动国际化高端医疗资源落户，打造区域医疗资源集聚高地。</w:t>
      </w:r>
      <w:r>
        <w:rPr>
          <w:rFonts w:ascii="Times New Roman" w:hAnsi="Times New Roman" w:eastAsia="方正仿宋_GBK" w:cs="Times New Roman"/>
          <w:sz w:val="32"/>
          <w:szCs w:val="32"/>
        </w:rPr>
        <w:t>倡导全民健康生活方式行动，强化家庭、老年人、儿童健康方式指导和干预，利用新媒体等积极普及健康常识、健康教育，将健康教育纳入中小学教育体系。围绕全生命周期健康管理，大力发展以健康信息档案、健康检测、健康干预、</w:t>
      </w:r>
      <w:r>
        <w:rPr>
          <w:rFonts w:hint="eastAsia" w:ascii="Times New Roman" w:hAnsi="Times New Roman" w:eastAsia="方正仿宋_GBK" w:cs="Times New Roman"/>
          <w:sz w:val="32"/>
          <w:szCs w:val="32"/>
        </w:rPr>
        <w:t>慢性病</w:t>
      </w:r>
      <w:r>
        <w:rPr>
          <w:rFonts w:ascii="Times New Roman" w:hAnsi="Times New Roman" w:eastAsia="方正仿宋_GBK" w:cs="Times New Roman"/>
          <w:sz w:val="32"/>
          <w:szCs w:val="32"/>
        </w:rPr>
        <w:t>管理、健康金融等为主的健康管理产业和精神康复、心理治疗、职业病等健康管理服务。</w:t>
      </w:r>
      <w:r>
        <w:rPr>
          <w:rFonts w:ascii="Times New Roman" w:hAnsi="Times New Roman" w:eastAsia="方正仿宋_GBK" w:cs="Times New Roman"/>
          <w:bCs/>
          <w:sz w:val="32"/>
          <w:szCs w:val="32"/>
        </w:rPr>
        <w:t>丰富商业健康保险产品，大力发展医疗责任险、医疗意外险等执业保险。通过集聚医疗服务、医学教育、医学科研、药械研发、审查检验等资源，建设医研产融合的健康产业示范基地。</w:t>
      </w:r>
      <w:r>
        <w:rPr>
          <w:rFonts w:ascii="Times New Roman" w:hAnsi="Times New Roman" w:eastAsia="方正仿宋_GBK" w:cs="Times New Roman"/>
          <w:sz w:val="32"/>
          <w:szCs w:val="32"/>
        </w:rPr>
        <w:t>促进中医药与养老服务融合发展，探索设立健康与养老相结合的中医药特色康养机构。依托铜锣峡天然温泉和历史文化资源，建设集基本医疗、温泉水疗、康复理疗等一体的铜锣峡中高端生态康养湾区。</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tabs>
                <w:tab w:val="left" w:pos="6300"/>
              </w:tabs>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专栏6-2 医疗健康产业品牌培育项目</w:t>
            </w:r>
          </w:p>
          <w:p>
            <w:pPr>
              <w:tabs>
                <w:tab w:val="left" w:pos="6300"/>
              </w:tabs>
              <w:spacing w:line="360" w:lineRule="auto"/>
              <w:ind w:firstLine="480" w:firstLineChars="200"/>
              <w:contextualSpacing/>
              <w:rPr>
                <w:rFonts w:ascii="Times New Roman" w:hAnsi="Times New Roman" w:cs="Times New Roman"/>
                <w:bCs/>
                <w:sz w:val="24"/>
                <w:szCs w:val="24"/>
              </w:rPr>
            </w:pPr>
            <w:r>
              <w:rPr>
                <w:rFonts w:ascii="Times New Roman" w:hAnsi="Times New Roman" w:cs="Times New Roman"/>
                <w:bCs/>
                <w:sz w:val="24"/>
                <w:szCs w:val="24"/>
              </w:rPr>
              <w:t>支持举办康复医疗中心、老年病医院、护理中心、健康体检中心等医疗机构和连锁化、集团化经营的医学检验实验室、病理诊断中心、医学影像中心、血液透析中心等。鼓励发展康复服务、老年服务、高端医疗、健康体检、高端医美等特色化民营医院，建设医研产融合的健康产业示范基地。鼓励举办以中医药健康养生养老为主的护理院疗养院。建设铜锣峡中高端生态康养湾区。</w:t>
            </w:r>
          </w:p>
        </w:tc>
      </w:tr>
    </w:tbl>
    <w:p>
      <w:pPr>
        <w:tabs>
          <w:tab w:val="left" w:pos="6300"/>
        </w:tabs>
        <w:spacing w:line="360" w:lineRule="auto"/>
        <w:ind w:firstLine="643" w:firstLineChars="200"/>
        <w:contextualSpacing/>
        <w:rPr>
          <w:rFonts w:ascii="Times New Roman" w:hAnsi="Times New Roman" w:eastAsia="方正仿宋_GBK" w:cs="Times New Roman"/>
          <w:b/>
          <w:sz w:val="32"/>
          <w:szCs w:val="32"/>
        </w:rPr>
      </w:pPr>
    </w:p>
    <w:p>
      <w:pPr>
        <w:tabs>
          <w:tab w:val="left" w:pos="6300"/>
        </w:tabs>
        <w:spacing w:line="360" w:lineRule="auto"/>
        <w:contextualSpacing/>
        <w:jc w:val="center"/>
        <w:outlineLvl w:val="1"/>
        <w:rPr>
          <w:rFonts w:ascii="Times New Roman" w:hAnsi="Times New Roman" w:eastAsia="方正楷体_GBK" w:cs="Times New Roman"/>
          <w:b/>
          <w:bCs/>
          <w:sz w:val="32"/>
          <w:szCs w:val="32"/>
        </w:rPr>
      </w:pPr>
      <w:bookmarkStart w:id="596" w:name="_Toc27361"/>
      <w:bookmarkStart w:id="597" w:name="_Toc28626"/>
      <w:bookmarkStart w:id="598" w:name="_Toc3216"/>
      <w:bookmarkStart w:id="599" w:name="_Toc24955"/>
      <w:bookmarkStart w:id="600" w:name="_Toc12425"/>
      <w:bookmarkStart w:id="601" w:name="_Toc170"/>
      <w:bookmarkStart w:id="602" w:name="_Toc10984"/>
      <w:bookmarkStart w:id="603" w:name="_Toc28231"/>
      <w:bookmarkStart w:id="604" w:name="_Toc77438453"/>
      <w:bookmarkStart w:id="605" w:name="_Toc28441"/>
      <w:bookmarkStart w:id="606" w:name="_Toc27223"/>
      <w:bookmarkStart w:id="607" w:name="_Toc14480"/>
      <w:bookmarkStart w:id="608" w:name="_Toc7905"/>
      <w:bookmarkStart w:id="609" w:name="_Toc19482"/>
      <w:bookmarkStart w:id="610" w:name="_Toc28223"/>
      <w:bookmarkStart w:id="611" w:name="_Toc7157"/>
      <w:bookmarkStart w:id="612" w:name="_Toc24569"/>
      <w:bookmarkStart w:id="613" w:name="_Toc7493"/>
      <w:r>
        <w:rPr>
          <w:rFonts w:ascii="Times New Roman" w:hAnsi="Times New Roman" w:eastAsia="方正楷体_GBK" w:cs="Times New Roman"/>
          <w:b/>
          <w:bCs/>
          <w:sz w:val="32"/>
          <w:szCs w:val="32"/>
        </w:rPr>
        <w:t>第三节 大力发展现代体育健身服务业</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tabs>
          <w:tab w:val="left" w:pos="6300"/>
        </w:tabs>
        <w:spacing w:line="360" w:lineRule="auto"/>
        <w:ind w:firstLine="643" w:firstLineChars="200"/>
        <w:contextualSpacing/>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打造现代体育产业体系</w:t>
      </w:r>
      <w:r>
        <w:rPr>
          <w:rFonts w:ascii="Times New Roman" w:hAnsi="Times New Roman" w:eastAsia="方正仿宋_GBK" w:cs="Times New Roman"/>
          <w:sz w:val="32"/>
          <w:szCs w:val="32"/>
        </w:rPr>
        <w:t>。围绕成渝地区双城经济圈建设和“一区两群”协调发展，完善全区体育产业格局和体育产业全产业链，打造“强在江北、康在江北”体育品牌。支持体育实体经济发展，促进体育制造业转型升级和体育服务业提质增效。大力发展铁山坪森林公园、明月湖滨江山林步道等户外运动业，着力打造竞赛表演业，深化改革体育场馆服务业，持续壮大体育用品业，稳步发展体育彩票业。持续加大竞赛表演、健身休闲、场馆服务、体育培训等体育产业新业态培育。拓宽体育产业领域，创新“体育+”“+体育”发展模式，突出体育与医疗、体育与旅游、体育与文化、体育与养老、体育与科技、体育与商贸、体育与制造等多维度融合发展，积极培育体育消费新业态新模式。</w:t>
      </w:r>
    </w:p>
    <w:p>
      <w:pPr>
        <w:tabs>
          <w:tab w:val="left" w:pos="6300"/>
        </w:tabs>
        <w:spacing w:line="360" w:lineRule="auto"/>
        <w:ind w:firstLine="643" w:firstLineChars="200"/>
        <w:contextualSpacing/>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壮大体育产业市场主体。</w:t>
      </w:r>
      <w:r>
        <w:rPr>
          <w:rFonts w:ascii="Times New Roman" w:hAnsi="Times New Roman" w:eastAsia="方正仿宋_GBK" w:cs="Times New Roman"/>
          <w:sz w:val="32"/>
          <w:szCs w:val="32"/>
        </w:rPr>
        <w:t>鼓励社会组织参与体育管理和服务，优化体育产业发展环境，构建主体多元、有效竞争、充满活力的市场格局，将体育产业打造成为新常态经济增长新引擎。优化体育产业发展环境，持续完善体育产业信息平台、资源交易平台和金融支持平台，打造一批具有国际国内竞争力的知名体育企业和具有国际国内影响力的自主体育品牌。鼓励兴办多种形式的健身俱乐部和健身组织，加快发展健身休闲产业。</w:t>
      </w:r>
    </w:p>
    <w:p>
      <w:pPr>
        <w:tabs>
          <w:tab w:val="left" w:pos="6300"/>
        </w:tabs>
        <w:spacing w:line="360" w:lineRule="auto"/>
        <w:ind w:firstLine="643" w:firstLineChars="200"/>
        <w:contextualSpacing/>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创新体育消费新模式。</w:t>
      </w:r>
      <w:r>
        <w:rPr>
          <w:rFonts w:ascii="Times New Roman" w:hAnsi="Times New Roman" w:eastAsia="方正仿宋_GBK" w:cs="Times New Roman"/>
          <w:sz w:val="32"/>
          <w:szCs w:val="32"/>
        </w:rPr>
        <w:t>积极落实全民健康、健身消费补助措施，创新体育消费引导机制，开发特色体育消费产品，开展促进体育消费试点，探索发放健康消费券、创新券，激发市民体育消费新需求。推进川渝体育赛事活动融合发展，推进多主体参与的体育赛事活动模式，拓展体育健身、体育观赛、体育培训、体育旅游等休闲体育消费新空间。以生态运动为主题，以构建运动赛事集散地、运动训练理想地、运动潮流引领地、运动器材交易地、运动人员必来地为目标，加快建设五宝国际生态运动城，推动全民运动发展，培育体育消费增量。开展铁山坪森林国际半程马拉松赛等品牌赛事，积极承办国内外具有影响力的体育赛事活动和户外活动。重点打造生态体育公园、智慧体育公园、山地户外体育旅游精品路线、城市体育服务综合体，着力打造江北“体创园”建设，积极推进五里店、大石坝“体创园”项目建设落地。</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tabs>
                <w:tab w:val="left" w:pos="6300"/>
              </w:tabs>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专栏6-3 体育健身产业品牌培育项目</w:t>
            </w:r>
          </w:p>
          <w:p>
            <w:pPr>
              <w:tabs>
                <w:tab w:val="left" w:pos="6300"/>
              </w:tabs>
              <w:spacing w:line="360" w:lineRule="auto"/>
              <w:ind w:firstLine="480" w:firstLineChars="200"/>
              <w:contextualSpacing/>
              <w:rPr>
                <w:rFonts w:ascii="Times New Roman" w:hAnsi="Times New Roman" w:cs="Times New Roman"/>
                <w:bCs/>
                <w:sz w:val="24"/>
                <w:szCs w:val="24"/>
              </w:rPr>
            </w:pPr>
            <w:r>
              <w:rPr>
                <w:rFonts w:ascii="Times New Roman" w:hAnsi="Times New Roman" w:cs="Times New Roman"/>
                <w:bCs/>
                <w:sz w:val="24"/>
                <w:szCs w:val="24"/>
              </w:rPr>
              <w:t>大力推进五宝国际生态运动城建设。重点打造生态体育公园、智慧体育公园、城市体育服务综合体。着力推动江北“体创园”建设，积极推进五里店、大石坝“体创园”项目建设落地。新建郭家沱全民健身中心等。</w:t>
            </w:r>
          </w:p>
        </w:tc>
      </w:tr>
    </w:tbl>
    <w:p>
      <w:pPr>
        <w:tabs>
          <w:tab w:val="left" w:pos="6300"/>
        </w:tabs>
        <w:spacing w:line="360" w:lineRule="auto"/>
        <w:ind w:firstLine="420" w:firstLineChars="200"/>
        <w:contextualSpacing/>
        <w:rPr>
          <w:rFonts w:ascii="Times New Roman" w:hAnsi="Times New Roman" w:cs="Times New Roman"/>
        </w:rPr>
      </w:pPr>
      <w:bookmarkStart w:id="614" w:name="_Toc7375"/>
      <w:bookmarkStart w:id="615" w:name="_Toc11772"/>
      <w:bookmarkStart w:id="616" w:name="_Toc77438454"/>
      <w:bookmarkStart w:id="617" w:name="_Toc24135"/>
      <w:bookmarkStart w:id="618" w:name="_Toc12045"/>
      <w:bookmarkStart w:id="619" w:name="_Toc1263"/>
      <w:bookmarkStart w:id="620" w:name="_Toc30043"/>
      <w:bookmarkStart w:id="621" w:name="_Toc26996"/>
      <w:bookmarkStart w:id="622" w:name="_Toc22545"/>
      <w:bookmarkStart w:id="623" w:name="_Toc31224"/>
      <w:bookmarkStart w:id="624" w:name="_Toc29246"/>
      <w:bookmarkStart w:id="625" w:name="_Toc27662"/>
      <w:bookmarkStart w:id="626" w:name="_Toc16876"/>
    </w:p>
    <w:p>
      <w:pPr>
        <w:tabs>
          <w:tab w:val="left" w:pos="6300"/>
        </w:tabs>
        <w:spacing w:line="360" w:lineRule="auto"/>
        <w:contextualSpacing/>
        <w:jc w:val="center"/>
        <w:outlineLvl w:val="1"/>
        <w:rPr>
          <w:rFonts w:ascii="Times New Roman" w:hAnsi="Times New Roman" w:eastAsia="方正楷体_GBK" w:cs="Times New Roman"/>
          <w:b/>
          <w:bCs/>
          <w:sz w:val="32"/>
          <w:szCs w:val="32"/>
        </w:rPr>
      </w:pPr>
      <w:bookmarkStart w:id="627" w:name="_Toc19837"/>
      <w:bookmarkStart w:id="628" w:name="_Toc23679"/>
      <w:bookmarkStart w:id="629" w:name="_Toc30559"/>
      <w:bookmarkStart w:id="630" w:name="_Toc21658"/>
      <w:bookmarkStart w:id="631" w:name="_Toc16585"/>
      <w:r>
        <w:rPr>
          <w:rFonts w:ascii="Times New Roman" w:hAnsi="Times New Roman" w:eastAsia="方正楷体_GBK" w:cs="Times New Roman"/>
          <w:b/>
          <w:bCs/>
          <w:sz w:val="32"/>
          <w:szCs w:val="32"/>
        </w:rPr>
        <w:t>第四节 持续壮大特色文化旅游服务业</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spacing w:line="360" w:lineRule="auto"/>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做大文旅产业规模。</w:t>
      </w:r>
      <w:r>
        <w:rPr>
          <w:rFonts w:ascii="Times New Roman" w:hAnsi="Times New Roman" w:eastAsia="方正仿宋_GBK" w:cs="Times New Roman"/>
          <w:bCs/>
          <w:sz w:val="32"/>
          <w:szCs w:val="32"/>
        </w:rPr>
        <w:t>积极融入重庆国家文化和旅游消费示范城市建设，聚焦国际消</w:t>
      </w:r>
      <w:r>
        <w:rPr>
          <w:rFonts w:ascii="Times New Roman" w:hAnsi="Times New Roman" w:eastAsia="方正仿宋_GBK" w:cs="Times New Roman"/>
          <w:sz w:val="32"/>
          <w:szCs w:val="32"/>
        </w:rPr>
        <w:t>费中心城市首选区和时尚“高地”，大力培育一批数字文创企业，打造一批知名文化品牌，建设一批特色文化产业园区（基地），做强文化生产供给，打造战略性支柱产业。到2025年，力争全区文化产业增加值占比达8%，旅游产业增加值占比达5%，旅游综合收入达180亿元，旅游人次突破6500万人次。</w:t>
      </w:r>
    </w:p>
    <w:p>
      <w:pPr>
        <w:spacing w:line="360" w:lineRule="auto"/>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加快文化娱乐业高质量发展。</w:t>
      </w:r>
      <w:r>
        <w:rPr>
          <w:rFonts w:ascii="Times New Roman" w:hAnsi="Times New Roman" w:eastAsia="方正仿宋_GBK" w:cs="Times New Roman"/>
          <w:sz w:val="32"/>
          <w:szCs w:val="32"/>
        </w:rPr>
        <w:t>推进商旅文体深度融合，促进文娱消费全面升级，打造全市夜间文旅消费领跑地，到2025年建成全国文化旅游消费示范城市。做大做强歌舞娱乐业，持续推进不夜九街、金源不夜城、鎏嘉码头、金源广场娱乐业升级，布局SPACE、live-K等国内顶级高端休闲酒吧群、KTV群，不断补充和完善夜间文化旅游消费元素。推进演艺产业集群发展，充分整合和盘活重庆大剧院、重庆市群艺馆等市区级演艺场地资源。鼓励社会资本参与在大九街、观音桥商圈、鎏嘉码头、江北嘴中央商务区、洋炮局1862等区域，打造一批小剧场，做优戏剧、歌舞、曲艺、杂技等演出。推进演艺与旅游休闲相结合，活跃文艺院团、旅游景区、小剧场、演艺吧、民宿大院等驻场演艺。</w:t>
      </w:r>
    </w:p>
    <w:p>
      <w:pPr>
        <w:pStyle w:val="8"/>
        <w:spacing w:line="360" w:lineRule="auto"/>
        <w:ind w:firstLine="643" w:firstLineChars="200"/>
        <w:rPr>
          <w:rFonts w:eastAsia="方正楷体_GBK"/>
          <w:sz w:val="32"/>
          <w:szCs w:val="32"/>
        </w:rPr>
      </w:pPr>
      <w:r>
        <w:rPr>
          <w:rFonts w:eastAsia="方正仿宋_GBK"/>
          <w:b/>
          <w:bCs/>
          <w:sz w:val="32"/>
          <w:szCs w:val="32"/>
        </w:rPr>
        <w:t>加快酒店住宿业高质量发展。</w:t>
      </w:r>
      <w:r>
        <w:rPr>
          <w:rFonts w:eastAsia="方正仿宋_GBK"/>
          <w:sz w:val="32"/>
          <w:szCs w:val="32"/>
        </w:rPr>
        <w:t>抢先布局西部地区最大的高端酒店集群，以江北嘴中央商务区、观音桥</w:t>
      </w:r>
      <w:r>
        <w:rPr>
          <w:rFonts w:hint="eastAsia" w:eastAsia="方正仿宋_GBK"/>
          <w:sz w:val="32"/>
          <w:szCs w:val="32"/>
        </w:rPr>
        <w:t>商圈</w:t>
      </w:r>
      <w:r>
        <w:rPr>
          <w:rFonts w:eastAsia="方正仿宋_GBK"/>
          <w:sz w:val="32"/>
          <w:szCs w:val="32"/>
        </w:rPr>
        <w:t>都市旅游区、长安三工厂、寸滩国际新城为核心，引入万豪W、瑰丽、丽思卡尔顿等一大批国际奢华五星级酒店，推进世纪金源大酒店、君豪等改造升级，全面提升江北旅游发展的国际化程度，到2025年，培育五星级标准酒店5家。大力布局特色民宿，以洋炮局1862、铜锣峡温泉谷、铁山坪森林公园、明月湖湿地公园为重点区域，打造西部地区高端旅游民宿新标杆，到2025建成高端旅游民宿5家。</w:t>
      </w:r>
    </w:p>
    <w:p>
      <w:pPr>
        <w:pStyle w:val="8"/>
        <w:spacing w:line="360" w:lineRule="auto"/>
        <w:ind w:firstLine="643" w:firstLineChars="200"/>
        <w:rPr>
          <w:rFonts w:eastAsia="方正楷体_GBK"/>
          <w:sz w:val="32"/>
          <w:szCs w:val="32"/>
        </w:rPr>
      </w:pPr>
      <w:r>
        <w:rPr>
          <w:rFonts w:eastAsia="方正仿宋_GBK"/>
          <w:b/>
          <w:bCs/>
          <w:sz w:val="32"/>
          <w:szCs w:val="32"/>
        </w:rPr>
        <w:t>加快文创产业高质量发展。</w:t>
      </w:r>
      <w:r>
        <w:rPr>
          <w:rFonts w:eastAsia="方正仿宋_GBK"/>
          <w:sz w:val="32"/>
          <w:szCs w:val="32"/>
        </w:rPr>
        <w:t>大力推进文创产业创新发展，在洋炮局1862、天怡文创园、喵儿石创艺特区重点布局艺术传媒产业集群，发展艺术体验、艺术培训、影视娱乐、游戏动漫、创意设计、休闲康旅等文创新业态，重点推动原创内容创制转化、IP孵化、版权运营、衍生开发等核心领域发展。分类推进北仓文创街区、重庆院子、鲤鱼池42号文创园改造升级，打造集工作、生活、旅游、休闲于一体的“小而精、精而美”的文创众创消费空间。积极拓展新的文创基地，加快建设鎏嘉码头、九街有个单位、莺花巷等文创园区（街区）。</w:t>
      </w:r>
    </w:p>
    <w:p>
      <w:pPr>
        <w:spacing w:line="360" w:lineRule="auto"/>
        <w:ind w:firstLine="64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加快数字文化产业高质量发展。</w:t>
      </w:r>
      <w:r>
        <w:rPr>
          <w:rFonts w:ascii="Times New Roman" w:hAnsi="Times New Roman" w:eastAsia="方正仿宋_GBK" w:cs="Times New Roman"/>
          <w:sz w:val="32"/>
          <w:szCs w:val="32"/>
        </w:rPr>
        <w:t>抢占数字文化前沿领域，抢先布局“文旅+科技”的颠覆性技术，支持艺点意创、光子空间等市场主体在江北嘴中央商务区打造数字文创服务创新基地、数字（重庆）数字经济产业协同创新基地。在观音桥</w:t>
      </w:r>
      <w:r>
        <w:rPr>
          <w:rFonts w:hint="eastAsia" w:ascii="Times New Roman" w:hAnsi="Times New Roman" w:eastAsia="方正仿宋_GBK" w:cs="Times New Roman"/>
          <w:sz w:val="32"/>
          <w:szCs w:val="32"/>
        </w:rPr>
        <w:t>商圈</w:t>
      </w:r>
      <w:r>
        <w:rPr>
          <w:rFonts w:ascii="Times New Roman" w:hAnsi="Times New Roman" w:eastAsia="方正仿宋_GBK" w:cs="Times New Roman"/>
          <w:sz w:val="32"/>
          <w:szCs w:val="32"/>
        </w:rPr>
        <w:t>都市旅游区、寸滩国际新城等，优先发展手持阅读、VR/AR游戏、实景演出、直播、电竞、短视频、全息展览等新兴消费业态。以文旅设施设备数字化为突破口，以邮轮母港建设为契机，提速江北文旅产业大数据智能化进程，重点在港城园区、鱼复工业园区、唐桂新城布局全媒体制播、高清影像、特效影院、场景化舞台、智能音响、家用视听、智能可穿戴、沉浸式体验等文旅科技设备研发制造。</w:t>
      </w:r>
    </w:p>
    <w:p>
      <w:pPr>
        <w:pStyle w:val="8"/>
        <w:spacing w:line="360" w:lineRule="auto"/>
        <w:ind w:firstLine="643" w:firstLineChars="200"/>
        <w:rPr>
          <w:rFonts w:eastAsia="方正仿宋_GBK"/>
          <w:sz w:val="32"/>
          <w:szCs w:val="32"/>
        </w:rPr>
      </w:pPr>
      <w:r>
        <w:rPr>
          <w:rFonts w:eastAsia="方正仿宋_GBK"/>
          <w:b/>
          <w:bCs/>
          <w:sz w:val="32"/>
          <w:szCs w:val="32"/>
        </w:rPr>
        <w:t>加快旅游业高质量发展。</w:t>
      </w:r>
      <w:r>
        <w:rPr>
          <w:rFonts w:eastAsia="方正仿宋_GBK"/>
          <w:sz w:val="32"/>
          <w:szCs w:val="32"/>
        </w:rPr>
        <w:t>推进文化旅游融合发展，坚持以文塑旅、以旅彰文，打造江北魅力的多样化文化旅游体验。精心打造观音桥、北滨路、江北嘴、铁山坪、五宝五大旅游板块。加快观音桥、江北嘴片区建设国家、市级旅游休闲街区，积极推进明月湖建设市级旅游度假区，推动五宝建成市级智慧乡村旅游示范点，支持铁山坪森林公园建设国家4A级景区和市级智慧旅游景区。</w:t>
      </w:r>
    </w:p>
    <w:tbl>
      <w:tblPr>
        <w:tblStyle w:val="26"/>
        <w:tblpPr w:leftFromText="180" w:rightFromText="180" w:vertAnchor="text" w:horzAnchor="page" w:tblpX="1850" w:tblpY="282"/>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tabs>
                <w:tab w:val="left" w:pos="6300"/>
              </w:tabs>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专栏6-4 文旅产业品牌培育项目</w:t>
            </w:r>
          </w:p>
          <w:p>
            <w:pPr>
              <w:tabs>
                <w:tab w:val="left" w:pos="6300"/>
              </w:tabs>
              <w:spacing w:line="360" w:lineRule="auto"/>
              <w:ind w:firstLine="480" w:firstLineChars="200"/>
              <w:contextualSpacing/>
              <w:rPr>
                <w:rFonts w:ascii="Times New Roman" w:hAnsi="Times New Roman" w:cs="Times New Roman"/>
                <w:bCs/>
                <w:sz w:val="24"/>
                <w:szCs w:val="24"/>
              </w:rPr>
            </w:pPr>
            <w:r>
              <w:rPr>
                <w:rFonts w:ascii="Times New Roman" w:hAnsi="Times New Roman" w:cs="Times New Roman"/>
                <w:bCs/>
                <w:sz w:val="24"/>
                <w:szCs w:val="24"/>
              </w:rPr>
              <w:t>创建国家文化和旅游消费示范城市。推进五宝建成市级智慧乡村旅游示范点，铁山坪森林公园、鸿恩寺森林公园建设国家4A级景区和市级智慧旅游景区。推进明月湖建设市级旅游度假区，加快观音桥、江北嘴片区建设国家、市级旅游休闲街区。提升喵儿石创艺特区、中复北仓文创园、天怡文创园项目品质。推动五宝乡村旅游发展，加快建设鎏嘉码头、九街有个单位、莺花巷等文创园区（街区）。</w:t>
            </w:r>
          </w:p>
        </w:tc>
      </w:tr>
    </w:tbl>
    <w:p>
      <w:pPr>
        <w:tabs>
          <w:tab w:val="left" w:pos="6300"/>
        </w:tabs>
        <w:spacing w:line="360" w:lineRule="auto"/>
        <w:contextualSpacing/>
        <w:jc w:val="center"/>
        <w:outlineLvl w:val="1"/>
        <w:rPr>
          <w:rFonts w:ascii="Times New Roman" w:hAnsi="Times New Roman" w:eastAsia="方正楷体_GBK" w:cs="Times New Roman"/>
          <w:b/>
          <w:bCs/>
          <w:sz w:val="32"/>
          <w:szCs w:val="32"/>
        </w:rPr>
      </w:pPr>
      <w:bookmarkStart w:id="632" w:name="_Toc14768"/>
      <w:bookmarkStart w:id="633" w:name="_Toc10434"/>
      <w:bookmarkStart w:id="634" w:name="_Toc77438455"/>
      <w:bookmarkStart w:id="635" w:name="_Toc5937"/>
      <w:bookmarkStart w:id="636" w:name="_Toc17666"/>
      <w:bookmarkStart w:id="637" w:name="_Toc24078"/>
      <w:bookmarkStart w:id="638" w:name="_Toc30552"/>
      <w:bookmarkStart w:id="639" w:name="_Toc20988"/>
      <w:bookmarkStart w:id="640" w:name="_Toc19851"/>
      <w:bookmarkStart w:id="641" w:name="_Toc25038"/>
      <w:bookmarkStart w:id="642" w:name="_Toc1987"/>
      <w:bookmarkStart w:id="643" w:name="_Toc7605"/>
      <w:bookmarkStart w:id="644" w:name="_Toc22618"/>
      <w:bookmarkStart w:id="645" w:name="_Toc3928"/>
      <w:bookmarkStart w:id="646" w:name="_Toc28658"/>
      <w:bookmarkStart w:id="647" w:name="_Toc9903"/>
      <w:bookmarkStart w:id="648" w:name="_Toc17112"/>
      <w:bookmarkStart w:id="649" w:name="_Toc16487"/>
      <w:r>
        <w:rPr>
          <w:rFonts w:ascii="Times New Roman" w:hAnsi="Times New Roman" w:eastAsia="方正楷体_GBK" w:cs="Times New Roman"/>
          <w:b/>
          <w:bCs/>
          <w:sz w:val="32"/>
          <w:szCs w:val="32"/>
        </w:rPr>
        <w:t>第五节 推动发展多样化教育培训业</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tabs>
          <w:tab w:val="left" w:pos="6300"/>
        </w:tabs>
        <w:ind w:firstLine="640"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注重教育内涵式发展，打造教育培训产业品牌。引导社会力量发展继续教育、职业教育、老年教育、社区教育、校外教育、技能培训等。鼓励适宜的教育服务进行外包，引导社会力量提供实训实习等专业化服务。扩大教育培训领域对外开放，支持引进优质教育资源开展合作办学。健全与经济发展、产业发展和人民需求相适应的现代教育培训产业体系，推动远程培训、网络培训等业态发展。坚持依法治理、标本兼治，健全校外培训机构治理长效机制，严肃查处违法违规培训行为，切实减轻义务教育阶段学生校外培训负担。</w:t>
      </w:r>
    </w:p>
    <w:tbl>
      <w:tblPr>
        <w:tblStyle w:val="26"/>
        <w:tblpPr w:leftFromText="180" w:rightFromText="180" w:vertAnchor="text" w:horzAnchor="page" w:tblpX="1953" w:tblpY="242"/>
        <w:tblOverlap w:val="never"/>
        <w:tblW w:w="8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50" w:type="dxa"/>
          </w:tcPr>
          <w:p>
            <w:pPr>
              <w:tabs>
                <w:tab w:val="left" w:pos="6300"/>
              </w:tabs>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专栏6-5 教育培训产业品牌培育项目</w:t>
            </w:r>
          </w:p>
          <w:p>
            <w:pPr>
              <w:tabs>
                <w:tab w:val="left" w:pos="6300"/>
              </w:tabs>
              <w:spacing w:line="360" w:lineRule="auto"/>
              <w:ind w:firstLine="480" w:firstLineChars="200"/>
              <w:contextualSpacing/>
              <w:rPr>
                <w:rFonts w:ascii="Times New Roman" w:hAnsi="Times New Roman" w:eastAsia="方正仿宋_GBK" w:cs="Times New Roman"/>
                <w:bCs/>
                <w:sz w:val="32"/>
                <w:szCs w:val="32"/>
              </w:rPr>
            </w:pPr>
            <w:r>
              <w:rPr>
                <w:rFonts w:ascii="Times New Roman" w:hAnsi="Times New Roman" w:cs="Times New Roman"/>
                <w:bCs/>
                <w:sz w:val="24"/>
                <w:szCs w:val="24"/>
              </w:rPr>
              <w:t>打造3—5所学校成为重庆市领先、全国有一定知名度的品牌学校，打造5—8所学校成为重庆市一流学校。</w:t>
            </w:r>
          </w:p>
        </w:tc>
      </w:tr>
    </w:tbl>
    <w:p>
      <w:pPr>
        <w:tabs>
          <w:tab w:val="left" w:pos="6300"/>
        </w:tabs>
        <w:spacing w:line="360" w:lineRule="auto"/>
        <w:contextualSpacing/>
        <w:jc w:val="center"/>
        <w:rPr>
          <w:rFonts w:ascii="Times New Roman" w:hAnsi="Times New Roman" w:eastAsia="方正楷体_GBK" w:cs="Times New Roman"/>
          <w:b/>
          <w:bCs/>
          <w:sz w:val="32"/>
          <w:szCs w:val="32"/>
        </w:rPr>
      </w:pPr>
      <w:bookmarkStart w:id="650" w:name="_Toc10412"/>
      <w:bookmarkStart w:id="651" w:name="_Toc26308"/>
      <w:bookmarkStart w:id="652" w:name="_Toc2208"/>
      <w:bookmarkStart w:id="653" w:name="_Toc10287"/>
      <w:bookmarkStart w:id="654" w:name="_Toc13478"/>
      <w:bookmarkStart w:id="655" w:name="_Toc77438456"/>
      <w:bookmarkStart w:id="656" w:name="_Toc2197"/>
      <w:bookmarkStart w:id="657" w:name="_Toc14399"/>
      <w:bookmarkStart w:id="658" w:name="_Toc2017"/>
      <w:bookmarkStart w:id="659" w:name="_Toc4125"/>
      <w:bookmarkStart w:id="660" w:name="_Toc23383"/>
      <w:bookmarkStart w:id="661" w:name="_Toc13851"/>
      <w:bookmarkStart w:id="662" w:name="_Toc14818"/>
    </w:p>
    <w:p>
      <w:pPr>
        <w:tabs>
          <w:tab w:val="left" w:pos="6300"/>
        </w:tabs>
        <w:spacing w:line="360" w:lineRule="auto"/>
        <w:contextualSpacing/>
        <w:jc w:val="center"/>
        <w:outlineLvl w:val="1"/>
        <w:rPr>
          <w:rFonts w:ascii="Times New Roman" w:hAnsi="Times New Roman" w:eastAsia="方正楷体_GBK" w:cs="Times New Roman"/>
          <w:b/>
          <w:bCs/>
          <w:sz w:val="32"/>
          <w:szCs w:val="32"/>
        </w:rPr>
      </w:pPr>
      <w:bookmarkStart w:id="663" w:name="_Toc30739"/>
      <w:bookmarkStart w:id="664" w:name="_Toc814"/>
      <w:bookmarkStart w:id="665" w:name="_Toc32237"/>
      <w:bookmarkStart w:id="666" w:name="_Toc7373"/>
      <w:bookmarkStart w:id="667" w:name="_Toc15921"/>
      <w:r>
        <w:rPr>
          <w:rFonts w:ascii="Times New Roman" w:hAnsi="Times New Roman" w:eastAsia="方正楷体_GBK" w:cs="Times New Roman"/>
          <w:b/>
          <w:bCs/>
          <w:sz w:val="32"/>
          <w:szCs w:val="32"/>
        </w:rPr>
        <w:t>第六节 扩容提质多类型家政服务业</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tabs>
          <w:tab w:val="left" w:pos="6300"/>
        </w:tabs>
        <w:spacing w:line="360" w:lineRule="auto"/>
        <w:ind w:firstLine="640"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加快建立供给充分、服务便捷、管理规范、惠及城乡的家政服务体系。积极发展孕产妇、婴幼儿、老人、病人、残疾人的照护以及保洁、烹饪等家政服务业，满足高品质、多样化家庭生活照料需求。支持员工制家政企业发展，引导产教融合型家政企业发展，鼓励有条件的家政服务企业品牌化、连锁化发展，支持中小家政服务企业专业化、特色化发展。鼓励一批家政企业举办职业教育，将家政服务列入职业教育校企合作优先领域，打造一批校企合作示范项目。推动家政示范企业上网上云，鼓励家政服务企业运用移动互联网、物联网等现代信息技术，提升服务和管理水平，大力发展家政电商，实现“互联网+家政”服务模式再造。推动家政服务业与养老服务、社区照料、病患陪护、残疾人托养、物业、快递等融合发展，支持团购型、体验型、共享型等O2O模式在家政服务领域广泛应用，积极培育以专业设备、专用工具、智能产品研发制造为支撑的家政服务产业集群。按要求积极建立家政服务人员持证上门制度，开展家政服务质量第三方认证。深化实施促进家政服务业提质扩容“领跑者”行动。</w:t>
      </w:r>
    </w:p>
    <w:p>
      <w:pPr>
        <w:tabs>
          <w:tab w:val="left" w:pos="6300"/>
        </w:tabs>
        <w:spacing w:line="360" w:lineRule="auto"/>
        <w:jc w:val="center"/>
        <w:outlineLvl w:val="0"/>
        <w:rPr>
          <w:rFonts w:ascii="Times New Roman" w:hAnsi="Times New Roman" w:eastAsia="方正黑体_GBK" w:cs="Times New Roman"/>
          <w:bCs/>
          <w:sz w:val="32"/>
          <w:szCs w:val="32"/>
        </w:rPr>
      </w:pPr>
      <w:bookmarkStart w:id="668" w:name="_Toc13989"/>
      <w:bookmarkStart w:id="669" w:name="_Toc10758"/>
      <w:bookmarkStart w:id="670" w:name="_Toc14817"/>
      <w:bookmarkStart w:id="671" w:name="_Toc4236"/>
      <w:bookmarkStart w:id="672" w:name="_Toc6287"/>
      <w:bookmarkStart w:id="673" w:name="_Toc27768"/>
      <w:bookmarkStart w:id="674" w:name="_Toc25352"/>
      <w:bookmarkStart w:id="675" w:name="_Toc7301"/>
      <w:bookmarkStart w:id="676" w:name="_Toc27305"/>
      <w:bookmarkStart w:id="677" w:name="_Toc77438458"/>
      <w:bookmarkStart w:id="678" w:name="_Toc9073"/>
      <w:bookmarkStart w:id="679" w:name="_Toc28554"/>
      <w:bookmarkStart w:id="680" w:name="_Toc10533"/>
      <w:bookmarkStart w:id="681" w:name="_Toc17778"/>
      <w:bookmarkStart w:id="682" w:name="_Toc13149"/>
      <w:bookmarkStart w:id="683" w:name="_Toc3857"/>
      <w:bookmarkStart w:id="684" w:name="_Toc1038"/>
      <w:bookmarkStart w:id="685" w:name="_Toc32118"/>
      <w:r>
        <w:rPr>
          <w:rFonts w:ascii="Times New Roman" w:hAnsi="Times New Roman" w:eastAsia="方正黑体_GBK" w:cs="Times New Roman"/>
          <w:bCs/>
          <w:sz w:val="32"/>
          <w:szCs w:val="32"/>
        </w:rPr>
        <w:t>第七章 规划保障</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tabs>
          <w:tab w:val="left" w:pos="6300"/>
        </w:tabs>
        <w:spacing w:line="360" w:lineRule="auto"/>
        <w:contextualSpacing/>
        <w:jc w:val="center"/>
        <w:outlineLvl w:val="1"/>
        <w:rPr>
          <w:rFonts w:ascii="Times New Roman" w:hAnsi="Times New Roman" w:eastAsia="方正楷体_GBK" w:cs="Times New Roman"/>
          <w:b/>
          <w:bCs/>
          <w:sz w:val="32"/>
          <w:szCs w:val="32"/>
        </w:rPr>
      </w:pPr>
      <w:bookmarkStart w:id="686" w:name="_Toc3051"/>
      <w:bookmarkStart w:id="687" w:name="_Toc6539"/>
      <w:bookmarkStart w:id="688" w:name="_Toc7341"/>
      <w:bookmarkStart w:id="689" w:name="_Toc8538"/>
      <w:bookmarkStart w:id="690" w:name="_Toc17318"/>
      <w:bookmarkStart w:id="691" w:name="_Toc31527"/>
      <w:bookmarkStart w:id="692" w:name="_Toc22736"/>
      <w:bookmarkStart w:id="693" w:name="_Toc17476"/>
      <w:bookmarkStart w:id="694" w:name="_Toc2184"/>
      <w:bookmarkStart w:id="695" w:name="_Toc31466"/>
      <w:bookmarkStart w:id="696" w:name="_Toc5659"/>
      <w:bookmarkStart w:id="697" w:name="_Toc30774"/>
      <w:bookmarkStart w:id="698" w:name="_Toc7845"/>
      <w:bookmarkStart w:id="699" w:name="_Toc12314"/>
      <w:bookmarkStart w:id="700" w:name="_Toc23353"/>
      <w:bookmarkStart w:id="701" w:name="_Toc31717"/>
      <w:bookmarkStart w:id="702" w:name="_Toc77438459"/>
      <w:bookmarkStart w:id="703" w:name="_Toc16302"/>
      <w:r>
        <w:rPr>
          <w:rFonts w:ascii="Times New Roman" w:hAnsi="Times New Roman" w:eastAsia="方正楷体_GBK" w:cs="Times New Roman"/>
          <w:b/>
          <w:bCs/>
          <w:sz w:val="32"/>
          <w:szCs w:val="32"/>
        </w:rPr>
        <w:t>第一节 加强组织领导</w:t>
      </w:r>
      <w:bookmarkEnd w:id="686"/>
      <w:bookmarkEnd w:id="687"/>
      <w:bookmarkEnd w:id="688"/>
      <w:bookmarkEnd w:id="689"/>
      <w:bookmarkEnd w:id="690"/>
      <w:bookmarkEnd w:id="691"/>
      <w:bookmarkEnd w:id="692"/>
      <w:bookmarkEnd w:id="693"/>
    </w:p>
    <w:p>
      <w:pPr>
        <w:tabs>
          <w:tab w:val="left" w:pos="6300"/>
        </w:tabs>
        <w:ind w:firstLine="640"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坚持党的领导，把党的领导贯穿于推进公共服务体系发展的各个阶段、各个领域，把党的政治优势、组织优势转化为推进公共服务体系发展、促进实现共同富裕的强大动力。充分认识公共服务体系建设的重要性和紧迫性，切实健全实施机制，加强组织领导，明确责任分工，细化规划任务清单、职责权属，做好重大项目衔接统筹，确保规划明确的重要任务和政策举措明确到位。推动规划执行落实，推动各部门加强对本规划相关目标任务推进情况的动态监测分析，及时发现新情况、研究新问题、总结新经验，工作中遇到的重大问题及时向区政府报告，保障重点任务、重点项目有力落实。</w:t>
      </w:r>
    </w:p>
    <w:p>
      <w:pPr>
        <w:tabs>
          <w:tab w:val="left" w:pos="6300"/>
        </w:tabs>
        <w:spacing w:line="360" w:lineRule="auto"/>
        <w:contextualSpacing/>
        <w:jc w:val="center"/>
        <w:outlineLvl w:val="1"/>
        <w:rPr>
          <w:rFonts w:ascii="Times New Roman" w:hAnsi="Times New Roman" w:eastAsia="方正楷体_GBK" w:cs="Times New Roman"/>
          <w:b/>
          <w:bCs/>
          <w:sz w:val="32"/>
          <w:szCs w:val="32"/>
        </w:rPr>
      </w:pPr>
      <w:bookmarkStart w:id="704" w:name="_Toc26491"/>
      <w:bookmarkStart w:id="705" w:name="_Toc32183"/>
      <w:bookmarkStart w:id="706" w:name="_Toc14654"/>
      <w:bookmarkStart w:id="707" w:name="_Toc12397"/>
      <w:bookmarkStart w:id="708" w:name="_Toc27756"/>
      <w:bookmarkStart w:id="709" w:name="_Toc6514"/>
      <w:bookmarkStart w:id="710" w:name="_Toc30441"/>
      <w:bookmarkStart w:id="711" w:name="_Toc27535"/>
      <w:r>
        <w:rPr>
          <w:rFonts w:ascii="Times New Roman" w:hAnsi="Times New Roman" w:eastAsia="方正楷体_GBK" w:cs="Times New Roman"/>
          <w:b/>
          <w:bCs/>
          <w:sz w:val="32"/>
          <w:szCs w:val="32"/>
        </w:rPr>
        <w:t>第二节 优化供给格局</w:t>
      </w:r>
      <w:bookmarkEnd w:id="704"/>
      <w:bookmarkEnd w:id="705"/>
      <w:bookmarkEnd w:id="706"/>
      <w:bookmarkEnd w:id="707"/>
      <w:bookmarkEnd w:id="708"/>
      <w:bookmarkEnd w:id="709"/>
      <w:bookmarkEnd w:id="710"/>
      <w:bookmarkEnd w:id="711"/>
    </w:p>
    <w:p>
      <w:pPr>
        <w:tabs>
          <w:tab w:val="left" w:pos="6300"/>
        </w:tabs>
        <w:ind w:firstLine="640"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加大政府购买服务力度，继续扩大政府购买服务范围和规模，制定重点领域购买服务实施方案，构建购买主体、服务对象和第三方共同参与的综合绩效评价制度。引导社会力量参与服务供给，完善社会基本公共服务市场准入机制。建立社会组织、志愿者参与公共服务的长效保障机制，促进志愿服务经常化、制度化和规范化，完善优惠政策降低非营利性服务机构成本，逐步将有条件的事业单位转为企业或社会组织。</w:t>
      </w:r>
    </w:p>
    <w:p>
      <w:pPr>
        <w:tabs>
          <w:tab w:val="left" w:pos="6300"/>
        </w:tabs>
        <w:spacing w:line="360" w:lineRule="auto"/>
        <w:contextualSpacing/>
        <w:jc w:val="center"/>
        <w:outlineLvl w:val="1"/>
        <w:rPr>
          <w:rFonts w:ascii="Times New Roman" w:hAnsi="Times New Roman" w:eastAsia="方正楷体_GBK" w:cs="Times New Roman"/>
          <w:b/>
          <w:bCs/>
          <w:sz w:val="32"/>
          <w:szCs w:val="32"/>
        </w:rPr>
      </w:pPr>
      <w:bookmarkStart w:id="712" w:name="_Toc30008"/>
      <w:bookmarkStart w:id="713" w:name="_Toc16842"/>
      <w:bookmarkStart w:id="714" w:name="_Toc26230"/>
      <w:bookmarkStart w:id="715" w:name="_Toc26237"/>
      <w:bookmarkStart w:id="716" w:name="_Toc10222"/>
      <w:bookmarkStart w:id="717" w:name="_Toc27247"/>
      <w:bookmarkStart w:id="718" w:name="_Toc9644"/>
      <w:bookmarkStart w:id="719" w:name="_Toc15599"/>
      <w:r>
        <w:rPr>
          <w:rFonts w:ascii="Times New Roman" w:hAnsi="Times New Roman" w:eastAsia="方正楷体_GBK" w:cs="Times New Roman"/>
          <w:b/>
          <w:bCs/>
          <w:sz w:val="32"/>
          <w:szCs w:val="32"/>
        </w:rPr>
        <w:t>第三节 保障资金投入</w:t>
      </w:r>
      <w:bookmarkEnd w:id="712"/>
      <w:bookmarkEnd w:id="713"/>
      <w:bookmarkEnd w:id="714"/>
      <w:bookmarkEnd w:id="715"/>
      <w:bookmarkEnd w:id="716"/>
      <w:bookmarkEnd w:id="717"/>
      <w:bookmarkEnd w:id="718"/>
      <w:bookmarkEnd w:id="719"/>
    </w:p>
    <w:p>
      <w:pPr>
        <w:tabs>
          <w:tab w:val="left" w:pos="6300"/>
        </w:tabs>
        <w:ind w:firstLine="640" w:firstLineChars="200"/>
        <w:contextualSpacing/>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积极调整区内财政支出结构，加强财政统筹力度，保障基本公共服务项目投入。完善区内财政转移支付制度，积极争取上级财政加大对江北区扶持力度。健全保证基本公共服务投入持续稳定增长的长效机制，确保财力增长与基本公共服务发展需求相适应。拓宽公共服务经费筹措渠道，充分利用中央预算、专项建设基金、慈善捐赠、彩票公益等方式，深化公共服务领域投融资改革，提高资金保障能力和多渠道撬动能力。</w:t>
      </w:r>
    </w:p>
    <w:p>
      <w:pPr>
        <w:tabs>
          <w:tab w:val="left" w:pos="6300"/>
        </w:tabs>
        <w:contextualSpacing/>
        <w:jc w:val="center"/>
        <w:outlineLvl w:val="1"/>
        <w:rPr>
          <w:rFonts w:ascii="Times New Roman" w:hAnsi="Times New Roman" w:eastAsia="方正楷体_GBK" w:cs="Times New Roman"/>
          <w:b/>
          <w:bCs/>
          <w:sz w:val="32"/>
          <w:szCs w:val="32"/>
        </w:rPr>
      </w:pPr>
      <w:bookmarkStart w:id="720" w:name="_Toc224"/>
      <w:bookmarkStart w:id="721" w:name="_Toc30512"/>
      <w:bookmarkStart w:id="722" w:name="_Toc10586"/>
      <w:bookmarkStart w:id="723" w:name="_Toc24490"/>
      <w:bookmarkStart w:id="724" w:name="_Toc27156"/>
      <w:bookmarkStart w:id="725" w:name="_Toc28708"/>
      <w:bookmarkStart w:id="726" w:name="_Toc3188"/>
      <w:bookmarkStart w:id="727" w:name="_Toc10075"/>
      <w:r>
        <w:rPr>
          <w:rFonts w:ascii="Times New Roman" w:hAnsi="Times New Roman" w:eastAsia="方正楷体_GBK" w:cs="Times New Roman"/>
          <w:b/>
          <w:bCs/>
          <w:sz w:val="32"/>
          <w:szCs w:val="32"/>
        </w:rPr>
        <w:t>第四节 强化监督评估</w:t>
      </w:r>
      <w:bookmarkEnd w:id="720"/>
      <w:bookmarkEnd w:id="721"/>
      <w:bookmarkEnd w:id="722"/>
      <w:bookmarkEnd w:id="723"/>
      <w:bookmarkEnd w:id="724"/>
      <w:bookmarkEnd w:id="725"/>
      <w:bookmarkEnd w:id="726"/>
      <w:bookmarkEnd w:id="727"/>
    </w:p>
    <w:p>
      <w:pPr>
        <w:ind w:firstLine="640" w:firstLineChars="200"/>
        <w:rPr>
          <w:rFonts w:ascii="Times New Roman" w:hAnsi="Times New Roman" w:eastAsia="方正黑体_GBK" w:cs="Times New Roman"/>
          <w:bCs/>
          <w:sz w:val="32"/>
          <w:szCs w:val="32"/>
        </w:rPr>
      </w:pPr>
      <w:r>
        <w:rPr>
          <w:rFonts w:ascii="Times New Roman" w:hAnsi="Times New Roman" w:eastAsia="方正仿宋_GBK" w:cs="Times New Roman"/>
          <w:bCs/>
          <w:sz w:val="32"/>
          <w:szCs w:val="32"/>
        </w:rPr>
        <w:t>强化监督考核，全区各级部门自觉接受同级人大、政协和人民群众监督，在绩效考核中增列公共服务相关内容，并适当提高权重。健全规划实施监测评估机制，建立科学化、体系化规划实施评估体系，适时组织开展规划实施情况第三方评估和开展定期监测评估，将公共服务规划实施情况纳入年度工作考核，确保各项任务和重点项目有效落实与推进。建立健全公共服务需求表达和反馈机制，建立政府主导与社会参与的良性互动机制，拓展公众参与渠道，及时妥善回应社会关切，形成全社会共同关注、合理推进公共服务提升的良好氛围。</w:t>
      </w:r>
    </w:p>
    <w:bookmarkEnd w:id="694"/>
    <w:bookmarkEnd w:id="695"/>
    <w:bookmarkEnd w:id="696"/>
    <w:bookmarkEnd w:id="697"/>
    <w:bookmarkEnd w:id="698"/>
    <w:bookmarkEnd w:id="699"/>
    <w:bookmarkEnd w:id="700"/>
    <w:bookmarkEnd w:id="701"/>
    <w:bookmarkEnd w:id="702"/>
    <w:bookmarkEnd w:id="703"/>
    <w:p>
      <w:pPr>
        <w:rPr>
          <w:rFonts w:ascii="Times New Roman" w:hAnsi="Times New Roman" w:cs="Times New Roman"/>
        </w:rPr>
      </w:pPr>
      <w:bookmarkStart w:id="728" w:name="_Toc6961"/>
      <w:bookmarkStart w:id="729" w:name="_Toc29569"/>
      <w:bookmarkStart w:id="730" w:name="_Toc27359"/>
    </w:p>
    <w:p>
      <w:pPr>
        <w:tabs>
          <w:tab w:val="left" w:pos="6300"/>
        </w:tabs>
        <w:spacing w:line="600" w:lineRule="exact"/>
        <w:rPr>
          <w:rFonts w:ascii="Times New Roman" w:hAnsi="Times New Roman" w:eastAsia="方正黑体_GBK" w:cs="Times New Roman"/>
          <w:bCs/>
          <w:sz w:val="32"/>
          <w:szCs w:val="32"/>
        </w:rPr>
      </w:pPr>
      <w:bookmarkStart w:id="731" w:name="_Toc13541"/>
      <w:bookmarkStart w:id="732" w:name="_Toc29556"/>
      <w:bookmarkStart w:id="733" w:name="_Toc8477"/>
      <w:bookmarkStart w:id="734" w:name="_Toc29495"/>
      <w:bookmarkStart w:id="735" w:name="_Toc28114"/>
    </w:p>
    <w:p>
      <w:pPr>
        <w:tabs>
          <w:tab w:val="left" w:pos="6300"/>
        </w:tabs>
        <w:spacing w:line="600" w:lineRule="exact"/>
        <w:outlineLvl w:val="0"/>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名词解释</w:t>
      </w:r>
      <w:bookmarkEnd w:id="728"/>
      <w:bookmarkEnd w:id="729"/>
      <w:bookmarkEnd w:id="730"/>
      <w:bookmarkEnd w:id="731"/>
      <w:bookmarkEnd w:id="732"/>
      <w:bookmarkEnd w:id="733"/>
      <w:bookmarkEnd w:id="734"/>
      <w:bookmarkEnd w:id="735"/>
    </w:p>
    <w:p>
      <w:pPr>
        <w:spacing w:line="600" w:lineRule="exact"/>
        <w:ind w:firstLine="643" w:firstLineChars="200"/>
        <w:contextualSpacing/>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1.“两点”定位：</w:t>
      </w:r>
      <w:r>
        <w:rPr>
          <w:rFonts w:ascii="Times New Roman" w:hAnsi="Times New Roman" w:eastAsia="方正仿宋_GBK" w:cs="Times New Roman"/>
          <w:sz w:val="32"/>
          <w:szCs w:val="32"/>
        </w:rPr>
        <w:t>新时代西部大开发的重要战略支点，“一带一路”和长江经济带的联结点。</w:t>
      </w:r>
    </w:p>
    <w:p>
      <w:pPr>
        <w:spacing w:line="600" w:lineRule="exact"/>
        <w:ind w:firstLine="643" w:firstLineChars="200"/>
        <w:contextualSpacing/>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2.“两地”“两高”目标：</w:t>
      </w:r>
      <w:r>
        <w:rPr>
          <w:rFonts w:ascii="Times New Roman" w:hAnsi="Times New Roman" w:eastAsia="方正仿宋_GBK" w:cs="Times New Roman"/>
          <w:sz w:val="32"/>
          <w:szCs w:val="32"/>
        </w:rPr>
        <w:t>内陆开放高地，山清水秀美丽之地；推动高质量发展，创造高品质生活。</w:t>
      </w:r>
    </w:p>
    <w:p>
      <w:pPr>
        <w:spacing w:line="600" w:lineRule="exact"/>
        <w:ind w:firstLine="643" w:firstLineChars="200"/>
        <w:contextualSpacing/>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3.三个作用：</w:t>
      </w:r>
      <w:r>
        <w:rPr>
          <w:rFonts w:ascii="Times New Roman" w:hAnsi="Times New Roman" w:eastAsia="方正仿宋_GBK" w:cs="Times New Roman"/>
          <w:sz w:val="32"/>
          <w:szCs w:val="32"/>
        </w:rPr>
        <w:t>在推进新时代西部大开发中发挥支撑作用、在推进共建“一带一路”中发挥带动作用、在推进长江经济带绿色发展中发挥示范作用。</w:t>
      </w:r>
    </w:p>
    <w:p>
      <w:pPr>
        <w:spacing w:line="60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4.“两高”示范区：</w:t>
      </w:r>
      <w:r>
        <w:rPr>
          <w:rFonts w:ascii="Times New Roman" w:hAnsi="Times New Roman" w:eastAsia="方正仿宋_GBK" w:cs="Times New Roman"/>
          <w:bCs/>
          <w:sz w:val="32"/>
          <w:szCs w:val="32"/>
        </w:rPr>
        <w:t>高质量发展、高品质生活示范区。</w:t>
      </w:r>
    </w:p>
    <w:p>
      <w:pPr>
        <w:spacing w:line="600" w:lineRule="exact"/>
        <w:ind w:firstLine="643" w:firstLineChars="200"/>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5.两大机遇：</w:t>
      </w:r>
      <w:r>
        <w:rPr>
          <w:rFonts w:ascii="Times New Roman" w:hAnsi="Times New Roman" w:eastAsia="方正仿宋_GBK" w:cs="Times New Roman"/>
          <w:bCs/>
          <w:sz w:val="32"/>
          <w:szCs w:val="32"/>
        </w:rPr>
        <w:t>抢抓成渝地区双城经济圈建设和“一区两群”协调发展两大机遇。</w:t>
      </w:r>
    </w:p>
    <w:p>
      <w:pPr>
        <w:spacing w:line="600" w:lineRule="exact"/>
        <w:ind w:firstLine="643" w:firstLineChars="200"/>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6.三个定位：</w:t>
      </w:r>
      <w:r>
        <w:rPr>
          <w:rFonts w:ascii="Times New Roman" w:hAnsi="Times New Roman" w:eastAsia="方正仿宋_GBK" w:cs="Times New Roman"/>
          <w:bCs/>
          <w:sz w:val="32"/>
          <w:szCs w:val="32"/>
        </w:rPr>
        <w:t>明确科技兴业之区、开放时尚之地、美丽幸福之城三个定位。</w:t>
      </w:r>
    </w:p>
    <w:p>
      <w:pPr>
        <w:spacing w:line="600" w:lineRule="exact"/>
        <w:ind w:firstLine="643" w:firstLineChars="200"/>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7.四个率先：</w:t>
      </w:r>
      <w:r>
        <w:rPr>
          <w:rFonts w:ascii="Times New Roman" w:hAnsi="Times New Roman" w:eastAsia="方正仿宋_GBK" w:cs="Times New Roman"/>
          <w:bCs/>
          <w:sz w:val="32"/>
          <w:szCs w:val="32"/>
        </w:rPr>
        <w:t>落实率先推进产业发展现代化、率先推进城市能级现代化、率先推进社会治理现代化、率先推进干部能力现代化四个率先。</w:t>
      </w:r>
    </w:p>
    <w:p>
      <w:pPr>
        <w:spacing w:line="600" w:lineRule="exact"/>
        <w:ind w:firstLine="643" w:firstLineChars="200"/>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8.五大行动：</w:t>
      </w:r>
      <w:r>
        <w:rPr>
          <w:rFonts w:ascii="Times New Roman" w:hAnsi="Times New Roman" w:eastAsia="方正仿宋_GBK" w:cs="Times New Roman"/>
          <w:bCs/>
          <w:sz w:val="32"/>
          <w:szCs w:val="32"/>
        </w:rPr>
        <w:t>实施实干兴区、科创强区、环境优区、招商活区、民生立区五大行动。</w:t>
      </w:r>
    </w:p>
    <w:p>
      <w:pPr>
        <w:spacing w:line="600" w:lineRule="exact"/>
        <w:ind w:firstLine="643" w:firstLineChars="200"/>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9.两免一补：</w:t>
      </w:r>
      <w:r>
        <w:rPr>
          <w:rFonts w:ascii="Times New Roman" w:hAnsi="Times New Roman" w:eastAsia="方正仿宋_GBK" w:cs="Times New Roman"/>
          <w:bCs/>
          <w:sz w:val="32"/>
          <w:szCs w:val="32"/>
        </w:rPr>
        <w:t>国家向农村义务教育阶段（小学和初中）的贫困家庭学生免费提供教科书、免除杂费，并给寄宿生补助一定生活费的一项资助政策。</w:t>
      </w:r>
    </w:p>
    <w:p>
      <w:pPr>
        <w:spacing w:line="600" w:lineRule="exact"/>
        <w:ind w:firstLine="643" w:firstLineChars="200"/>
        <w:rPr>
          <w:rFonts w:ascii="Times New Roman" w:hAnsi="Times New Roman" w:cs="Times New Roman"/>
        </w:rPr>
        <w:sectPr>
          <w:footerReference r:id="rId5" w:type="default"/>
          <w:pgSz w:w="11906" w:h="16838"/>
          <w:pgMar w:top="1440" w:right="1800" w:bottom="1440" w:left="1800" w:header="851" w:footer="992" w:gutter="0"/>
          <w:pgNumType w:fmt="numberInDash" w:start="1"/>
          <w:cols w:space="425" w:num="1"/>
          <w:docGrid w:type="lines" w:linePitch="312" w:charSpace="0"/>
        </w:sectPr>
      </w:pPr>
      <w:r>
        <w:rPr>
          <w:rFonts w:ascii="Times New Roman" w:hAnsi="Times New Roman" w:eastAsia="方正仿宋_GBK" w:cs="Times New Roman"/>
          <w:b/>
          <w:sz w:val="32"/>
          <w:szCs w:val="32"/>
        </w:rPr>
        <w:t>10.县管校聘：</w:t>
      </w:r>
      <w:r>
        <w:rPr>
          <w:rFonts w:ascii="Times New Roman" w:hAnsi="Times New Roman" w:eastAsia="方正仿宋_GBK" w:cs="Times New Roman"/>
          <w:bCs/>
          <w:sz w:val="32"/>
          <w:szCs w:val="32"/>
        </w:rPr>
        <w:t>全体公办义务教育学校教师和校长全部都实行县级政府统一管理。</w:t>
      </w:r>
    </w:p>
    <w:p>
      <w:pPr>
        <w:rPr>
          <w:rFonts w:ascii="Times New Roman" w:hAnsi="Times New Roman" w:cs="Times New Roman"/>
        </w:rPr>
      </w:pPr>
    </w:p>
    <w:sectPr>
      <w:footerReference r:id="rId6" w:type="default"/>
      <w:pgSz w:w="16838" w:h="11906" w:orient="landscape"/>
      <w:pgMar w:top="1800" w:right="1440" w:bottom="1800" w:left="1440" w:header="851" w:footer="992" w:gutter="0"/>
      <w:pgNumType w:fmt="numberInDash" w:start="7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II</w:t>
                    </w:r>
                    <w:r>
                      <w:fldChar w:fldCharType="end"/>
                    </w:r>
                  </w:p>
                </w:txbxContent>
              </v:textbox>
            </v:shape>
          </w:pict>
        </mc:Fallback>
      </mc:AlternateConten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- 17 -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- 17 -</w:t>
                    </w:r>
                    <w:r>
                      <w:fldChar w:fldCharType="end"/>
                    </w:r>
                  </w:p>
                </w:txbxContent>
              </v:textbox>
            </v:shape>
          </w:pict>
        </mc:Fallback>
      </mc:AlternateConten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- 78 -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- 78 -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5NjRkMzFiZmRlYjE2MTVlOTEwZTFiNTNlYmQwZTMifQ=="/>
  </w:docVars>
  <w:rsids>
    <w:rsidRoot w:val="006974A4"/>
    <w:rsid w:val="000049C7"/>
    <w:rsid w:val="000121FD"/>
    <w:rsid w:val="00012E47"/>
    <w:rsid w:val="000134F7"/>
    <w:rsid w:val="0001496D"/>
    <w:rsid w:val="00020BDC"/>
    <w:rsid w:val="00020E57"/>
    <w:rsid w:val="0003192C"/>
    <w:rsid w:val="00031CB6"/>
    <w:rsid w:val="00032341"/>
    <w:rsid w:val="00044058"/>
    <w:rsid w:val="0004605F"/>
    <w:rsid w:val="000535A2"/>
    <w:rsid w:val="00054E27"/>
    <w:rsid w:val="0005716F"/>
    <w:rsid w:val="00062A64"/>
    <w:rsid w:val="000650A6"/>
    <w:rsid w:val="00070570"/>
    <w:rsid w:val="00073CBC"/>
    <w:rsid w:val="00077C32"/>
    <w:rsid w:val="0008382B"/>
    <w:rsid w:val="00084756"/>
    <w:rsid w:val="00093CFF"/>
    <w:rsid w:val="00094656"/>
    <w:rsid w:val="000958CA"/>
    <w:rsid w:val="0009711F"/>
    <w:rsid w:val="000A5CF4"/>
    <w:rsid w:val="000A6631"/>
    <w:rsid w:val="000A724E"/>
    <w:rsid w:val="000C035C"/>
    <w:rsid w:val="000C40CE"/>
    <w:rsid w:val="000C493B"/>
    <w:rsid w:val="000C6A63"/>
    <w:rsid w:val="000D4A29"/>
    <w:rsid w:val="000D62D7"/>
    <w:rsid w:val="000E1720"/>
    <w:rsid w:val="000E19ED"/>
    <w:rsid w:val="000E2218"/>
    <w:rsid w:val="000E62B1"/>
    <w:rsid w:val="000E6633"/>
    <w:rsid w:val="000F1E70"/>
    <w:rsid w:val="000F3DC0"/>
    <w:rsid w:val="000F48DB"/>
    <w:rsid w:val="00104883"/>
    <w:rsid w:val="001060FA"/>
    <w:rsid w:val="00111201"/>
    <w:rsid w:val="00113153"/>
    <w:rsid w:val="00113C9E"/>
    <w:rsid w:val="00115D73"/>
    <w:rsid w:val="001216F1"/>
    <w:rsid w:val="00123060"/>
    <w:rsid w:val="00130E70"/>
    <w:rsid w:val="00133C76"/>
    <w:rsid w:val="00134EDB"/>
    <w:rsid w:val="00142D88"/>
    <w:rsid w:val="00151DF1"/>
    <w:rsid w:val="00157A28"/>
    <w:rsid w:val="00157D0C"/>
    <w:rsid w:val="00160CBF"/>
    <w:rsid w:val="00161313"/>
    <w:rsid w:val="00163A2F"/>
    <w:rsid w:val="00165587"/>
    <w:rsid w:val="00172B04"/>
    <w:rsid w:val="00172D2C"/>
    <w:rsid w:val="00175A04"/>
    <w:rsid w:val="00176C94"/>
    <w:rsid w:val="00177BEF"/>
    <w:rsid w:val="00177D06"/>
    <w:rsid w:val="00182AB1"/>
    <w:rsid w:val="00183C24"/>
    <w:rsid w:val="0018680D"/>
    <w:rsid w:val="001918E4"/>
    <w:rsid w:val="001924B7"/>
    <w:rsid w:val="00195FC6"/>
    <w:rsid w:val="001A06A5"/>
    <w:rsid w:val="001A0ABE"/>
    <w:rsid w:val="001A1AAA"/>
    <w:rsid w:val="001A30A1"/>
    <w:rsid w:val="001A30C8"/>
    <w:rsid w:val="001A54FB"/>
    <w:rsid w:val="001B0473"/>
    <w:rsid w:val="001B6A0B"/>
    <w:rsid w:val="001B753E"/>
    <w:rsid w:val="001C4457"/>
    <w:rsid w:val="001C76B7"/>
    <w:rsid w:val="001D7B4C"/>
    <w:rsid w:val="001E0E7C"/>
    <w:rsid w:val="001E279F"/>
    <w:rsid w:val="001E34E9"/>
    <w:rsid w:val="001F1F05"/>
    <w:rsid w:val="001F2A13"/>
    <w:rsid w:val="002005BE"/>
    <w:rsid w:val="0020443F"/>
    <w:rsid w:val="002112EE"/>
    <w:rsid w:val="002118AD"/>
    <w:rsid w:val="00215E08"/>
    <w:rsid w:val="0022610C"/>
    <w:rsid w:val="002324A6"/>
    <w:rsid w:val="0023271C"/>
    <w:rsid w:val="00235068"/>
    <w:rsid w:val="00241357"/>
    <w:rsid w:val="0024295D"/>
    <w:rsid w:val="00251CA8"/>
    <w:rsid w:val="00260C4E"/>
    <w:rsid w:val="00265EBC"/>
    <w:rsid w:val="002664BE"/>
    <w:rsid w:val="00266FF9"/>
    <w:rsid w:val="00270982"/>
    <w:rsid w:val="00270D9A"/>
    <w:rsid w:val="00271234"/>
    <w:rsid w:val="0028071E"/>
    <w:rsid w:val="00283EE9"/>
    <w:rsid w:val="002853E3"/>
    <w:rsid w:val="002906D7"/>
    <w:rsid w:val="00290CE0"/>
    <w:rsid w:val="00296AE9"/>
    <w:rsid w:val="002972DB"/>
    <w:rsid w:val="002A031E"/>
    <w:rsid w:val="002A4159"/>
    <w:rsid w:val="002B5163"/>
    <w:rsid w:val="002C37E4"/>
    <w:rsid w:val="002C3A13"/>
    <w:rsid w:val="002C3A1F"/>
    <w:rsid w:val="002C3DB2"/>
    <w:rsid w:val="002C423B"/>
    <w:rsid w:val="002C6042"/>
    <w:rsid w:val="002D0FC2"/>
    <w:rsid w:val="002D152C"/>
    <w:rsid w:val="002D447A"/>
    <w:rsid w:val="002E0197"/>
    <w:rsid w:val="002E1D9C"/>
    <w:rsid w:val="002E24C2"/>
    <w:rsid w:val="002E5BD4"/>
    <w:rsid w:val="002F1E66"/>
    <w:rsid w:val="002F4EC4"/>
    <w:rsid w:val="002F69FE"/>
    <w:rsid w:val="002F7394"/>
    <w:rsid w:val="00300C53"/>
    <w:rsid w:val="003026E1"/>
    <w:rsid w:val="0030610A"/>
    <w:rsid w:val="00306E50"/>
    <w:rsid w:val="0031152F"/>
    <w:rsid w:val="0032062E"/>
    <w:rsid w:val="00321B22"/>
    <w:rsid w:val="00326059"/>
    <w:rsid w:val="00332688"/>
    <w:rsid w:val="00332755"/>
    <w:rsid w:val="00332C3D"/>
    <w:rsid w:val="00337B18"/>
    <w:rsid w:val="00342AE1"/>
    <w:rsid w:val="0034383F"/>
    <w:rsid w:val="00344B76"/>
    <w:rsid w:val="0034557F"/>
    <w:rsid w:val="00346287"/>
    <w:rsid w:val="00350096"/>
    <w:rsid w:val="0035128B"/>
    <w:rsid w:val="00351738"/>
    <w:rsid w:val="00352542"/>
    <w:rsid w:val="0035306B"/>
    <w:rsid w:val="00353F9F"/>
    <w:rsid w:val="0035416C"/>
    <w:rsid w:val="003574D5"/>
    <w:rsid w:val="0036218C"/>
    <w:rsid w:val="003638C4"/>
    <w:rsid w:val="00364839"/>
    <w:rsid w:val="003702B6"/>
    <w:rsid w:val="0037220D"/>
    <w:rsid w:val="003738F7"/>
    <w:rsid w:val="00374799"/>
    <w:rsid w:val="00376E8F"/>
    <w:rsid w:val="00377E03"/>
    <w:rsid w:val="00383994"/>
    <w:rsid w:val="00391E1B"/>
    <w:rsid w:val="00392167"/>
    <w:rsid w:val="003939E8"/>
    <w:rsid w:val="00393BF1"/>
    <w:rsid w:val="00394904"/>
    <w:rsid w:val="003A173F"/>
    <w:rsid w:val="003A40B7"/>
    <w:rsid w:val="003A5870"/>
    <w:rsid w:val="003A7F2A"/>
    <w:rsid w:val="003B3D9D"/>
    <w:rsid w:val="003B430B"/>
    <w:rsid w:val="003B6286"/>
    <w:rsid w:val="003C1068"/>
    <w:rsid w:val="003C18E0"/>
    <w:rsid w:val="003C2FE2"/>
    <w:rsid w:val="003C33B3"/>
    <w:rsid w:val="003C5D47"/>
    <w:rsid w:val="003D02C7"/>
    <w:rsid w:val="003D0825"/>
    <w:rsid w:val="003D28B2"/>
    <w:rsid w:val="003D6FB9"/>
    <w:rsid w:val="003D723D"/>
    <w:rsid w:val="003E60CA"/>
    <w:rsid w:val="003F02F2"/>
    <w:rsid w:val="003F5B93"/>
    <w:rsid w:val="003F5E8B"/>
    <w:rsid w:val="003F6D76"/>
    <w:rsid w:val="003F740C"/>
    <w:rsid w:val="00400031"/>
    <w:rsid w:val="00407F7F"/>
    <w:rsid w:val="004106D8"/>
    <w:rsid w:val="00415190"/>
    <w:rsid w:val="0041613E"/>
    <w:rsid w:val="004177C5"/>
    <w:rsid w:val="00422D61"/>
    <w:rsid w:val="004239EE"/>
    <w:rsid w:val="00423E36"/>
    <w:rsid w:val="00427C04"/>
    <w:rsid w:val="00432CAF"/>
    <w:rsid w:val="00434641"/>
    <w:rsid w:val="00441E67"/>
    <w:rsid w:val="004436A2"/>
    <w:rsid w:val="00444FA7"/>
    <w:rsid w:val="004450C3"/>
    <w:rsid w:val="0044515F"/>
    <w:rsid w:val="004451DA"/>
    <w:rsid w:val="00450DE7"/>
    <w:rsid w:val="00451103"/>
    <w:rsid w:val="00462E4F"/>
    <w:rsid w:val="00463B1C"/>
    <w:rsid w:val="00467372"/>
    <w:rsid w:val="0046763D"/>
    <w:rsid w:val="004728CF"/>
    <w:rsid w:val="004737C4"/>
    <w:rsid w:val="00476355"/>
    <w:rsid w:val="004818F2"/>
    <w:rsid w:val="00482F4B"/>
    <w:rsid w:val="00484141"/>
    <w:rsid w:val="0048747D"/>
    <w:rsid w:val="00490B75"/>
    <w:rsid w:val="0049647A"/>
    <w:rsid w:val="004A2DDD"/>
    <w:rsid w:val="004A3DDE"/>
    <w:rsid w:val="004A4210"/>
    <w:rsid w:val="004A506D"/>
    <w:rsid w:val="004A747A"/>
    <w:rsid w:val="004B24DD"/>
    <w:rsid w:val="004B33C4"/>
    <w:rsid w:val="004B4784"/>
    <w:rsid w:val="004C08E4"/>
    <w:rsid w:val="004C4A4D"/>
    <w:rsid w:val="004C70EC"/>
    <w:rsid w:val="004D101B"/>
    <w:rsid w:val="004D59BE"/>
    <w:rsid w:val="004E0637"/>
    <w:rsid w:val="004E6C7C"/>
    <w:rsid w:val="004E6D48"/>
    <w:rsid w:val="004E789B"/>
    <w:rsid w:val="004F5B7D"/>
    <w:rsid w:val="00500921"/>
    <w:rsid w:val="00500BE9"/>
    <w:rsid w:val="00501AC5"/>
    <w:rsid w:val="005037A2"/>
    <w:rsid w:val="00504718"/>
    <w:rsid w:val="00510687"/>
    <w:rsid w:val="0051274F"/>
    <w:rsid w:val="00514262"/>
    <w:rsid w:val="00514A64"/>
    <w:rsid w:val="00514FC0"/>
    <w:rsid w:val="00516D78"/>
    <w:rsid w:val="0051747B"/>
    <w:rsid w:val="00522288"/>
    <w:rsid w:val="0052375B"/>
    <w:rsid w:val="00526120"/>
    <w:rsid w:val="00542E82"/>
    <w:rsid w:val="005431C8"/>
    <w:rsid w:val="00544CA6"/>
    <w:rsid w:val="00544E1B"/>
    <w:rsid w:val="00547241"/>
    <w:rsid w:val="005542F6"/>
    <w:rsid w:val="00554C38"/>
    <w:rsid w:val="00555654"/>
    <w:rsid w:val="005640C9"/>
    <w:rsid w:val="00565CE4"/>
    <w:rsid w:val="0057066D"/>
    <w:rsid w:val="00570C27"/>
    <w:rsid w:val="00571033"/>
    <w:rsid w:val="00582ADE"/>
    <w:rsid w:val="00583A09"/>
    <w:rsid w:val="005909F8"/>
    <w:rsid w:val="00595D24"/>
    <w:rsid w:val="005A246F"/>
    <w:rsid w:val="005A3F3A"/>
    <w:rsid w:val="005A4EDD"/>
    <w:rsid w:val="005A6447"/>
    <w:rsid w:val="005B1AC6"/>
    <w:rsid w:val="005B1E3D"/>
    <w:rsid w:val="005B4346"/>
    <w:rsid w:val="005B5739"/>
    <w:rsid w:val="005B75C7"/>
    <w:rsid w:val="005C2D88"/>
    <w:rsid w:val="005C5456"/>
    <w:rsid w:val="005C5985"/>
    <w:rsid w:val="005C7B65"/>
    <w:rsid w:val="005D2758"/>
    <w:rsid w:val="005D2A0D"/>
    <w:rsid w:val="005D65A7"/>
    <w:rsid w:val="005E3589"/>
    <w:rsid w:val="005E48F7"/>
    <w:rsid w:val="005E4CD4"/>
    <w:rsid w:val="005E7C3E"/>
    <w:rsid w:val="005F057A"/>
    <w:rsid w:val="005F0C81"/>
    <w:rsid w:val="005F3CBE"/>
    <w:rsid w:val="005F4CF2"/>
    <w:rsid w:val="005F65FD"/>
    <w:rsid w:val="005F671C"/>
    <w:rsid w:val="005F76FE"/>
    <w:rsid w:val="00600A8D"/>
    <w:rsid w:val="00601343"/>
    <w:rsid w:val="00601C76"/>
    <w:rsid w:val="006037C0"/>
    <w:rsid w:val="00604C10"/>
    <w:rsid w:val="00612538"/>
    <w:rsid w:val="00620F2D"/>
    <w:rsid w:val="00621A52"/>
    <w:rsid w:val="006235A1"/>
    <w:rsid w:val="006308E5"/>
    <w:rsid w:val="00630EBC"/>
    <w:rsid w:val="00631493"/>
    <w:rsid w:val="00632390"/>
    <w:rsid w:val="00632D85"/>
    <w:rsid w:val="00636467"/>
    <w:rsid w:val="006379E8"/>
    <w:rsid w:val="0064181E"/>
    <w:rsid w:val="0064350D"/>
    <w:rsid w:val="00643E2A"/>
    <w:rsid w:val="00646124"/>
    <w:rsid w:val="00646C44"/>
    <w:rsid w:val="006525C6"/>
    <w:rsid w:val="00655A96"/>
    <w:rsid w:val="00655A98"/>
    <w:rsid w:val="00666563"/>
    <w:rsid w:val="006724BD"/>
    <w:rsid w:val="00672E34"/>
    <w:rsid w:val="00675746"/>
    <w:rsid w:val="00680886"/>
    <w:rsid w:val="00681919"/>
    <w:rsid w:val="006835E9"/>
    <w:rsid w:val="00684135"/>
    <w:rsid w:val="006846BF"/>
    <w:rsid w:val="00685934"/>
    <w:rsid w:val="00690897"/>
    <w:rsid w:val="00693765"/>
    <w:rsid w:val="00694DF1"/>
    <w:rsid w:val="00695804"/>
    <w:rsid w:val="006974A4"/>
    <w:rsid w:val="00697852"/>
    <w:rsid w:val="006A08C0"/>
    <w:rsid w:val="006A25C4"/>
    <w:rsid w:val="006A3E7B"/>
    <w:rsid w:val="006A47F5"/>
    <w:rsid w:val="006A4C7B"/>
    <w:rsid w:val="006A6F69"/>
    <w:rsid w:val="006A75EB"/>
    <w:rsid w:val="006B358D"/>
    <w:rsid w:val="006B71A8"/>
    <w:rsid w:val="006B7C65"/>
    <w:rsid w:val="006C2D00"/>
    <w:rsid w:val="006C5DAD"/>
    <w:rsid w:val="006C6CF7"/>
    <w:rsid w:val="006D1F10"/>
    <w:rsid w:val="006D5020"/>
    <w:rsid w:val="006D5698"/>
    <w:rsid w:val="006F33DD"/>
    <w:rsid w:val="006F36C1"/>
    <w:rsid w:val="006F7A3F"/>
    <w:rsid w:val="00706F42"/>
    <w:rsid w:val="00711E2A"/>
    <w:rsid w:val="0072157D"/>
    <w:rsid w:val="00726807"/>
    <w:rsid w:val="00726C01"/>
    <w:rsid w:val="007273E0"/>
    <w:rsid w:val="0073090F"/>
    <w:rsid w:val="00731E56"/>
    <w:rsid w:val="00742046"/>
    <w:rsid w:val="007436C4"/>
    <w:rsid w:val="00745FB2"/>
    <w:rsid w:val="007567C5"/>
    <w:rsid w:val="00756C25"/>
    <w:rsid w:val="00757645"/>
    <w:rsid w:val="00757A42"/>
    <w:rsid w:val="00757C61"/>
    <w:rsid w:val="0076047A"/>
    <w:rsid w:val="00763C2E"/>
    <w:rsid w:val="00764A71"/>
    <w:rsid w:val="00766E32"/>
    <w:rsid w:val="007674EF"/>
    <w:rsid w:val="00770A0E"/>
    <w:rsid w:val="0077275B"/>
    <w:rsid w:val="007744C2"/>
    <w:rsid w:val="00774569"/>
    <w:rsid w:val="00776601"/>
    <w:rsid w:val="00776B94"/>
    <w:rsid w:val="007776CC"/>
    <w:rsid w:val="007804E4"/>
    <w:rsid w:val="0078588B"/>
    <w:rsid w:val="00790AC8"/>
    <w:rsid w:val="00791A00"/>
    <w:rsid w:val="00792DE5"/>
    <w:rsid w:val="007951F5"/>
    <w:rsid w:val="00797421"/>
    <w:rsid w:val="00797C28"/>
    <w:rsid w:val="007A18BC"/>
    <w:rsid w:val="007A2542"/>
    <w:rsid w:val="007A3479"/>
    <w:rsid w:val="007A3FE4"/>
    <w:rsid w:val="007A6D6A"/>
    <w:rsid w:val="007A6EA5"/>
    <w:rsid w:val="007B3B20"/>
    <w:rsid w:val="007B6A21"/>
    <w:rsid w:val="007B75AC"/>
    <w:rsid w:val="007C082A"/>
    <w:rsid w:val="007C22AE"/>
    <w:rsid w:val="007C66A0"/>
    <w:rsid w:val="007C7F4D"/>
    <w:rsid w:val="007D5184"/>
    <w:rsid w:val="007E6FEB"/>
    <w:rsid w:val="007F19C2"/>
    <w:rsid w:val="007F21C8"/>
    <w:rsid w:val="007F384B"/>
    <w:rsid w:val="007F3E44"/>
    <w:rsid w:val="007F6A61"/>
    <w:rsid w:val="00802845"/>
    <w:rsid w:val="00805656"/>
    <w:rsid w:val="00811193"/>
    <w:rsid w:val="00814CB4"/>
    <w:rsid w:val="00815500"/>
    <w:rsid w:val="00820EC8"/>
    <w:rsid w:val="00830F8E"/>
    <w:rsid w:val="00835061"/>
    <w:rsid w:val="00840AFA"/>
    <w:rsid w:val="00842E70"/>
    <w:rsid w:val="00845811"/>
    <w:rsid w:val="00853139"/>
    <w:rsid w:val="0085357C"/>
    <w:rsid w:val="00856283"/>
    <w:rsid w:val="00866361"/>
    <w:rsid w:val="00871A32"/>
    <w:rsid w:val="0087599B"/>
    <w:rsid w:val="00876C14"/>
    <w:rsid w:val="00882B37"/>
    <w:rsid w:val="00884D43"/>
    <w:rsid w:val="008852DA"/>
    <w:rsid w:val="008962E6"/>
    <w:rsid w:val="00896C08"/>
    <w:rsid w:val="008A43CA"/>
    <w:rsid w:val="008A4519"/>
    <w:rsid w:val="008A618A"/>
    <w:rsid w:val="008A7251"/>
    <w:rsid w:val="008A7DF8"/>
    <w:rsid w:val="008B143E"/>
    <w:rsid w:val="008B315C"/>
    <w:rsid w:val="008B7B76"/>
    <w:rsid w:val="008C28DC"/>
    <w:rsid w:val="008C37D7"/>
    <w:rsid w:val="008C6305"/>
    <w:rsid w:val="008C7DD3"/>
    <w:rsid w:val="008D12F8"/>
    <w:rsid w:val="008D3394"/>
    <w:rsid w:val="008D6A9B"/>
    <w:rsid w:val="008D7C5A"/>
    <w:rsid w:val="008E2B4B"/>
    <w:rsid w:val="008E342A"/>
    <w:rsid w:val="008F32DF"/>
    <w:rsid w:val="008F5B44"/>
    <w:rsid w:val="008F62C4"/>
    <w:rsid w:val="00904947"/>
    <w:rsid w:val="009115D6"/>
    <w:rsid w:val="009141E3"/>
    <w:rsid w:val="00915347"/>
    <w:rsid w:val="00923825"/>
    <w:rsid w:val="009256E7"/>
    <w:rsid w:val="0093164E"/>
    <w:rsid w:val="009335D7"/>
    <w:rsid w:val="00933722"/>
    <w:rsid w:val="0093534D"/>
    <w:rsid w:val="009430C6"/>
    <w:rsid w:val="0094442D"/>
    <w:rsid w:val="00946DDA"/>
    <w:rsid w:val="00950E23"/>
    <w:rsid w:val="00952104"/>
    <w:rsid w:val="009527A8"/>
    <w:rsid w:val="00961AD3"/>
    <w:rsid w:val="00965BC2"/>
    <w:rsid w:val="00965FC5"/>
    <w:rsid w:val="0096650E"/>
    <w:rsid w:val="00977BB8"/>
    <w:rsid w:val="0098153D"/>
    <w:rsid w:val="00981931"/>
    <w:rsid w:val="00981BA8"/>
    <w:rsid w:val="00981F82"/>
    <w:rsid w:val="009833D9"/>
    <w:rsid w:val="0098526D"/>
    <w:rsid w:val="009870CF"/>
    <w:rsid w:val="009903FC"/>
    <w:rsid w:val="009973E3"/>
    <w:rsid w:val="009A578A"/>
    <w:rsid w:val="009B77E2"/>
    <w:rsid w:val="009C2B72"/>
    <w:rsid w:val="009C4FEB"/>
    <w:rsid w:val="009C556A"/>
    <w:rsid w:val="009C6ABD"/>
    <w:rsid w:val="009D31B9"/>
    <w:rsid w:val="009D4B92"/>
    <w:rsid w:val="009D7929"/>
    <w:rsid w:val="009E0941"/>
    <w:rsid w:val="009E0AE5"/>
    <w:rsid w:val="009E1106"/>
    <w:rsid w:val="009E2125"/>
    <w:rsid w:val="009E29DC"/>
    <w:rsid w:val="009E3115"/>
    <w:rsid w:val="009E43B8"/>
    <w:rsid w:val="009E4949"/>
    <w:rsid w:val="009E77C8"/>
    <w:rsid w:val="009F4233"/>
    <w:rsid w:val="009F6E84"/>
    <w:rsid w:val="00A0193A"/>
    <w:rsid w:val="00A03C11"/>
    <w:rsid w:val="00A05172"/>
    <w:rsid w:val="00A12208"/>
    <w:rsid w:val="00A145D6"/>
    <w:rsid w:val="00A14B93"/>
    <w:rsid w:val="00A15C77"/>
    <w:rsid w:val="00A15F1B"/>
    <w:rsid w:val="00A1656E"/>
    <w:rsid w:val="00A16C2C"/>
    <w:rsid w:val="00A23FCE"/>
    <w:rsid w:val="00A2518E"/>
    <w:rsid w:val="00A2606A"/>
    <w:rsid w:val="00A26B0E"/>
    <w:rsid w:val="00A422C5"/>
    <w:rsid w:val="00A45B9C"/>
    <w:rsid w:val="00A46657"/>
    <w:rsid w:val="00A47AF9"/>
    <w:rsid w:val="00A518A6"/>
    <w:rsid w:val="00A554FE"/>
    <w:rsid w:val="00A57E79"/>
    <w:rsid w:val="00A641B8"/>
    <w:rsid w:val="00A71F60"/>
    <w:rsid w:val="00A8052F"/>
    <w:rsid w:val="00A9060D"/>
    <w:rsid w:val="00A91289"/>
    <w:rsid w:val="00A92B92"/>
    <w:rsid w:val="00A93029"/>
    <w:rsid w:val="00A93186"/>
    <w:rsid w:val="00A97601"/>
    <w:rsid w:val="00AA1B60"/>
    <w:rsid w:val="00AA2825"/>
    <w:rsid w:val="00AA31D1"/>
    <w:rsid w:val="00AA3581"/>
    <w:rsid w:val="00AA4BF2"/>
    <w:rsid w:val="00AA7353"/>
    <w:rsid w:val="00AB2227"/>
    <w:rsid w:val="00AB2A40"/>
    <w:rsid w:val="00AB3094"/>
    <w:rsid w:val="00AB5DDB"/>
    <w:rsid w:val="00AC1F2E"/>
    <w:rsid w:val="00AC21A2"/>
    <w:rsid w:val="00AC2B6E"/>
    <w:rsid w:val="00AC3CA9"/>
    <w:rsid w:val="00AC4F6F"/>
    <w:rsid w:val="00AC6034"/>
    <w:rsid w:val="00AD20BD"/>
    <w:rsid w:val="00AD70C6"/>
    <w:rsid w:val="00AE5032"/>
    <w:rsid w:val="00AE5096"/>
    <w:rsid w:val="00AE634A"/>
    <w:rsid w:val="00AF0A35"/>
    <w:rsid w:val="00AF1983"/>
    <w:rsid w:val="00AF481B"/>
    <w:rsid w:val="00AF57EB"/>
    <w:rsid w:val="00AF6505"/>
    <w:rsid w:val="00B03FD0"/>
    <w:rsid w:val="00B0738D"/>
    <w:rsid w:val="00B077DD"/>
    <w:rsid w:val="00B13049"/>
    <w:rsid w:val="00B1546D"/>
    <w:rsid w:val="00B15483"/>
    <w:rsid w:val="00B17085"/>
    <w:rsid w:val="00B20897"/>
    <w:rsid w:val="00B21F37"/>
    <w:rsid w:val="00B224E2"/>
    <w:rsid w:val="00B23BF0"/>
    <w:rsid w:val="00B36DC0"/>
    <w:rsid w:val="00B371DA"/>
    <w:rsid w:val="00B4068C"/>
    <w:rsid w:val="00B41927"/>
    <w:rsid w:val="00B4434A"/>
    <w:rsid w:val="00B444AF"/>
    <w:rsid w:val="00B45898"/>
    <w:rsid w:val="00B458D7"/>
    <w:rsid w:val="00B504FF"/>
    <w:rsid w:val="00B50688"/>
    <w:rsid w:val="00B53394"/>
    <w:rsid w:val="00B542DF"/>
    <w:rsid w:val="00B60A15"/>
    <w:rsid w:val="00B62225"/>
    <w:rsid w:val="00B6284C"/>
    <w:rsid w:val="00B63224"/>
    <w:rsid w:val="00B77C04"/>
    <w:rsid w:val="00B81CFC"/>
    <w:rsid w:val="00B852CB"/>
    <w:rsid w:val="00B86818"/>
    <w:rsid w:val="00BA02E2"/>
    <w:rsid w:val="00BA318A"/>
    <w:rsid w:val="00BA36CF"/>
    <w:rsid w:val="00BA5629"/>
    <w:rsid w:val="00BA734B"/>
    <w:rsid w:val="00BB1889"/>
    <w:rsid w:val="00BB1B8C"/>
    <w:rsid w:val="00BB3EF7"/>
    <w:rsid w:val="00BB4CC2"/>
    <w:rsid w:val="00BB641C"/>
    <w:rsid w:val="00BB73DE"/>
    <w:rsid w:val="00BC0177"/>
    <w:rsid w:val="00BC5268"/>
    <w:rsid w:val="00BD0909"/>
    <w:rsid w:val="00BD6760"/>
    <w:rsid w:val="00BD7E39"/>
    <w:rsid w:val="00BE0D42"/>
    <w:rsid w:val="00BE25DE"/>
    <w:rsid w:val="00BE707A"/>
    <w:rsid w:val="00BF3792"/>
    <w:rsid w:val="00C000D2"/>
    <w:rsid w:val="00C01319"/>
    <w:rsid w:val="00C02BAE"/>
    <w:rsid w:val="00C02D41"/>
    <w:rsid w:val="00C036DD"/>
    <w:rsid w:val="00C0494E"/>
    <w:rsid w:val="00C1208D"/>
    <w:rsid w:val="00C13886"/>
    <w:rsid w:val="00C15757"/>
    <w:rsid w:val="00C15E72"/>
    <w:rsid w:val="00C161E0"/>
    <w:rsid w:val="00C24E7C"/>
    <w:rsid w:val="00C27F52"/>
    <w:rsid w:val="00C3239D"/>
    <w:rsid w:val="00C41273"/>
    <w:rsid w:val="00C42513"/>
    <w:rsid w:val="00C54D9C"/>
    <w:rsid w:val="00C62DF2"/>
    <w:rsid w:val="00C66515"/>
    <w:rsid w:val="00C70900"/>
    <w:rsid w:val="00C712AA"/>
    <w:rsid w:val="00C71BB7"/>
    <w:rsid w:val="00C75CF5"/>
    <w:rsid w:val="00C92113"/>
    <w:rsid w:val="00C92F42"/>
    <w:rsid w:val="00C966BB"/>
    <w:rsid w:val="00CA44A4"/>
    <w:rsid w:val="00CA4BC7"/>
    <w:rsid w:val="00CA503C"/>
    <w:rsid w:val="00CA7D38"/>
    <w:rsid w:val="00CB4989"/>
    <w:rsid w:val="00CC6747"/>
    <w:rsid w:val="00CC697A"/>
    <w:rsid w:val="00CC7312"/>
    <w:rsid w:val="00CD1FF9"/>
    <w:rsid w:val="00CD4A43"/>
    <w:rsid w:val="00CD57E4"/>
    <w:rsid w:val="00CF114A"/>
    <w:rsid w:val="00CF2F8B"/>
    <w:rsid w:val="00CF323F"/>
    <w:rsid w:val="00CF3433"/>
    <w:rsid w:val="00D0318E"/>
    <w:rsid w:val="00D03759"/>
    <w:rsid w:val="00D07E0E"/>
    <w:rsid w:val="00D14F1B"/>
    <w:rsid w:val="00D16A3C"/>
    <w:rsid w:val="00D17686"/>
    <w:rsid w:val="00D206B0"/>
    <w:rsid w:val="00D234F8"/>
    <w:rsid w:val="00D2469C"/>
    <w:rsid w:val="00D2583E"/>
    <w:rsid w:val="00D26F09"/>
    <w:rsid w:val="00D31FAF"/>
    <w:rsid w:val="00D329CB"/>
    <w:rsid w:val="00D35793"/>
    <w:rsid w:val="00D36DBA"/>
    <w:rsid w:val="00D434B5"/>
    <w:rsid w:val="00D445A7"/>
    <w:rsid w:val="00D45AA4"/>
    <w:rsid w:val="00D4640D"/>
    <w:rsid w:val="00D53637"/>
    <w:rsid w:val="00D54949"/>
    <w:rsid w:val="00D6690B"/>
    <w:rsid w:val="00D67DD6"/>
    <w:rsid w:val="00D73FD7"/>
    <w:rsid w:val="00D764E3"/>
    <w:rsid w:val="00D770FA"/>
    <w:rsid w:val="00D830AF"/>
    <w:rsid w:val="00D83E7B"/>
    <w:rsid w:val="00D845DB"/>
    <w:rsid w:val="00D90E3B"/>
    <w:rsid w:val="00D95890"/>
    <w:rsid w:val="00DA2A6A"/>
    <w:rsid w:val="00DA4D82"/>
    <w:rsid w:val="00DA7AE9"/>
    <w:rsid w:val="00DB06CB"/>
    <w:rsid w:val="00DB34E5"/>
    <w:rsid w:val="00DB3530"/>
    <w:rsid w:val="00DB5008"/>
    <w:rsid w:val="00DB5BC1"/>
    <w:rsid w:val="00DB6786"/>
    <w:rsid w:val="00DC757A"/>
    <w:rsid w:val="00DD5579"/>
    <w:rsid w:val="00DE5B5B"/>
    <w:rsid w:val="00DF1076"/>
    <w:rsid w:val="00DF27CB"/>
    <w:rsid w:val="00DF54D0"/>
    <w:rsid w:val="00E00169"/>
    <w:rsid w:val="00E03308"/>
    <w:rsid w:val="00E04821"/>
    <w:rsid w:val="00E11E1B"/>
    <w:rsid w:val="00E1248F"/>
    <w:rsid w:val="00E12EA9"/>
    <w:rsid w:val="00E17DCD"/>
    <w:rsid w:val="00E22F67"/>
    <w:rsid w:val="00E234BE"/>
    <w:rsid w:val="00E26A39"/>
    <w:rsid w:val="00E27E03"/>
    <w:rsid w:val="00E32186"/>
    <w:rsid w:val="00E33BB9"/>
    <w:rsid w:val="00E36566"/>
    <w:rsid w:val="00E4340E"/>
    <w:rsid w:val="00E43BD5"/>
    <w:rsid w:val="00E50525"/>
    <w:rsid w:val="00E537D4"/>
    <w:rsid w:val="00E61A52"/>
    <w:rsid w:val="00E649A2"/>
    <w:rsid w:val="00E67B97"/>
    <w:rsid w:val="00E67F7F"/>
    <w:rsid w:val="00E709C6"/>
    <w:rsid w:val="00E739A4"/>
    <w:rsid w:val="00E80906"/>
    <w:rsid w:val="00E819B1"/>
    <w:rsid w:val="00E842E3"/>
    <w:rsid w:val="00E84598"/>
    <w:rsid w:val="00E90D4C"/>
    <w:rsid w:val="00E97C2A"/>
    <w:rsid w:val="00EA3EC0"/>
    <w:rsid w:val="00EA690A"/>
    <w:rsid w:val="00EC0781"/>
    <w:rsid w:val="00EC450B"/>
    <w:rsid w:val="00ED5016"/>
    <w:rsid w:val="00ED5B60"/>
    <w:rsid w:val="00ED6067"/>
    <w:rsid w:val="00ED63DC"/>
    <w:rsid w:val="00ED7C1F"/>
    <w:rsid w:val="00EE1512"/>
    <w:rsid w:val="00EE3866"/>
    <w:rsid w:val="00EE3A79"/>
    <w:rsid w:val="00EE3EC3"/>
    <w:rsid w:val="00EE6D26"/>
    <w:rsid w:val="00EF4DA0"/>
    <w:rsid w:val="00EF6926"/>
    <w:rsid w:val="00F0058A"/>
    <w:rsid w:val="00F00AB2"/>
    <w:rsid w:val="00F013AD"/>
    <w:rsid w:val="00F046F2"/>
    <w:rsid w:val="00F050DC"/>
    <w:rsid w:val="00F05484"/>
    <w:rsid w:val="00F05E09"/>
    <w:rsid w:val="00F06A5E"/>
    <w:rsid w:val="00F10A2B"/>
    <w:rsid w:val="00F11469"/>
    <w:rsid w:val="00F12A9C"/>
    <w:rsid w:val="00F16561"/>
    <w:rsid w:val="00F17F4D"/>
    <w:rsid w:val="00F2291D"/>
    <w:rsid w:val="00F23395"/>
    <w:rsid w:val="00F265A5"/>
    <w:rsid w:val="00F27644"/>
    <w:rsid w:val="00F32299"/>
    <w:rsid w:val="00F32735"/>
    <w:rsid w:val="00F414BF"/>
    <w:rsid w:val="00F44396"/>
    <w:rsid w:val="00F4562C"/>
    <w:rsid w:val="00F47821"/>
    <w:rsid w:val="00F51097"/>
    <w:rsid w:val="00F5266C"/>
    <w:rsid w:val="00F5474C"/>
    <w:rsid w:val="00F56019"/>
    <w:rsid w:val="00F60D6C"/>
    <w:rsid w:val="00F632F9"/>
    <w:rsid w:val="00F63F3E"/>
    <w:rsid w:val="00F65D50"/>
    <w:rsid w:val="00F66DD4"/>
    <w:rsid w:val="00F70875"/>
    <w:rsid w:val="00F77DA5"/>
    <w:rsid w:val="00F80CDF"/>
    <w:rsid w:val="00F875A1"/>
    <w:rsid w:val="00F90F1A"/>
    <w:rsid w:val="00F91274"/>
    <w:rsid w:val="00F91A4D"/>
    <w:rsid w:val="00F97D04"/>
    <w:rsid w:val="00FB3A7A"/>
    <w:rsid w:val="00FB4C70"/>
    <w:rsid w:val="00FB5907"/>
    <w:rsid w:val="00FB7F6C"/>
    <w:rsid w:val="00FC025C"/>
    <w:rsid w:val="00FC3DD6"/>
    <w:rsid w:val="00FC3F2A"/>
    <w:rsid w:val="00FD0A19"/>
    <w:rsid w:val="00FD295D"/>
    <w:rsid w:val="00FD3199"/>
    <w:rsid w:val="00FD542C"/>
    <w:rsid w:val="00FE2A69"/>
    <w:rsid w:val="00FE3EBC"/>
    <w:rsid w:val="00FE7165"/>
    <w:rsid w:val="00FF018A"/>
    <w:rsid w:val="00FF52D4"/>
    <w:rsid w:val="00FF797E"/>
    <w:rsid w:val="01006D52"/>
    <w:rsid w:val="010B2798"/>
    <w:rsid w:val="01127079"/>
    <w:rsid w:val="011C2863"/>
    <w:rsid w:val="01217E40"/>
    <w:rsid w:val="01296690"/>
    <w:rsid w:val="013611FA"/>
    <w:rsid w:val="013871E9"/>
    <w:rsid w:val="013D2D61"/>
    <w:rsid w:val="013D522F"/>
    <w:rsid w:val="013E3D08"/>
    <w:rsid w:val="015B3E4B"/>
    <w:rsid w:val="01963CE9"/>
    <w:rsid w:val="01BD1D23"/>
    <w:rsid w:val="01CB57FF"/>
    <w:rsid w:val="01D235FC"/>
    <w:rsid w:val="01F11346"/>
    <w:rsid w:val="01F82B29"/>
    <w:rsid w:val="020C2FF2"/>
    <w:rsid w:val="022B31C5"/>
    <w:rsid w:val="0242598D"/>
    <w:rsid w:val="024A52DF"/>
    <w:rsid w:val="024B4514"/>
    <w:rsid w:val="02625B0F"/>
    <w:rsid w:val="026342E6"/>
    <w:rsid w:val="026E4783"/>
    <w:rsid w:val="02721509"/>
    <w:rsid w:val="0285682C"/>
    <w:rsid w:val="028D0AB1"/>
    <w:rsid w:val="029D518A"/>
    <w:rsid w:val="02A95B67"/>
    <w:rsid w:val="02AE0D64"/>
    <w:rsid w:val="02C67F5A"/>
    <w:rsid w:val="02CC4BAC"/>
    <w:rsid w:val="02CD79A5"/>
    <w:rsid w:val="02E931E6"/>
    <w:rsid w:val="03070CCC"/>
    <w:rsid w:val="03072061"/>
    <w:rsid w:val="031B3C53"/>
    <w:rsid w:val="032A688E"/>
    <w:rsid w:val="0343011F"/>
    <w:rsid w:val="036764B5"/>
    <w:rsid w:val="036B352A"/>
    <w:rsid w:val="037729E9"/>
    <w:rsid w:val="03775534"/>
    <w:rsid w:val="03787CD8"/>
    <w:rsid w:val="0384210E"/>
    <w:rsid w:val="038500F8"/>
    <w:rsid w:val="038D5634"/>
    <w:rsid w:val="03990B2E"/>
    <w:rsid w:val="039B2C32"/>
    <w:rsid w:val="03AB5B9E"/>
    <w:rsid w:val="03BA0FF7"/>
    <w:rsid w:val="03BF1900"/>
    <w:rsid w:val="03C227CF"/>
    <w:rsid w:val="03CB5833"/>
    <w:rsid w:val="03CC6D8C"/>
    <w:rsid w:val="03E3743A"/>
    <w:rsid w:val="03FD4F09"/>
    <w:rsid w:val="04062B3E"/>
    <w:rsid w:val="04191F35"/>
    <w:rsid w:val="042829F9"/>
    <w:rsid w:val="043E418B"/>
    <w:rsid w:val="046E1CBA"/>
    <w:rsid w:val="04782E0F"/>
    <w:rsid w:val="04AF253E"/>
    <w:rsid w:val="04B832E0"/>
    <w:rsid w:val="04C47BDE"/>
    <w:rsid w:val="04C87516"/>
    <w:rsid w:val="04CE5121"/>
    <w:rsid w:val="04E32D59"/>
    <w:rsid w:val="05057ECF"/>
    <w:rsid w:val="050A2496"/>
    <w:rsid w:val="050A5A9A"/>
    <w:rsid w:val="051177EE"/>
    <w:rsid w:val="052F4772"/>
    <w:rsid w:val="05366BC0"/>
    <w:rsid w:val="053B7CA7"/>
    <w:rsid w:val="05494BDE"/>
    <w:rsid w:val="05607C7D"/>
    <w:rsid w:val="056F03D2"/>
    <w:rsid w:val="057F5EC6"/>
    <w:rsid w:val="0581693F"/>
    <w:rsid w:val="059C4929"/>
    <w:rsid w:val="059C6EB9"/>
    <w:rsid w:val="059D3288"/>
    <w:rsid w:val="05AE0551"/>
    <w:rsid w:val="05B1664B"/>
    <w:rsid w:val="05B22BCF"/>
    <w:rsid w:val="05BD03A6"/>
    <w:rsid w:val="05BE7864"/>
    <w:rsid w:val="05D05C86"/>
    <w:rsid w:val="05D57AD5"/>
    <w:rsid w:val="05E64B3D"/>
    <w:rsid w:val="05EA7CA2"/>
    <w:rsid w:val="05F477B7"/>
    <w:rsid w:val="06002EC5"/>
    <w:rsid w:val="06082F23"/>
    <w:rsid w:val="060D55B6"/>
    <w:rsid w:val="062022CF"/>
    <w:rsid w:val="0623168E"/>
    <w:rsid w:val="062B11AC"/>
    <w:rsid w:val="062E1993"/>
    <w:rsid w:val="063143FC"/>
    <w:rsid w:val="063A3469"/>
    <w:rsid w:val="063B6295"/>
    <w:rsid w:val="06434F15"/>
    <w:rsid w:val="06626BB9"/>
    <w:rsid w:val="066D2810"/>
    <w:rsid w:val="067D173B"/>
    <w:rsid w:val="067F72D2"/>
    <w:rsid w:val="0680314A"/>
    <w:rsid w:val="06874ACF"/>
    <w:rsid w:val="06924E5B"/>
    <w:rsid w:val="06A622C9"/>
    <w:rsid w:val="06AA4CE8"/>
    <w:rsid w:val="06BC0A05"/>
    <w:rsid w:val="06FC4A85"/>
    <w:rsid w:val="070319AC"/>
    <w:rsid w:val="070677C8"/>
    <w:rsid w:val="070A3FD5"/>
    <w:rsid w:val="070D5809"/>
    <w:rsid w:val="07327681"/>
    <w:rsid w:val="073A02F6"/>
    <w:rsid w:val="074D5567"/>
    <w:rsid w:val="075A40A6"/>
    <w:rsid w:val="07715E91"/>
    <w:rsid w:val="077B0278"/>
    <w:rsid w:val="077B1344"/>
    <w:rsid w:val="077D3EF3"/>
    <w:rsid w:val="079F3E27"/>
    <w:rsid w:val="07A63F1B"/>
    <w:rsid w:val="07C217DA"/>
    <w:rsid w:val="07F23D74"/>
    <w:rsid w:val="07F6328E"/>
    <w:rsid w:val="07F95E15"/>
    <w:rsid w:val="080C7C14"/>
    <w:rsid w:val="08125591"/>
    <w:rsid w:val="081D357D"/>
    <w:rsid w:val="08247E0A"/>
    <w:rsid w:val="082B368F"/>
    <w:rsid w:val="08366AD9"/>
    <w:rsid w:val="08530720"/>
    <w:rsid w:val="08691E92"/>
    <w:rsid w:val="087D1E93"/>
    <w:rsid w:val="088412C7"/>
    <w:rsid w:val="088529DA"/>
    <w:rsid w:val="088B78EB"/>
    <w:rsid w:val="08A03D61"/>
    <w:rsid w:val="08B4652F"/>
    <w:rsid w:val="08CF25F7"/>
    <w:rsid w:val="08D36776"/>
    <w:rsid w:val="08DC2078"/>
    <w:rsid w:val="091A0F6F"/>
    <w:rsid w:val="091C2818"/>
    <w:rsid w:val="092122E8"/>
    <w:rsid w:val="092E1455"/>
    <w:rsid w:val="093707EF"/>
    <w:rsid w:val="0940664D"/>
    <w:rsid w:val="09432D64"/>
    <w:rsid w:val="094555A0"/>
    <w:rsid w:val="09472EA9"/>
    <w:rsid w:val="095F2F5C"/>
    <w:rsid w:val="09641F3D"/>
    <w:rsid w:val="09737211"/>
    <w:rsid w:val="097A64D4"/>
    <w:rsid w:val="09986404"/>
    <w:rsid w:val="09A71CFE"/>
    <w:rsid w:val="09AC7C2B"/>
    <w:rsid w:val="09BA76B7"/>
    <w:rsid w:val="09CA345F"/>
    <w:rsid w:val="09D024C3"/>
    <w:rsid w:val="09D06973"/>
    <w:rsid w:val="09DC5A53"/>
    <w:rsid w:val="0A08430A"/>
    <w:rsid w:val="0A0C4C7C"/>
    <w:rsid w:val="0A4E23D9"/>
    <w:rsid w:val="0A620F9F"/>
    <w:rsid w:val="0A6A1633"/>
    <w:rsid w:val="0A883743"/>
    <w:rsid w:val="0A9B3457"/>
    <w:rsid w:val="0ABC1320"/>
    <w:rsid w:val="0ADD3393"/>
    <w:rsid w:val="0AE61241"/>
    <w:rsid w:val="0B252D29"/>
    <w:rsid w:val="0B284D7B"/>
    <w:rsid w:val="0B2F5CA0"/>
    <w:rsid w:val="0B3B1C6A"/>
    <w:rsid w:val="0B4727E9"/>
    <w:rsid w:val="0B4B07F5"/>
    <w:rsid w:val="0B4E0F1D"/>
    <w:rsid w:val="0B554539"/>
    <w:rsid w:val="0B6253CD"/>
    <w:rsid w:val="0B63778E"/>
    <w:rsid w:val="0B644980"/>
    <w:rsid w:val="0B6E7E5B"/>
    <w:rsid w:val="0B75003C"/>
    <w:rsid w:val="0B7C7DEC"/>
    <w:rsid w:val="0B856ADA"/>
    <w:rsid w:val="0B8C4BD4"/>
    <w:rsid w:val="0B8F6095"/>
    <w:rsid w:val="0B9B4B52"/>
    <w:rsid w:val="0B9B7C16"/>
    <w:rsid w:val="0BBD57FB"/>
    <w:rsid w:val="0BC03D6E"/>
    <w:rsid w:val="0BC647F0"/>
    <w:rsid w:val="0BCA2CC8"/>
    <w:rsid w:val="0BD620A0"/>
    <w:rsid w:val="0C00648C"/>
    <w:rsid w:val="0C094606"/>
    <w:rsid w:val="0C16283F"/>
    <w:rsid w:val="0C240E77"/>
    <w:rsid w:val="0C2540FA"/>
    <w:rsid w:val="0C432A76"/>
    <w:rsid w:val="0C4C126D"/>
    <w:rsid w:val="0C51038B"/>
    <w:rsid w:val="0C521804"/>
    <w:rsid w:val="0C637CE6"/>
    <w:rsid w:val="0C6A2D37"/>
    <w:rsid w:val="0C6D3B0E"/>
    <w:rsid w:val="0C8439A8"/>
    <w:rsid w:val="0C866B09"/>
    <w:rsid w:val="0C9E5240"/>
    <w:rsid w:val="0CA00F43"/>
    <w:rsid w:val="0CAB65C0"/>
    <w:rsid w:val="0CC4394C"/>
    <w:rsid w:val="0CD36B8F"/>
    <w:rsid w:val="0CD772B8"/>
    <w:rsid w:val="0CE252F2"/>
    <w:rsid w:val="0CE41E0A"/>
    <w:rsid w:val="0CEC743A"/>
    <w:rsid w:val="0D1371D3"/>
    <w:rsid w:val="0D2B3C0B"/>
    <w:rsid w:val="0D2D228E"/>
    <w:rsid w:val="0D3124E6"/>
    <w:rsid w:val="0D321CEC"/>
    <w:rsid w:val="0D5275BB"/>
    <w:rsid w:val="0D5C5F14"/>
    <w:rsid w:val="0D5D182E"/>
    <w:rsid w:val="0D79378C"/>
    <w:rsid w:val="0D8F23C3"/>
    <w:rsid w:val="0DAF51BA"/>
    <w:rsid w:val="0DB14C24"/>
    <w:rsid w:val="0DC03930"/>
    <w:rsid w:val="0DC15330"/>
    <w:rsid w:val="0DC2760E"/>
    <w:rsid w:val="0DC37085"/>
    <w:rsid w:val="0DCB6FA5"/>
    <w:rsid w:val="0DCC560B"/>
    <w:rsid w:val="0DCD640B"/>
    <w:rsid w:val="0DDE62FC"/>
    <w:rsid w:val="0DE933C8"/>
    <w:rsid w:val="0E091BF2"/>
    <w:rsid w:val="0E0D1865"/>
    <w:rsid w:val="0E1551E7"/>
    <w:rsid w:val="0E1D4CAB"/>
    <w:rsid w:val="0E1D675A"/>
    <w:rsid w:val="0E1F711A"/>
    <w:rsid w:val="0E2054F3"/>
    <w:rsid w:val="0E3255BB"/>
    <w:rsid w:val="0E58603B"/>
    <w:rsid w:val="0E6E155F"/>
    <w:rsid w:val="0E6F7EDC"/>
    <w:rsid w:val="0E7865F3"/>
    <w:rsid w:val="0E83538C"/>
    <w:rsid w:val="0E85449E"/>
    <w:rsid w:val="0E8B0986"/>
    <w:rsid w:val="0E9645F3"/>
    <w:rsid w:val="0E970484"/>
    <w:rsid w:val="0E9747B2"/>
    <w:rsid w:val="0E9B42FE"/>
    <w:rsid w:val="0EA1139D"/>
    <w:rsid w:val="0EA367CF"/>
    <w:rsid w:val="0EA73A27"/>
    <w:rsid w:val="0EC95702"/>
    <w:rsid w:val="0EDC7B03"/>
    <w:rsid w:val="0EF50EEF"/>
    <w:rsid w:val="0F0068AE"/>
    <w:rsid w:val="0F056495"/>
    <w:rsid w:val="0F234496"/>
    <w:rsid w:val="0F2B5DBE"/>
    <w:rsid w:val="0F3F1245"/>
    <w:rsid w:val="0F664063"/>
    <w:rsid w:val="0F7A00AC"/>
    <w:rsid w:val="0F7C504F"/>
    <w:rsid w:val="0F89535B"/>
    <w:rsid w:val="0F9F18D8"/>
    <w:rsid w:val="0FB05CFA"/>
    <w:rsid w:val="0FC34E9A"/>
    <w:rsid w:val="0FC37505"/>
    <w:rsid w:val="0FC37B92"/>
    <w:rsid w:val="0FC734C3"/>
    <w:rsid w:val="0FCC3666"/>
    <w:rsid w:val="0FCE42A3"/>
    <w:rsid w:val="0FD302F8"/>
    <w:rsid w:val="0FF21799"/>
    <w:rsid w:val="10203B5C"/>
    <w:rsid w:val="102E7511"/>
    <w:rsid w:val="10347EE0"/>
    <w:rsid w:val="104E50E1"/>
    <w:rsid w:val="105E23FD"/>
    <w:rsid w:val="10764F1C"/>
    <w:rsid w:val="108C2A0C"/>
    <w:rsid w:val="108F4299"/>
    <w:rsid w:val="109025D8"/>
    <w:rsid w:val="109E611B"/>
    <w:rsid w:val="10A32792"/>
    <w:rsid w:val="10A72065"/>
    <w:rsid w:val="10BA489B"/>
    <w:rsid w:val="10BD4CA4"/>
    <w:rsid w:val="10BF7EFB"/>
    <w:rsid w:val="10CB1C5A"/>
    <w:rsid w:val="10E247BF"/>
    <w:rsid w:val="110C347F"/>
    <w:rsid w:val="111514F4"/>
    <w:rsid w:val="11235CED"/>
    <w:rsid w:val="113361AB"/>
    <w:rsid w:val="114C6140"/>
    <w:rsid w:val="11717BE5"/>
    <w:rsid w:val="11921676"/>
    <w:rsid w:val="11A43C1B"/>
    <w:rsid w:val="11C60D79"/>
    <w:rsid w:val="11DA5AB3"/>
    <w:rsid w:val="11E267B3"/>
    <w:rsid w:val="11EC5FA0"/>
    <w:rsid w:val="11F21E59"/>
    <w:rsid w:val="1200235D"/>
    <w:rsid w:val="12024A69"/>
    <w:rsid w:val="12044A52"/>
    <w:rsid w:val="12137FDA"/>
    <w:rsid w:val="12297A66"/>
    <w:rsid w:val="12350860"/>
    <w:rsid w:val="123F6795"/>
    <w:rsid w:val="125A0420"/>
    <w:rsid w:val="125B6670"/>
    <w:rsid w:val="125F4BA3"/>
    <w:rsid w:val="12852100"/>
    <w:rsid w:val="12910FA0"/>
    <w:rsid w:val="12A07A90"/>
    <w:rsid w:val="12B43F66"/>
    <w:rsid w:val="12D23BAE"/>
    <w:rsid w:val="12D400F3"/>
    <w:rsid w:val="12D56B5F"/>
    <w:rsid w:val="12F110E8"/>
    <w:rsid w:val="13005C8A"/>
    <w:rsid w:val="131E3AAE"/>
    <w:rsid w:val="132733BD"/>
    <w:rsid w:val="13350239"/>
    <w:rsid w:val="13351735"/>
    <w:rsid w:val="13366220"/>
    <w:rsid w:val="134D0EA7"/>
    <w:rsid w:val="135D34E2"/>
    <w:rsid w:val="136A7DEF"/>
    <w:rsid w:val="137D2AC5"/>
    <w:rsid w:val="137E0972"/>
    <w:rsid w:val="13A95C0E"/>
    <w:rsid w:val="13AB754A"/>
    <w:rsid w:val="13B525B5"/>
    <w:rsid w:val="13B75EB0"/>
    <w:rsid w:val="13CC41F3"/>
    <w:rsid w:val="13D158B7"/>
    <w:rsid w:val="13E35EEC"/>
    <w:rsid w:val="13E456DA"/>
    <w:rsid w:val="140364E4"/>
    <w:rsid w:val="14054111"/>
    <w:rsid w:val="14086688"/>
    <w:rsid w:val="1413157A"/>
    <w:rsid w:val="14192BA7"/>
    <w:rsid w:val="141D6422"/>
    <w:rsid w:val="14290C8D"/>
    <w:rsid w:val="142C37D9"/>
    <w:rsid w:val="144D4057"/>
    <w:rsid w:val="145D7FF0"/>
    <w:rsid w:val="147B5544"/>
    <w:rsid w:val="147C6411"/>
    <w:rsid w:val="1486528C"/>
    <w:rsid w:val="148C05C6"/>
    <w:rsid w:val="148E0F58"/>
    <w:rsid w:val="14A253BD"/>
    <w:rsid w:val="14A423A8"/>
    <w:rsid w:val="14B333D7"/>
    <w:rsid w:val="14C77A0C"/>
    <w:rsid w:val="14D00C31"/>
    <w:rsid w:val="14D04A2C"/>
    <w:rsid w:val="14D56240"/>
    <w:rsid w:val="14E60E5C"/>
    <w:rsid w:val="14FF1A5B"/>
    <w:rsid w:val="150D7250"/>
    <w:rsid w:val="15116F67"/>
    <w:rsid w:val="152126C9"/>
    <w:rsid w:val="155F4977"/>
    <w:rsid w:val="15632263"/>
    <w:rsid w:val="15701F0A"/>
    <w:rsid w:val="15726F30"/>
    <w:rsid w:val="15771690"/>
    <w:rsid w:val="1586568E"/>
    <w:rsid w:val="159F71FD"/>
    <w:rsid w:val="15AD677B"/>
    <w:rsid w:val="15C076B6"/>
    <w:rsid w:val="15D11225"/>
    <w:rsid w:val="15E6544C"/>
    <w:rsid w:val="15ED7A69"/>
    <w:rsid w:val="15F10CA1"/>
    <w:rsid w:val="15F64C66"/>
    <w:rsid w:val="16004833"/>
    <w:rsid w:val="16181783"/>
    <w:rsid w:val="162B3C62"/>
    <w:rsid w:val="16325190"/>
    <w:rsid w:val="16332BA5"/>
    <w:rsid w:val="16362396"/>
    <w:rsid w:val="163663A9"/>
    <w:rsid w:val="164F7AF9"/>
    <w:rsid w:val="165D3560"/>
    <w:rsid w:val="16600879"/>
    <w:rsid w:val="166516F7"/>
    <w:rsid w:val="168A7B1E"/>
    <w:rsid w:val="16A46D7B"/>
    <w:rsid w:val="16A675E9"/>
    <w:rsid w:val="16BE4060"/>
    <w:rsid w:val="16CA0035"/>
    <w:rsid w:val="16E464A8"/>
    <w:rsid w:val="17024EE8"/>
    <w:rsid w:val="172778E5"/>
    <w:rsid w:val="173378F6"/>
    <w:rsid w:val="173558DC"/>
    <w:rsid w:val="174817D6"/>
    <w:rsid w:val="17543EF8"/>
    <w:rsid w:val="175A2946"/>
    <w:rsid w:val="17724F96"/>
    <w:rsid w:val="17773AEC"/>
    <w:rsid w:val="177C4E0F"/>
    <w:rsid w:val="178978E7"/>
    <w:rsid w:val="178D7364"/>
    <w:rsid w:val="1794522E"/>
    <w:rsid w:val="179A4709"/>
    <w:rsid w:val="179F2859"/>
    <w:rsid w:val="17A26B64"/>
    <w:rsid w:val="17A604A1"/>
    <w:rsid w:val="17A67ED2"/>
    <w:rsid w:val="17B04495"/>
    <w:rsid w:val="17B86CC4"/>
    <w:rsid w:val="17CC090D"/>
    <w:rsid w:val="17D812A9"/>
    <w:rsid w:val="17E76AF1"/>
    <w:rsid w:val="17E966B8"/>
    <w:rsid w:val="17EC7AF2"/>
    <w:rsid w:val="17F00650"/>
    <w:rsid w:val="17F21998"/>
    <w:rsid w:val="17FF7389"/>
    <w:rsid w:val="18072B04"/>
    <w:rsid w:val="18101A90"/>
    <w:rsid w:val="18112C4D"/>
    <w:rsid w:val="18153F2E"/>
    <w:rsid w:val="18296B64"/>
    <w:rsid w:val="183D23B4"/>
    <w:rsid w:val="1849699B"/>
    <w:rsid w:val="1850492D"/>
    <w:rsid w:val="18603E4C"/>
    <w:rsid w:val="18721C07"/>
    <w:rsid w:val="188C4658"/>
    <w:rsid w:val="18A534B6"/>
    <w:rsid w:val="18D02134"/>
    <w:rsid w:val="18DF382D"/>
    <w:rsid w:val="18F8176E"/>
    <w:rsid w:val="190C7A81"/>
    <w:rsid w:val="191B7182"/>
    <w:rsid w:val="19223315"/>
    <w:rsid w:val="193335CE"/>
    <w:rsid w:val="19475E38"/>
    <w:rsid w:val="19747EC2"/>
    <w:rsid w:val="19971F70"/>
    <w:rsid w:val="1999114D"/>
    <w:rsid w:val="19A70CCF"/>
    <w:rsid w:val="19A7676B"/>
    <w:rsid w:val="19C0298F"/>
    <w:rsid w:val="19C668C3"/>
    <w:rsid w:val="19C919B9"/>
    <w:rsid w:val="19D36AB4"/>
    <w:rsid w:val="19DF5E37"/>
    <w:rsid w:val="19E94DA2"/>
    <w:rsid w:val="19F972A6"/>
    <w:rsid w:val="1A1D4243"/>
    <w:rsid w:val="1A1E1392"/>
    <w:rsid w:val="1A455012"/>
    <w:rsid w:val="1A610CA7"/>
    <w:rsid w:val="1A69657F"/>
    <w:rsid w:val="1A6C025F"/>
    <w:rsid w:val="1A6C3525"/>
    <w:rsid w:val="1A7233F6"/>
    <w:rsid w:val="1A743159"/>
    <w:rsid w:val="1A9B0CA0"/>
    <w:rsid w:val="1AA2722D"/>
    <w:rsid w:val="1AA50F99"/>
    <w:rsid w:val="1AAC0ED3"/>
    <w:rsid w:val="1AB23C01"/>
    <w:rsid w:val="1AB92456"/>
    <w:rsid w:val="1ABF4202"/>
    <w:rsid w:val="1AD25157"/>
    <w:rsid w:val="1AE47423"/>
    <w:rsid w:val="1AEE0EDB"/>
    <w:rsid w:val="1AF6270B"/>
    <w:rsid w:val="1B06089E"/>
    <w:rsid w:val="1B0B54AE"/>
    <w:rsid w:val="1B477DF4"/>
    <w:rsid w:val="1B500C37"/>
    <w:rsid w:val="1B5B7C26"/>
    <w:rsid w:val="1B5E0E51"/>
    <w:rsid w:val="1B832897"/>
    <w:rsid w:val="1B983CE9"/>
    <w:rsid w:val="1BAA66F9"/>
    <w:rsid w:val="1BBD2F1E"/>
    <w:rsid w:val="1BBE0EAC"/>
    <w:rsid w:val="1BD764DC"/>
    <w:rsid w:val="1BF40CAF"/>
    <w:rsid w:val="1BFE3C70"/>
    <w:rsid w:val="1C0D3C13"/>
    <w:rsid w:val="1C2D5F75"/>
    <w:rsid w:val="1C2F2F2D"/>
    <w:rsid w:val="1C301BD0"/>
    <w:rsid w:val="1C3D0076"/>
    <w:rsid w:val="1C46174C"/>
    <w:rsid w:val="1C4B2E92"/>
    <w:rsid w:val="1C57787C"/>
    <w:rsid w:val="1C615CA2"/>
    <w:rsid w:val="1C707E71"/>
    <w:rsid w:val="1CBE31FC"/>
    <w:rsid w:val="1CC56088"/>
    <w:rsid w:val="1CD878B3"/>
    <w:rsid w:val="1CEE724F"/>
    <w:rsid w:val="1D11216A"/>
    <w:rsid w:val="1D2C7BE5"/>
    <w:rsid w:val="1D2F5A13"/>
    <w:rsid w:val="1D317998"/>
    <w:rsid w:val="1D3B420A"/>
    <w:rsid w:val="1D5C168A"/>
    <w:rsid w:val="1DAC2BE9"/>
    <w:rsid w:val="1DB3426A"/>
    <w:rsid w:val="1DC1257E"/>
    <w:rsid w:val="1DCD7FD2"/>
    <w:rsid w:val="1DDB5842"/>
    <w:rsid w:val="1DF31233"/>
    <w:rsid w:val="1DFA253C"/>
    <w:rsid w:val="1DFE483E"/>
    <w:rsid w:val="1E02157D"/>
    <w:rsid w:val="1E145C5D"/>
    <w:rsid w:val="1E177B53"/>
    <w:rsid w:val="1E2A1B70"/>
    <w:rsid w:val="1E4D6E94"/>
    <w:rsid w:val="1E556CD6"/>
    <w:rsid w:val="1E68708A"/>
    <w:rsid w:val="1E714BEE"/>
    <w:rsid w:val="1E842CCE"/>
    <w:rsid w:val="1EB81888"/>
    <w:rsid w:val="1EDA0FDA"/>
    <w:rsid w:val="1EE27C33"/>
    <w:rsid w:val="1F054D53"/>
    <w:rsid w:val="1F1C38C2"/>
    <w:rsid w:val="1F2A7836"/>
    <w:rsid w:val="1F300416"/>
    <w:rsid w:val="1F354D1B"/>
    <w:rsid w:val="1F376209"/>
    <w:rsid w:val="1F455968"/>
    <w:rsid w:val="1F633EC6"/>
    <w:rsid w:val="1F646D5D"/>
    <w:rsid w:val="1F754AC4"/>
    <w:rsid w:val="1F8F5BB1"/>
    <w:rsid w:val="1F961CC3"/>
    <w:rsid w:val="1F964E84"/>
    <w:rsid w:val="1FA043FC"/>
    <w:rsid w:val="1FB81144"/>
    <w:rsid w:val="1FBA5C05"/>
    <w:rsid w:val="1FCA2836"/>
    <w:rsid w:val="1FCB0450"/>
    <w:rsid w:val="1FCB5D20"/>
    <w:rsid w:val="1FD22565"/>
    <w:rsid w:val="1FF636A3"/>
    <w:rsid w:val="1FF64C9E"/>
    <w:rsid w:val="200F01BC"/>
    <w:rsid w:val="203F2BE8"/>
    <w:rsid w:val="20404C5A"/>
    <w:rsid w:val="204C2938"/>
    <w:rsid w:val="20606CB4"/>
    <w:rsid w:val="20632B55"/>
    <w:rsid w:val="20736542"/>
    <w:rsid w:val="207B3985"/>
    <w:rsid w:val="209261D7"/>
    <w:rsid w:val="20D17569"/>
    <w:rsid w:val="20FF6E99"/>
    <w:rsid w:val="210A5B48"/>
    <w:rsid w:val="21132121"/>
    <w:rsid w:val="211B055A"/>
    <w:rsid w:val="21267FBC"/>
    <w:rsid w:val="212C4BC8"/>
    <w:rsid w:val="21577120"/>
    <w:rsid w:val="216626D5"/>
    <w:rsid w:val="216860E0"/>
    <w:rsid w:val="217876FF"/>
    <w:rsid w:val="21817DB6"/>
    <w:rsid w:val="219533D6"/>
    <w:rsid w:val="219C12A4"/>
    <w:rsid w:val="219D56C9"/>
    <w:rsid w:val="219D7880"/>
    <w:rsid w:val="21AA2FF9"/>
    <w:rsid w:val="21F05104"/>
    <w:rsid w:val="21F137FE"/>
    <w:rsid w:val="21FA1F5A"/>
    <w:rsid w:val="220F7E16"/>
    <w:rsid w:val="221E2E6F"/>
    <w:rsid w:val="222A1401"/>
    <w:rsid w:val="22404C51"/>
    <w:rsid w:val="22482056"/>
    <w:rsid w:val="22512083"/>
    <w:rsid w:val="22547BE1"/>
    <w:rsid w:val="227D3F1A"/>
    <w:rsid w:val="2287210C"/>
    <w:rsid w:val="22993AA2"/>
    <w:rsid w:val="22A33F21"/>
    <w:rsid w:val="22AC28D8"/>
    <w:rsid w:val="22B3500B"/>
    <w:rsid w:val="22B50983"/>
    <w:rsid w:val="22B568B8"/>
    <w:rsid w:val="22C51256"/>
    <w:rsid w:val="22C878E2"/>
    <w:rsid w:val="22F56BF1"/>
    <w:rsid w:val="23076077"/>
    <w:rsid w:val="233335B9"/>
    <w:rsid w:val="23713D9D"/>
    <w:rsid w:val="239D34E3"/>
    <w:rsid w:val="23CC5877"/>
    <w:rsid w:val="23D0257E"/>
    <w:rsid w:val="23D15C14"/>
    <w:rsid w:val="23D87ABD"/>
    <w:rsid w:val="23DA0FCD"/>
    <w:rsid w:val="23E5711C"/>
    <w:rsid w:val="23F6439D"/>
    <w:rsid w:val="23F83AC1"/>
    <w:rsid w:val="23FD53E7"/>
    <w:rsid w:val="240140C9"/>
    <w:rsid w:val="24051456"/>
    <w:rsid w:val="24101808"/>
    <w:rsid w:val="24107246"/>
    <w:rsid w:val="2432511D"/>
    <w:rsid w:val="243F3781"/>
    <w:rsid w:val="244A6DE6"/>
    <w:rsid w:val="24512AAC"/>
    <w:rsid w:val="24527391"/>
    <w:rsid w:val="24692FDD"/>
    <w:rsid w:val="246A3548"/>
    <w:rsid w:val="24710F01"/>
    <w:rsid w:val="2476097C"/>
    <w:rsid w:val="248139BC"/>
    <w:rsid w:val="248330C3"/>
    <w:rsid w:val="248539E3"/>
    <w:rsid w:val="24895ED8"/>
    <w:rsid w:val="248B3244"/>
    <w:rsid w:val="24A224C7"/>
    <w:rsid w:val="24B7202C"/>
    <w:rsid w:val="24C353DC"/>
    <w:rsid w:val="24CA6A89"/>
    <w:rsid w:val="24CC1C63"/>
    <w:rsid w:val="25313BAC"/>
    <w:rsid w:val="253432D4"/>
    <w:rsid w:val="253F1A1D"/>
    <w:rsid w:val="255249AC"/>
    <w:rsid w:val="25552C85"/>
    <w:rsid w:val="2556613F"/>
    <w:rsid w:val="256B621D"/>
    <w:rsid w:val="257505E4"/>
    <w:rsid w:val="257E2015"/>
    <w:rsid w:val="25920099"/>
    <w:rsid w:val="25C417BC"/>
    <w:rsid w:val="25E01E47"/>
    <w:rsid w:val="25F25686"/>
    <w:rsid w:val="25F811DA"/>
    <w:rsid w:val="260E6913"/>
    <w:rsid w:val="2628272B"/>
    <w:rsid w:val="262D6CD2"/>
    <w:rsid w:val="26311C9B"/>
    <w:rsid w:val="263D0561"/>
    <w:rsid w:val="26497DCE"/>
    <w:rsid w:val="264E7742"/>
    <w:rsid w:val="2654046A"/>
    <w:rsid w:val="26541E5B"/>
    <w:rsid w:val="267B3A4C"/>
    <w:rsid w:val="26802D62"/>
    <w:rsid w:val="26AF13E1"/>
    <w:rsid w:val="26DB1969"/>
    <w:rsid w:val="26E43586"/>
    <w:rsid w:val="26F96497"/>
    <w:rsid w:val="27065219"/>
    <w:rsid w:val="270F1B10"/>
    <w:rsid w:val="272E3D34"/>
    <w:rsid w:val="27311DD9"/>
    <w:rsid w:val="276761F6"/>
    <w:rsid w:val="27862045"/>
    <w:rsid w:val="278E69D8"/>
    <w:rsid w:val="279A6F6E"/>
    <w:rsid w:val="279D28BD"/>
    <w:rsid w:val="27A10DFC"/>
    <w:rsid w:val="27A63EC0"/>
    <w:rsid w:val="27B076D5"/>
    <w:rsid w:val="27B14B94"/>
    <w:rsid w:val="27B72AB0"/>
    <w:rsid w:val="27BF34CC"/>
    <w:rsid w:val="27C83EF7"/>
    <w:rsid w:val="27DB3ADB"/>
    <w:rsid w:val="27DC4A17"/>
    <w:rsid w:val="27E733CC"/>
    <w:rsid w:val="27EA734D"/>
    <w:rsid w:val="28223470"/>
    <w:rsid w:val="282724BD"/>
    <w:rsid w:val="28430FD5"/>
    <w:rsid w:val="28871E96"/>
    <w:rsid w:val="288C4EA9"/>
    <w:rsid w:val="28942B43"/>
    <w:rsid w:val="28A41DF3"/>
    <w:rsid w:val="28B52374"/>
    <w:rsid w:val="28BB7194"/>
    <w:rsid w:val="28CA471E"/>
    <w:rsid w:val="28DB6096"/>
    <w:rsid w:val="28DC7F83"/>
    <w:rsid w:val="28DE7694"/>
    <w:rsid w:val="28F258F1"/>
    <w:rsid w:val="28FC47F0"/>
    <w:rsid w:val="29082ADD"/>
    <w:rsid w:val="29096058"/>
    <w:rsid w:val="29227089"/>
    <w:rsid w:val="2928096D"/>
    <w:rsid w:val="294D2462"/>
    <w:rsid w:val="29500B55"/>
    <w:rsid w:val="29657C69"/>
    <w:rsid w:val="29713AA3"/>
    <w:rsid w:val="29967B55"/>
    <w:rsid w:val="299E1645"/>
    <w:rsid w:val="29B0495E"/>
    <w:rsid w:val="29B20DBA"/>
    <w:rsid w:val="29BF6BED"/>
    <w:rsid w:val="29C70F8E"/>
    <w:rsid w:val="29D71AFC"/>
    <w:rsid w:val="29D9667C"/>
    <w:rsid w:val="29E13903"/>
    <w:rsid w:val="29EB1DF9"/>
    <w:rsid w:val="29F9529E"/>
    <w:rsid w:val="29FB0C4A"/>
    <w:rsid w:val="2A1A4A35"/>
    <w:rsid w:val="2A2C5C27"/>
    <w:rsid w:val="2A47303A"/>
    <w:rsid w:val="2A634E6F"/>
    <w:rsid w:val="2A666E27"/>
    <w:rsid w:val="2A6D1443"/>
    <w:rsid w:val="2A9108D0"/>
    <w:rsid w:val="2AB86F7F"/>
    <w:rsid w:val="2ABA2AAB"/>
    <w:rsid w:val="2AEB5595"/>
    <w:rsid w:val="2B0671D6"/>
    <w:rsid w:val="2B222162"/>
    <w:rsid w:val="2B335E0E"/>
    <w:rsid w:val="2B3F446B"/>
    <w:rsid w:val="2B431475"/>
    <w:rsid w:val="2B6E6E46"/>
    <w:rsid w:val="2BB73849"/>
    <w:rsid w:val="2BB825DC"/>
    <w:rsid w:val="2BE51474"/>
    <w:rsid w:val="2BF1718D"/>
    <w:rsid w:val="2BF66347"/>
    <w:rsid w:val="2C60498D"/>
    <w:rsid w:val="2C6D0180"/>
    <w:rsid w:val="2C7A7F1F"/>
    <w:rsid w:val="2CAD0F7C"/>
    <w:rsid w:val="2CB47326"/>
    <w:rsid w:val="2CC002AF"/>
    <w:rsid w:val="2CD30F1E"/>
    <w:rsid w:val="2CDB35E4"/>
    <w:rsid w:val="2CFE3DDA"/>
    <w:rsid w:val="2CFF5B3E"/>
    <w:rsid w:val="2D214135"/>
    <w:rsid w:val="2D3839FD"/>
    <w:rsid w:val="2D47184D"/>
    <w:rsid w:val="2D554F0D"/>
    <w:rsid w:val="2D700CC5"/>
    <w:rsid w:val="2D814454"/>
    <w:rsid w:val="2D872AD4"/>
    <w:rsid w:val="2D92741A"/>
    <w:rsid w:val="2DBA4D56"/>
    <w:rsid w:val="2DCE4207"/>
    <w:rsid w:val="2DD22F99"/>
    <w:rsid w:val="2DDE4804"/>
    <w:rsid w:val="2DE3328B"/>
    <w:rsid w:val="2DF217D7"/>
    <w:rsid w:val="2E0318CC"/>
    <w:rsid w:val="2E111EBD"/>
    <w:rsid w:val="2E170524"/>
    <w:rsid w:val="2E1E32FD"/>
    <w:rsid w:val="2E210D6C"/>
    <w:rsid w:val="2E212881"/>
    <w:rsid w:val="2E4A01E9"/>
    <w:rsid w:val="2E595A51"/>
    <w:rsid w:val="2E5B60B7"/>
    <w:rsid w:val="2E60480F"/>
    <w:rsid w:val="2E985FC5"/>
    <w:rsid w:val="2EB0602A"/>
    <w:rsid w:val="2EBE3C06"/>
    <w:rsid w:val="2EBF7841"/>
    <w:rsid w:val="2ED358EE"/>
    <w:rsid w:val="2EEE2C86"/>
    <w:rsid w:val="2F0C1232"/>
    <w:rsid w:val="2F2E6392"/>
    <w:rsid w:val="2F391B4B"/>
    <w:rsid w:val="2F416A85"/>
    <w:rsid w:val="2F4A179B"/>
    <w:rsid w:val="2F576CA7"/>
    <w:rsid w:val="2F5E113D"/>
    <w:rsid w:val="2F6A5512"/>
    <w:rsid w:val="2F6E3124"/>
    <w:rsid w:val="2F796A41"/>
    <w:rsid w:val="2F7C2183"/>
    <w:rsid w:val="2F7E51F7"/>
    <w:rsid w:val="2F8009F7"/>
    <w:rsid w:val="2F963A5B"/>
    <w:rsid w:val="2F9B2E54"/>
    <w:rsid w:val="2FC25887"/>
    <w:rsid w:val="2FF518FF"/>
    <w:rsid w:val="2FF84A16"/>
    <w:rsid w:val="300264A9"/>
    <w:rsid w:val="30170146"/>
    <w:rsid w:val="302E4D6E"/>
    <w:rsid w:val="30351A73"/>
    <w:rsid w:val="304030E0"/>
    <w:rsid w:val="30410381"/>
    <w:rsid w:val="30413E00"/>
    <w:rsid w:val="304271ED"/>
    <w:rsid w:val="304D57C0"/>
    <w:rsid w:val="304D64E4"/>
    <w:rsid w:val="306B3EDA"/>
    <w:rsid w:val="30721797"/>
    <w:rsid w:val="30987BDD"/>
    <w:rsid w:val="309C6EC2"/>
    <w:rsid w:val="30AC39D6"/>
    <w:rsid w:val="30AC4163"/>
    <w:rsid w:val="30B57865"/>
    <w:rsid w:val="30C7446F"/>
    <w:rsid w:val="30DE6A59"/>
    <w:rsid w:val="30E23670"/>
    <w:rsid w:val="30E469AF"/>
    <w:rsid w:val="30F008EC"/>
    <w:rsid w:val="30F64294"/>
    <w:rsid w:val="31086A12"/>
    <w:rsid w:val="310D03D5"/>
    <w:rsid w:val="31167804"/>
    <w:rsid w:val="31217F74"/>
    <w:rsid w:val="312D652D"/>
    <w:rsid w:val="313A3324"/>
    <w:rsid w:val="313C1214"/>
    <w:rsid w:val="31443202"/>
    <w:rsid w:val="314E6B6F"/>
    <w:rsid w:val="315B223F"/>
    <w:rsid w:val="3164271C"/>
    <w:rsid w:val="316558DE"/>
    <w:rsid w:val="316A549B"/>
    <w:rsid w:val="317402DA"/>
    <w:rsid w:val="318D4862"/>
    <w:rsid w:val="31997AB4"/>
    <w:rsid w:val="31AE4307"/>
    <w:rsid w:val="31B64AF6"/>
    <w:rsid w:val="31CA16E8"/>
    <w:rsid w:val="31D02818"/>
    <w:rsid w:val="31E20DA0"/>
    <w:rsid w:val="32173DD0"/>
    <w:rsid w:val="32191BC9"/>
    <w:rsid w:val="32232971"/>
    <w:rsid w:val="32281E9C"/>
    <w:rsid w:val="322A1CE7"/>
    <w:rsid w:val="322B4065"/>
    <w:rsid w:val="32375F27"/>
    <w:rsid w:val="323F7232"/>
    <w:rsid w:val="326F3B9E"/>
    <w:rsid w:val="327C5EA4"/>
    <w:rsid w:val="32911ECF"/>
    <w:rsid w:val="32B45193"/>
    <w:rsid w:val="32D24E42"/>
    <w:rsid w:val="32D96412"/>
    <w:rsid w:val="33136995"/>
    <w:rsid w:val="33460691"/>
    <w:rsid w:val="335B47C3"/>
    <w:rsid w:val="335C29F4"/>
    <w:rsid w:val="337B53C6"/>
    <w:rsid w:val="33B43F5E"/>
    <w:rsid w:val="33BE0F43"/>
    <w:rsid w:val="33D16BE5"/>
    <w:rsid w:val="33D823BA"/>
    <w:rsid w:val="33F0494C"/>
    <w:rsid w:val="33F87401"/>
    <w:rsid w:val="33FE0DFE"/>
    <w:rsid w:val="34047B90"/>
    <w:rsid w:val="34085B12"/>
    <w:rsid w:val="3416373C"/>
    <w:rsid w:val="3420430B"/>
    <w:rsid w:val="34292148"/>
    <w:rsid w:val="343667DC"/>
    <w:rsid w:val="343E7B9A"/>
    <w:rsid w:val="345204C5"/>
    <w:rsid w:val="345C4136"/>
    <w:rsid w:val="34670D2E"/>
    <w:rsid w:val="349C2FAD"/>
    <w:rsid w:val="34A114AC"/>
    <w:rsid w:val="34BB6589"/>
    <w:rsid w:val="34BC2F22"/>
    <w:rsid w:val="34C1028C"/>
    <w:rsid w:val="34D35D3B"/>
    <w:rsid w:val="34EB0EDC"/>
    <w:rsid w:val="35035899"/>
    <w:rsid w:val="3508259E"/>
    <w:rsid w:val="350A734C"/>
    <w:rsid w:val="352614D6"/>
    <w:rsid w:val="352A4D1D"/>
    <w:rsid w:val="35317982"/>
    <w:rsid w:val="35396221"/>
    <w:rsid w:val="353A1169"/>
    <w:rsid w:val="353E58A2"/>
    <w:rsid w:val="354C0FB9"/>
    <w:rsid w:val="354F54A5"/>
    <w:rsid w:val="35647EFA"/>
    <w:rsid w:val="356B6B24"/>
    <w:rsid w:val="356E0EF1"/>
    <w:rsid w:val="357109C3"/>
    <w:rsid w:val="35813370"/>
    <w:rsid w:val="35850833"/>
    <w:rsid w:val="359631D8"/>
    <w:rsid w:val="35963ACB"/>
    <w:rsid w:val="3596586A"/>
    <w:rsid w:val="3598247C"/>
    <w:rsid w:val="359C6A5B"/>
    <w:rsid w:val="35B37D8C"/>
    <w:rsid w:val="35BA296F"/>
    <w:rsid w:val="35BB2041"/>
    <w:rsid w:val="35DA45BE"/>
    <w:rsid w:val="36195D00"/>
    <w:rsid w:val="36213934"/>
    <w:rsid w:val="36216EBF"/>
    <w:rsid w:val="36265108"/>
    <w:rsid w:val="362B6716"/>
    <w:rsid w:val="36302741"/>
    <w:rsid w:val="36305FB1"/>
    <w:rsid w:val="36353FDF"/>
    <w:rsid w:val="363B4509"/>
    <w:rsid w:val="36433A4F"/>
    <w:rsid w:val="36455A74"/>
    <w:rsid w:val="364B5385"/>
    <w:rsid w:val="36591F0B"/>
    <w:rsid w:val="365E7C5F"/>
    <w:rsid w:val="36635972"/>
    <w:rsid w:val="367648AE"/>
    <w:rsid w:val="3684153A"/>
    <w:rsid w:val="36892E87"/>
    <w:rsid w:val="368C3D46"/>
    <w:rsid w:val="369D2973"/>
    <w:rsid w:val="369E0FB4"/>
    <w:rsid w:val="36AA3953"/>
    <w:rsid w:val="36C053E7"/>
    <w:rsid w:val="36D265D7"/>
    <w:rsid w:val="36E5554A"/>
    <w:rsid w:val="36E7762C"/>
    <w:rsid w:val="36EC4DBE"/>
    <w:rsid w:val="371B7969"/>
    <w:rsid w:val="371E16CD"/>
    <w:rsid w:val="372427CC"/>
    <w:rsid w:val="374C146E"/>
    <w:rsid w:val="37626512"/>
    <w:rsid w:val="377759CE"/>
    <w:rsid w:val="377E312D"/>
    <w:rsid w:val="37964619"/>
    <w:rsid w:val="37A12122"/>
    <w:rsid w:val="37C77C02"/>
    <w:rsid w:val="37CB5B1F"/>
    <w:rsid w:val="37DA1E51"/>
    <w:rsid w:val="37E476A4"/>
    <w:rsid w:val="37F05EF9"/>
    <w:rsid w:val="3807440D"/>
    <w:rsid w:val="38080C07"/>
    <w:rsid w:val="38150AC2"/>
    <w:rsid w:val="382251CE"/>
    <w:rsid w:val="38291C0E"/>
    <w:rsid w:val="383D288E"/>
    <w:rsid w:val="3844659C"/>
    <w:rsid w:val="38594E4B"/>
    <w:rsid w:val="386A3B68"/>
    <w:rsid w:val="38990F7D"/>
    <w:rsid w:val="38A17483"/>
    <w:rsid w:val="38CC31CD"/>
    <w:rsid w:val="38D4026E"/>
    <w:rsid w:val="38D410C6"/>
    <w:rsid w:val="38F27719"/>
    <w:rsid w:val="390B12F7"/>
    <w:rsid w:val="39192CB3"/>
    <w:rsid w:val="392B0CF3"/>
    <w:rsid w:val="392E230A"/>
    <w:rsid w:val="393E3B7C"/>
    <w:rsid w:val="393E4DD8"/>
    <w:rsid w:val="3942533A"/>
    <w:rsid w:val="39582E9E"/>
    <w:rsid w:val="396E4FE0"/>
    <w:rsid w:val="39760AE2"/>
    <w:rsid w:val="398A78E0"/>
    <w:rsid w:val="39A95BE7"/>
    <w:rsid w:val="39AE34CE"/>
    <w:rsid w:val="39B74C45"/>
    <w:rsid w:val="39C16BF0"/>
    <w:rsid w:val="39CE3652"/>
    <w:rsid w:val="39D76924"/>
    <w:rsid w:val="39F84128"/>
    <w:rsid w:val="39F97DA1"/>
    <w:rsid w:val="3A036432"/>
    <w:rsid w:val="3A0B0BA8"/>
    <w:rsid w:val="3A0D10F6"/>
    <w:rsid w:val="3A1129C6"/>
    <w:rsid w:val="3A150C8C"/>
    <w:rsid w:val="3A2836BD"/>
    <w:rsid w:val="3A431D19"/>
    <w:rsid w:val="3A496337"/>
    <w:rsid w:val="3A583030"/>
    <w:rsid w:val="3A6A562F"/>
    <w:rsid w:val="3A6E47D2"/>
    <w:rsid w:val="3A710C6C"/>
    <w:rsid w:val="3A772FA6"/>
    <w:rsid w:val="3A807062"/>
    <w:rsid w:val="3A8A22C7"/>
    <w:rsid w:val="3A9C6018"/>
    <w:rsid w:val="3AA10F64"/>
    <w:rsid w:val="3ABD41B0"/>
    <w:rsid w:val="3AD24298"/>
    <w:rsid w:val="3AE6173B"/>
    <w:rsid w:val="3AE74585"/>
    <w:rsid w:val="3B013800"/>
    <w:rsid w:val="3B041021"/>
    <w:rsid w:val="3B056153"/>
    <w:rsid w:val="3B282193"/>
    <w:rsid w:val="3B3F6BED"/>
    <w:rsid w:val="3B4C0765"/>
    <w:rsid w:val="3B522702"/>
    <w:rsid w:val="3B525945"/>
    <w:rsid w:val="3B697B3E"/>
    <w:rsid w:val="3B6A1469"/>
    <w:rsid w:val="3B6E252F"/>
    <w:rsid w:val="3BD569B2"/>
    <w:rsid w:val="3BD66A3C"/>
    <w:rsid w:val="3BEE707C"/>
    <w:rsid w:val="3BF23CDD"/>
    <w:rsid w:val="3BF41645"/>
    <w:rsid w:val="3BFC38B0"/>
    <w:rsid w:val="3BFE2AF3"/>
    <w:rsid w:val="3C1310F1"/>
    <w:rsid w:val="3C175A2F"/>
    <w:rsid w:val="3C1873A7"/>
    <w:rsid w:val="3C3A13A7"/>
    <w:rsid w:val="3C3C63BB"/>
    <w:rsid w:val="3C535440"/>
    <w:rsid w:val="3C657C44"/>
    <w:rsid w:val="3C7A5D79"/>
    <w:rsid w:val="3C7F587D"/>
    <w:rsid w:val="3C824E86"/>
    <w:rsid w:val="3C9C592A"/>
    <w:rsid w:val="3C9F27D1"/>
    <w:rsid w:val="3CAD550E"/>
    <w:rsid w:val="3CBD003B"/>
    <w:rsid w:val="3CC268A3"/>
    <w:rsid w:val="3CCC59E1"/>
    <w:rsid w:val="3CD64A1A"/>
    <w:rsid w:val="3CDA62C9"/>
    <w:rsid w:val="3CDF0069"/>
    <w:rsid w:val="3CDF53DA"/>
    <w:rsid w:val="3CED04E1"/>
    <w:rsid w:val="3CFC4056"/>
    <w:rsid w:val="3D000214"/>
    <w:rsid w:val="3D0078E9"/>
    <w:rsid w:val="3D1206D7"/>
    <w:rsid w:val="3D31488D"/>
    <w:rsid w:val="3D3B30D4"/>
    <w:rsid w:val="3D405D54"/>
    <w:rsid w:val="3D4C4099"/>
    <w:rsid w:val="3D6468D0"/>
    <w:rsid w:val="3D82391C"/>
    <w:rsid w:val="3D827465"/>
    <w:rsid w:val="3D9F5E93"/>
    <w:rsid w:val="3DAC4831"/>
    <w:rsid w:val="3DAE154E"/>
    <w:rsid w:val="3DC53C41"/>
    <w:rsid w:val="3DC71787"/>
    <w:rsid w:val="3DDC53EB"/>
    <w:rsid w:val="3DE54669"/>
    <w:rsid w:val="3DEC0851"/>
    <w:rsid w:val="3DFC59AE"/>
    <w:rsid w:val="3DFE12FD"/>
    <w:rsid w:val="3E15643E"/>
    <w:rsid w:val="3E1B3411"/>
    <w:rsid w:val="3E1D3BDF"/>
    <w:rsid w:val="3E2A7FAD"/>
    <w:rsid w:val="3E396F05"/>
    <w:rsid w:val="3E406FC2"/>
    <w:rsid w:val="3E4E2DCC"/>
    <w:rsid w:val="3E5752EB"/>
    <w:rsid w:val="3E586CEC"/>
    <w:rsid w:val="3E5E6AF9"/>
    <w:rsid w:val="3E6C1C36"/>
    <w:rsid w:val="3E726EF0"/>
    <w:rsid w:val="3E8255D6"/>
    <w:rsid w:val="3E8C733D"/>
    <w:rsid w:val="3E92322E"/>
    <w:rsid w:val="3E972C22"/>
    <w:rsid w:val="3EC13FF1"/>
    <w:rsid w:val="3EC15D38"/>
    <w:rsid w:val="3EC16804"/>
    <w:rsid w:val="3EC41EBA"/>
    <w:rsid w:val="3ED60BF4"/>
    <w:rsid w:val="3EEA150B"/>
    <w:rsid w:val="3EF06785"/>
    <w:rsid w:val="3F0765F6"/>
    <w:rsid w:val="3F1211DB"/>
    <w:rsid w:val="3F150932"/>
    <w:rsid w:val="3F256A13"/>
    <w:rsid w:val="3F3354F1"/>
    <w:rsid w:val="3F3D7794"/>
    <w:rsid w:val="3F446ADE"/>
    <w:rsid w:val="3F4C451C"/>
    <w:rsid w:val="3F534539"/>
    <w:rsid w:val="3F570C58"/>
    <w:rsid w:val="3F700443"/>
    <w:rsid w:val="3F8079D7"/>
    <w:rsid w:val="3F9F32BC"/>
    <w:rsid w:val="3FDC7131"/>
    <w:rsid w:val="3FFB0640"/>
    <w:rsid w:val="3FFB393B"/>
    <w:rsid w:val="3FFD22C0"/>
    <w:rsid w:val="40052F40"/>
    <w:rsid w:val="40071D8E"/>
    <w:rsid w:val="400B2798"/>
    <w:rsid w:val="401209E2"/>
    <w:rsid w:val="401933D6"/>
    <w:rsid w:val="402B6000"/>
    <w:rsid w:val="403C30BA"/>
    <w:rsid w:val="403D0357"/>
    <w:rsid w:val="40464190"/>
    <w:rsid w:val="404B301C"/>
    <w:rsid w:val="40527BAC"/>
    <w:rsid w:val="4058270C"/>
    <w:rsid w:val="405A1A3A"/>
    <w:rsid w:val="405D67DD"/>
    <w:rsid w:val="405E228D"/>
    <w:rsid w:val="40677BEC"/>
    <w:rsid w:val="406E4E20"/>
    <w:rsid w:val="40720027"/>
    <w:rsid w:val="40733A1E"/>
    <w:rsid w:val="40861C21"/>
    <w:rsid w:val="409F309F"/>
    <w:rsid w:val="40A97695"/>
    <w:rsid w:val="40AD7C58"/>
    <w:rsid w:val="40BE757F"/>
    <w:rsid w:val="40C544E2"/>
    <w:rsid w:val="40CF1A6F"/>
    <w:rsid w:val="40D410AA"/>
    <w:rsid w:val="40DA706C"/>
    <w:rsid w:val="40F10694"/>
    <w:rsid w:val="40FC49C0"/>
    <w:rsid w:val="41091158"/>
    <w:rsid w:val="411277D0"/>
    <w:rsid w:val="411B1941"/>
    <w:rsid w:val="412D4440"/>
    <w:rsid w:val="412D754D"/>
    <w:rsid w:val="41313C80"/>
    <w:rsid w:val="41362621"/>
    <w:rsid w:val="413F4DBC"/>
    <w:rsid w:val="4153743E"/>
    <w:rsid w:val="4162152B"/>
    <w:rsid w:val="416F7509"/>
    <w:rsid w:val="417352A6"/>
    <w:rsid w:val="41753BBC"/>
    <w:rsid w:val="41786484"/>
    <w:rsid w:val="417C6B36"/>
    <w:rsid w:val="41806652"/>
    <w:rsid w:val="41843A21"/>
    <w:rsid w:val="41921B67"/>
    <w:rsid w:val="41A549F9"/>
    <w:rsid w:val="41AE35EF"/>
    <w:rsid w:val="41B215C0"/>
    <w:rsid w:val="41CC36D8"/>
    <w:rsid w:val="41D55254"/>
    <w:rsid w:val="41D94930"/>
    <w:rsid w:val="41F3791B"/>
    <w:rsid w:val="41F50A57"/>
    <w:rsid w:val="41F73257"/>
    <w:rsid w:val="420C22B3"/>
    <w:rsid w:val="4216798C"/>
    <w:rsid w:val="421D09E5"/>
    <w:rsid w:val="42374298"/>
    <w:rsid w:val="423B28FB"/>
    <w:rsid w:val="423C4C59"/>
    <w:rsid w:val="424B0B69"/>
    <w:rsid w:val="425422F4"/>
    <w:rsid w:val="425A3964"/>
    <w:rsid w:val="425B2592"/>
    <w:rsid w:val="427E6F3E"/>
    <w:rsid w:val="42915FE2"/>
    <w:rsid w:val="42A81D90"/>
    <w:rsid w:val="42AC3298"/>
    <w:rsid w:val="42B15AA0"/>
    <w:rsid w:val="42B31753"/>
    <w:rsid w:val="42B66B95"/>
    <w:rsid w:val="42C40E77"/>
    <w:rsid w:val="42D125AC"/>
    <w:rsid w:val="42D86DA0"/>
    <w:rsid w:val="42DA066A"/>
    <w:rsid w:val="42DF09D7"/>
    <w:rsid w:val="42DF656D"/>
    <w:rsid w:val="433B035F"/>
    <w:rsid w:val="434128D9"/>
    <w:rsid w:val="4347644B"/>
    <w:rsid w:val="435B3BA9"/>
    <w:rsid w:val="435F67D1"/>
    <w:rsid w:val="438D06EF"/>
    <w:rsid w:val="4390061F"/>
    <w:rsid w:val="439F7560"/>
    <w:rsid w:val="43A53BB7"/>
    <w:rsid w:val="43FE0737"/>
    <w:rsid w:val="440D155A"/>
    <w:rsid w:val="44192D39"/>
    <w:rsid w:val="44200CA3"/>
    <w:rsid w:val="442F4F02"/>
    <w:rsid w:val="44386408"/>
    <w:rsid w:val="4445042F"/>
    <w:rsid w:val="444A7FC7"/>
    <w:rsid w:val="445B1FCF"/>
    <w:rsid w:val="44694707"/>
    <w:rsid w:val="446A4DB9"/>
    <w:rsid w:val="448075C8"/>
    <w:rsid w:val="449966C0"/>
    <w:rsid w:val="44A206D5"/>
    <w:rsid w:val="44B75F9F"/>
    <w:rsid w:val="44B95A75"/>
    <w:rsid w:val="44B97050"/>
    <w:rsid w:val="44BF4D81"/>
    <w:rsid w:val="44CB4381"/>
    <w:rsid w:val="44D75152"/>
    <w:rsid w:val="45097354"/>
    <w:rsid w:val="450F5F97"/>
    <w:rsid w:val="45222299"/>
    <w:rsid w:val="452B604A"/>
    <w:rsid w:val="4534375C"/>
    <w:rsid w:val="45643C2B"/>
    <w:rsid w:val="456B5DAF"/>
    <w:rsid w:val="45837C34"/>
    <w:rsid w:val="45A3114D"/>
    <w:rsid w:val="45A44508"/>
    <w:rsid w:val="45D37E05"/>
    <w:rsid w:val="45FC411A"/>
    <w:rsid w:val="46047A34"/>
    <w:rsid w:val="460971F7"/>
    <w:rsid w:val="460D32A9"/>
    <w:rsid w:val="462C7755"/>
    <w:rsid w:val="4633434E"/>
    <w:rsid w:val="463851CA"/>
    <w:rsid w:val="464F1FD3"/>
    <w:rsid w:val="466040E9"/>
    <w:rsid w:val="467E38C6"/>
    <w:rsid w:val="46803403"/>
    <w:rsid w:val="46B31AF3"/>
    <w:rsid w:val="46C006C8"/>
    <w:rsid w:val="46C72B7A"/>
    <w:rsid w:val="46C80F50"/>
    <w:rsid w:val="46ED39B8"/>
    <w:rsid w:val="46F04E55"/>
    <w:rsid w:val="46F56CFE"/>
    <w:rsid w:val="46F80524"/>
    <w:rsid w:val="47073B88"/>
    <w:rsid w:val="47176C8A"/>
    <w:rsid w:val="4732427F"/>
    <w:rsid w:val="47442952"/>
    <w:rsid w:val="47633313"/>
    <w:rsid w:val="47745024"/>
    <w:rsid w:val="477C1B1F"/>
    <w:rsid w:val="4790168C"/>
    <w:rsid w:val="479036C3"/>
    <w:rsid w:val="479341B9"/>
    <w:rsid w:val="47A13949"/>
    <w:rsid w:val="47A86274"/>
    <w:rsid w:val="47BD5385"/>
    <w:rsid w:val="47C31A67"/>
    <w:rsid w:val="47C70B5E"/>
    <w:rsid w:val="47C830A3"/>
    <w:rsid w:val="47D6387D"/>
    <w:rsid w:val="47E512D1"/>
    <w:rsid w:val="47ED49F4"/>
    <w:rsid w:val="47F04ACD"/>
    <w:rsid w:val="480E255B"/>
    <w:rsid w:val="481E35A7"/>
    <w:rsid w:val="4822700A"/>
    <w:rsid w:val="4833467E"/>
    <w:rsid w:val="4835757F"/>
    <w:rsid w:val="483D6FF0"/>
    <w:rsid w:val="48510A0F"/>
    <w:rsid w:val="486108DD"/>
    <w:rsid w:val="48624CCD"/>
    <w:rsid w:val="486505ED"/>
    <w:rsid w:val="48746809"/>
    <w:rsid w:val="4895759E"/>
    <w:rsid w:val="48A516AF"/>
    <w:rsid w:val="48AC2280"/>
    <w:rsid w:val="48B11831"/>
    <w:rsid w:val="48BC31D9"/>
    <w:rsid w:val="48C26FBA"/>
    <w:rsid w:val="48D32900"/>
    <w:rsid w:val="48D3661F"/>
    <w:rsid w:val="48DB2D7F"/>
    <w:rsid w:val="48E97F85"/>
    <w:rsid w:val="48FF417B"/>
    <w:rsid w:val="49094B27"/>
    <w:rsid w:val="491F2C59"/>
    <w:rsid w:val="49306B8F"/>
    <w:rsid w:val="493177B5"/>
    <w:rsid w:val="49327D64"/>
    <w:rsid w:val="4938498A"/>
    <w:rsid w:val="4952321F"/>
    <w:rsid w:val="495C014A"/>
    <w:rsid w:val="496E5EC8"/>
    <w:rsid w:val="497F1DEC"/>
    <w:rsid w:val="498B3CAF"/>
    <w:rsid w:val="49996903"/>
    <w:rsid w:val="49A474CC"/>
    <w:rsid w:val="49A964E4"/>
    <w:rsid w:val="49B10CAB"/>
    <w:rsid w:val="49CA097B"/>
    <w:rsid w:val="49DE2F1E"/>
    <w:rsid w:val="49E06BD8"/>
    <w:rsid w:val="49E422AB"/>
    <w:rsid w:val="49F04995"/>
    <w:rsid w:val="4A13765E"/>
    <w:rsid w:val="4A215DFA"/>
    <w:rsid w:val="4A2950B9"/>
    <w:rsid w:val="4A775ECE"/>
    <w:rsid w:val="4A99456A"/>
    <w:rsid w:val="4AA619A4"/>
    <w:rsid w:val="4AED48C9"/>
    <w:rsid w:val="4B0B07CB"/>
    <w:rsid w:val="4B207E7A"/>
    <w:rsid w:val="4B211E5C"/>
    <w:rsid w:val="4B2C53D4"/>
    <w:rsid w:val="4B3131C7"/>
    <w:rsid w:val="4B4B4266"/>
    <w:rsid w:val="4B510DF5"/>
    <w:rsid w:val="4B632958"/>
    <w:rsid w:val="4B816D8F"/>
    <w:rsid w:val="4BA95D3F"/>
    <w:rsid w:val="4BC15012"/>
    <w:rsid w:val="4BCC58BE"/>
    <w:rsid w:val="4BEA51E6"/>
    <w:rsid w:val="4BF16A0B"/>
    <w:rsid w:val="4BF35BEC"/>
    <w:rsid w:val="4BFD094E"/>
    <w:rsid w:val="4C17096B"/>
    <w:rsid w:val="4C187F32"/>
    <w:rsid w:val="4C202E8C"/>
    <w:rsid w:val="4C4B7C0E"/>
    <w:rsid w:val="4C552003"/>
    <w:rsid w:val="4C5F18BA"/>
    <w:rsid w:val="4C605BCB"/>
    <w:rsid w:val="4C6C362B"/>
    <w:rsid w:val="4C6F3638"/>
    <w:rsid w:val="4C8175D8"/>
    <w:rsid w:val="4C8244CC"/>
    <w:rsid w:val="4C852DD0"/>
    <w:rsid w:val="4C8A6BA3"/>
    <w:rsid w:val="4C9233FB"/>
    <w:rsid w:val="4C933CBC"/>
    <w:rsid w:val="4CBC39D2"/>
    <w:rsid w:val="4CCC5CE0"/>
    <w:rsid w:val="4CCE4072"/>
    <w:rsid w:val="4CE06B89"/>
    <w:rsid w:val="4CFD1E79"/>
    <w:rsid w:val="4D1C51F0"/>
    <w:rsid w:val="4D301558"/>
    <w:rsid w:val="4D410978"/>
    <w:rsid w:val="4D436C97"/>
    <w:rsid w:val="4D5D2B13"/>
    <w:rsid w:val="4D644903"/>
    <w:rsid w:val="4D664D29"/>
    <w:rsid w:val="4D665181"/>
    <w:rsid w:val="4D670A49"/>
    <w:rsid w:val="4D782B88"/>
    <w:rsid w:val="4D822429"/>
    <w:rsid w:val="4D846D05"/>
    <w:rsid w:val="4D914889"/>
    <w:rsid w:val="4DA97D85"/>
    <w:rsid w:val="4DB46E04"/>
    <w:rsid w:val="4DB753E5"/>
    <w:rsid w:val="4DBA555D"/>
    <w:rsid w:val="4DBD5167"/>
    <w:rsid w:val="4DCF1CB7"/>
    <w:rsid w:val="4DD721E9"/>
    <w:rsid w:val="4DD7746D"/>
    <w:rsid w:val="4DD87202"/>
    <w:rsid w:val="4DE23F4C"/>
    <w:rsid w:val="4E042FB0"/>
    <w:rsid w:val="4E345FCE"/>
    <w:rsid w:val="4E3934D0"/>
    <w:rsid w:val="4E400F56"/>
    <w:rsid w:val="4E63233D"/>
    <w:rsid w:val="4E6406D8"/>
    <w:rsid w:val="4E6C5709"/>
    <w:rsid w:val="4E7D1B36"/>
    <w:rsid w:val="4E9625EB"/>
    <w:rsid w:val="4EA21FB2"/>
    <w:rsid w:val="4EA31FF5"/>
    <w:rsid w:val="4EAE46E7"/>
    <w:rsid w:val="4EC029BF"/>
    <w:rsid w:val="4EDE6BE3"/>
    <w:rsid w:val="4EFB6E88"/>
    <w:rsid w:val="4F037A02"/>
    <w:rsid w:val="4F0B1245"/>
    <w:rsid w:val="4F0C2C97"/>
    <w:rsid w:val="4F165618"/>
    <w:rsid w:val="4F1B4655"/>
    <w:rsid w:val="4F430882"/>
    <w:rsid w:val="4F694150"/>
    <w:rsid w:val="4F833F7B"/>
    <w:rsid w:val="4F8E53A1"/>
    <w:rsid w:val="4FA67F7F"/>
    <w:rsid w:val="4FB42D33"/>
    <w:rsid w:val="4FBC4603"/>
    <w:rsid w:val="4FBE0631"/>
    <w:rsid w:val="4FC2333F"/>
    <w:rsid w:val="4FD2129E"/>
    <w:rsid w:val="4FDD4992"/>
    <w:rsid w:val="4FE13F1E"/>
    <w:rsid w:val="4FFE2841"/>
    <w:rsid w:val="5018399D"/>
    <w:rsid w:val="502674AA"/>
    <w:rsid w:val="50442D67"/>
    <w:rsid w:val="504B6EFE"/>
    <w:rsid w:val="505C3B1C"/>
    <w:rsid w:val="505E6B19"/>
    <w:rsid w:val="50604326"/>
    <w:rsid w:val="50621CC9"/>
    <w:rsid w:val="5080021A"/>
    <w:rsid w:val="508D6BDF"/>
    <w:rsid w:val="50945E4A"/>
    <w:rsid w:val="50B50FAA"/>
    <w:rsid w:val="50CA7D2F"/>
    <w:rsid w:val="50D93747"/>
    <w:rsid w:val="50DB6B76"/>
    <w:rsid w:val="50EE20FC"/>
    <w:rsid w:val="51092DE2"/>
    <w:rsid w:val="51185772"/>
    <w:rsid w:val="511B2D7E"/>
    <w:rsid w:val="511B5350"/>
    <w:rsid w:val="511F63B7"/>
    <w:rsid w:val="51327174"/>
    <w:rsid w:val="513820D3"/>
    <w:rsid w:val="51427024"/>
    <w:rsid w:val="514E30B3"/>
    <w:rsid w:val="514F735F"/>
    <w:rsid w:val="514F790D"/>
    <w:rsid w:val="515016DE"/>
    <w:rsid w:val="51534B92"/>
    <w:rsid w:val="51554313"/>
    <w:rsid w:val="515A361F"/>
    <w:rsid w:val="517D4192"/>
    <w:rsid w:val="51A0747A"/>
    <w:rsid w:val="51B9692C"/>
    <w:rsid w:val="51CF2A26"/>
    <w:rsid w:val="51D44457"/>
    <w:rsid w:val="51D948CF"/>
    <w:rsid w:val="51E97DBA"/>
    <w:rsid w:val="51F02C6C"/>
    <w:rsid w:val="51FE7A47"/>
    <w:rsid w:val="520425D5"/>
    <w:rsid w:val="52120224"/>
    <w:rsid w:val="52121401"/>
    <w:rsid w:val="5212268E"/>
    <w:rsid w:val="521F1BAA"/>
    <w:rsid w:val="524D574B"/>
    <w:rsid w:val="524F6904"/>
    <w:rsid w:val="52696F30"/>
    <w:rsid w:val="52755043"/>
    <w:rsid w:val="527B5A53"/>
    <w:rsid w:val="528C3307"/>
    <w:rsid w:val="52B56830"/>
    <w:rsid w:val="52B81F3F"/>
    <w:rsid w:val="52C27D16"/>
    <w:rsid w:val="52C4218B"/>
    <w:rsid w:val="52DC52A5"/>
    <w:rsid w:val="52FA1245"/>
    <w:rsid w:val="53055D15"/>
    <w:rsid w:val="53075102"/>
    <w:rsid w:val="5336777D"/>
    <w:rsid w:val="5338796A"/>
    <w:rsid w:val="533B1B4E"/>
    <w:rsid w:val="533C591D"/>
    <w:rsid w:val="533D0AD5"/>
    <w:rsid w:val="534A5FC3"/>
    <w:rsid w:val="535947AD"/>
    <w:rsid w:val="53605FFB"/>
    <w:rsid w:val="53620E89"/>
    <w:rsid w:val="536C109B"/>
    <w:rsid w:val="53812275"/>
    <w:rsid w:val="53853765"/>
    <w:rsid w:val="53870C12"/>
    <w:rsid w:val="538B53A8"/>
    <w:rsid w:val="53912C22"/>
    <w:rsid w:val="53923813"/>
    <w:rsid w:val="539F782B"/>
    <w:rsid w:val="53AE00B7"/>
    <w:rsid w:val="53BC4C22"/>
    <w:rsid w:val="53C33D52"/>
    <w:rsid w:val="53CA086C"/>
    <w:rsid w:val="53DB6E8D"/>
    <w:rsid w:val="53E630A9"/>
    <w:rsid w:val="53EA7A4A"/>
    <w:rsid w:val="53ED7166"/>
    <w:rsid w:val="53EE40B6"/>
    <w:rsid w:val="53F0160A"/>
    <w:rsid w:val="53F7424C"/>
    <w:rsid w:val="541A1242"/>
    <w:rsid w:val="54375C5B"/>
    <w:rsid w:val="543A0C73"/>
    <w:rsid w:val="543B7856"/>
    <w:rsid w:val="544354B2"/>
    <w:rsid w:val="544E1931"/>
    <w:rsid w:val="545F4E51"/>
    <w:rsid w:val="54732EDF"/>
    <w:rsid w:val="547C5971"/>
    <w:rsid w:val="549676B4"/>
    <w:rsid w:val="54A2637A"/>
    <w:rsid w:val="54AB1461"/>
    <w:rsid w:val="54C16123"/>
    <w:rsid w:val="54F50594"/>
    <w:rsid w:val="55066DF8"/>
    <w:rsid w:val="55201DF9"/>
    <w:rsid w:val="5543340D"/>
    <w:rsid w:val="55437D85"/>
    <w:rsid w:val="554B1EBB"/>
    <w:rsid w:val="55510400"/>
    <w:rsid w:val="556201C7"/>
    <w:rsid w:val="556269B1"/>
    <w:rsid w:val="557C68F0"/>
    <w:rsid w:val="558E316A"/>
    <w:rsid w:val="55A56348"/>
    <w:rsid w:val="55A6520C"/>
    <w:rsid w:val="55B71AFC"/>
    <w:rsid w:val="55BE773C"/>
    <w:rsid w:val="55BF6EDD"/>
    <w:rsid w:val="55C86728"/>
    <w:rsid w:val="55C868B4"/>
    <w:rsid w:val="55D3484B"/>
    <w:rsid w:val="55DD0F38"/>
    <w:rsid w:val="55EE4C56"/>
    <w:rsid w:val="55EF325F"/>
    <w:rsid w:val="56004F79"/>
    <w:rsid w:val="560727AA"/>
    <w:rsid w:val="560821BF"/>
    <w:rsid w:val="56161DDE"/>
    <w:rsid w:val="562D05AC"/>
    <w:rsid w:val="563A0D7F"/>
    <w:rsid w:val="564E47DF"/>
    <w:rsid w:val="5665152F"/>
    <w:rsid w:val="566B780D"/>
    <w:rsid w:val="56717635"/>
    <w:rsid w:val="56724C56"/>
    <w:rsid w:val="56857436"/>
    <w:rsid w:val="56864765"/>
    <w:rsid w:val="569430D0"/>
    <w:rsid w:val="56A578DF"/>
    <w:rsid w:val="56A81833"/>
    <w:rsid w:val="56AB466F"/>
    <w:rsid w:val="56C3752D"/>
    <w:rsid w:val="56C40D10"/>
    <w:rsid w:val="56CD3906"/>
    <w:rsid w:val="56D91C2B"/>
    <w:rsid w:val="56D95906"/>
    <w:rsid w:val="56D979CA"/>
    <w:rsid w:val="56E95684"/>
    <w:rsid w:val="56EF2A6F"/>
    <w:rsid w:val="56F26338"/>
    <w:rsid w:val="56F614C6"/>
    <w:rsid w:val="57074F72"/>
    <w:rsid w:val="570B7244"/>
    <w:rsid w:val="572B372D"/>
    <w:rsid w:val="572E4D78"/>
    <w:rsid w:val="573E3284"/>
    <w:rsid w:val="574505A5"/>
    <w:rsid w:val="574C3276"/>
    <w:rsid w:val="57504E1B"/>
    <w:rsid w:val="57603A96"/>
    <w:rsid w:val="57646E6B"/>
    <w:rsid w:val="57773597"/>
    <w:rsid w:val="5778062F"/>
    <w:rsid w:val="57910B86"/>
    <w:rsid w:val="57976DCF"/>
    <w:rsid w:val="57A01F2C"/>
    <w:rsid w:val="57AA72A2"/>
    <w:rsid w:val="57D9171A"/>
    <w:rsid w:val="57E04923"/>
    <w:rsid w:val="57E96A55"/>
    <w:rsid w:val="580C0749"/>
    <w:rsid w:val="580C5538"/>
    <w:rsid w:val="582B317B"/>
    <w:rsid w:val="582C615D"/>
    <w:rsid w:val="5863647D"/>
    <w:rsid w:val="587D5FA1"/>
    <w:rsid w:val="588668A7"/>
    <w:rsid w:val="58884EEB"/>
    <w:rsid w:val="588B3492"/>
    <w:rsid w:val="58990B83"/>
    <w:rsid w:val="58A37A71"/>
    <w:rsid w:val="58C8281B"/>
    <w:rsid w:val="58CB3690"/>
    <w:rsid w:val="58E94582"/>
    <w:rsid w:val="58EC3BD2"/>
    <w:rsid w:val="592D534B"/>
    <w:rsid w:val="5943032E"/>
    <w:rsid w:val="595529BC"/>
    <w:rsid w:val="595E2843"/>
    <w:rsid w:val="596B2A1B"/>
    <w:rsid w:val="5979039B"/>
    <w:rsid w:val="59957B2D"/>
    <w:rsid w:val="599A4BC7"/>
    <w:rsid w:val="59A70FBF"/>
    <w:rsid w:val="59C2337F"/>
    <w:rsid w:val="59CF5C51"/>
    <w:rsid w:val="59DB7DCB"/>
    <w:rsid w:val="59F82905"/>
    <w:rsid w:val="5A1827D7"/>
    <w:rsid w:val="5A1A6952"/>
    <w:rsid w:val="5A2428C0"/>
    <w:rsid w:val="5A4A35E0"/>
    <w:rsid w:val="5A5502E6"/>
    <w:rsid w:val="5A6C1EAC"/>
    <w:rsid w:val="5A7D05D9"/>
    <w:rsid w:val="5A7E5A8D"/>
    <w:rsid w:val="5A8C6307"/>
    <w:rsid w:val="5A8D1AF6"/>
    <w:rsid w:val="5AC74002"/>
    <w:rsid w:val="5AD5164F"/>
    <w:rsid w:val="5AE658C1"/>
    <w:rsid w:val="5AF96F4D"/>
    <w:rsid w:val="5AFE0E32"/>
    <w:rsid w:val="5B07302B"/>
    <w:rsid w:val="5B110406"/>
    <w:rsid w:val="5B2D37D8"/>
    <w:rsid w:val="5B4306FA"/>
    <w:rsid w:val="5B433F1B"/>
    <w:rsid w:val="5B4C66DC"/>
    <w:rsid w:val="5B4F2C6E"/>
    <w:rsid w:val="5B512F52"/>
    <w:rsid w:val="5B5C07EF"/>
    <w:rsid w:val="5B5F7679"/>
    <w:rsid w:val="5B743012"/>
    <w:rsid w:val="5B7D4DF5"/>
    <w:rsid w:val="5B834CE8"/>
    <w:rsid w:val="5B851133"/>
    <w:rsid w:val="5B8A71D0"/>
    <w:rsid w:val="5BBF34D0"/>
    <w:rsid w:val="5BCF47C6"/>
    <w:rsid w:val="5BD12179"/>
    <w:rsid w:val="5BD5296A"/>
    <w:rsid w:val="5BFD1618"/>
    <w:rsid w:val="5C0B48C3"/>
    <w:rsid w:val="5C1E6840"/>
    <w:rsid w:val="5C231562"/>
    <w:rsid w:val="5C364871"/>
    <w:rsid w:val="5C473180"/>
    <w:rsid w:val="5C5B4BC3"/>
    <w:rsid w:val="5C68383C"/>
    <w:rsid w:val="5C7516DA"/>
    <w:rsid w:val="5C814EFE"/>
    <w:rsid w:val="5C885A1A"/>
    <w:rsid w:val="5C89705F"/>
    <w:rsid w:val="5C943E39"/>
    <w:rsid w:val="5C9A4F25"/>
    <w:rsid w:val="5CAE639E"/>
    <w:rsid w:val="5CB20F0E"/>
    <w:rsid w:val="5CCB6833"/>
    <w:rsid w:val="5CDF63C0"/>
    <w:rsid w:val="5D11577C"/>
    <w:rsid w:val="5D27337F"/>
    <w:rsid w:val="5D41337B"/>
    <w:rsid w:val="5D46439A"/>
    <w:rsid w:val="5D5E3C1C"/>
    <w:rsid w:val="5D645BA9"/>
    <w:rsid w:val="5D790086"/>
    <w:rsid w:val="5D986A53"/>
    <w:rsid w:val="5DAF04E3"/>
    <w:rsid w:val="5DCB7129"/>
    <w:rsid w:val="5DDE4E50"/>
    <w:rsid w:val="5DE5250B"/>
    <w:rsid w:val="5E037A38"/>
    <w:rsid w:val="5E112553"/>
    <w:rsid w:val="5E1A7A7D"/>
    <w:rsid w:val="5E1C63B0"/>
    <w:rsid w:val="5E430002"/>
    <w:rsid w:val="5E440686"/>
    <w:rsid w:val="5E6D0E48"/>
    <w:rsid w:val="5E73519F"/>
    <w:rsid w:val="5E740FCF"/>
    <w:rsid w:val="5E7A5073"/>
    <w:rsid w:val="5E7D7449"/>
    <w:rsid w:val="5E8749A6"/>
    <w:rsid w:val="5E881CA2"/>
    <w:rsid w:val="5E8C2B36"/>
    <w:rsid w:val="5E905BED"/>
    <w:rsid w:val="5E9B1C8E"/>
    <w:rsid w:val="5EC43BCB"/>
    <w:rsid w:val="5ED62365"/>
    <w:rsid w:val="5ED9387E"/>
    <w:rsid w:val="5EF10B98"/>
    <w:rsid w:val="5EF46384"/>
    <w:rsid w:val="5F0B0627"/>
    <w:rsid w:val="5F1A3954"/>
    <w:rsid w:val="5F325179"/>
    <w:rsid w:val="5F352F6E"/>
    <w:rsid w:val="5F3724DD"/>
    <w:rsid w:val="5F6F43A4"/>
    <w:rsid w:val="5F711B31"/>
    <w:rsid w:val="5FA03005"/>
    <w:rsid w:val="5FA55FA4"/>
    <w:rsid w:val="5FB65418"/>
    <w:rsid w:val="5FB822EA"/>
    <w:rsid w:val="5FBA59B6"/>
    <w:rsid w:val="5FDE2A84"/>
    <w:rsid w:val="5FE36190"/>
    <w:rsid w:val="5FFE1BEF"/>
    <w:rsid w:val="60030991"/>
    <w:rsid w:val="6004036A"/>
    <w:rsid w:val="600964EC"/>
    <w:rsid w:val="60195E12"/>
    <w:rsid w:val="601C279B"/>
    <w:rsid w:val="602077D7"/>
    <w:rsid w:val="60263F44"/>
    <w:rsid w:val="6029400B"/>
    <w:rsid w:val="60357AEB"/>
    <w:rsid w:val="607B73A0"/>
    <w:rsid w:val="607E631B"/>
    <w:rsid w:val="608D6EC3"/>
    <w:rsid w:val="608E148C"/>
    <w:rsid w:val="609038D6"/>
    <w:rsid w:val="609A7FAF"/>
    <w:rsid w:val="60A90835"/>
    <w:rsid w:val="60AF1DF0"/>
    <w:rsid w:val="60B9728F"/>
    <w:rsid w:val="60E37DAF"/>
    <w:rsid w:val="60F90B63"/>
    <w:rsid w:val="60FA45E5"/>
    <w:rsid w:val="611C4A37"/>
    <w:rsid w:val="61297CE7"/>
    <w:rsid w:val="61370413"/>
    <w:rsid w:val="61736F5F"/>
    <w:rsid w:val="61954B1F"/>
    <w:rsid w:val="61AA6391"/>
    <w:rsid w:val="61AE4CF9"/>
    <w:rsid w:val="61CD578D"/>
    <w:rsid w:val="61E74B36"/>
    <w:rsid w:val="61F41D71"/>
    <w:rsid w:val="61FC06FB"/>
    <w:rsid w:val="625202D4"/>
    <w:rsid w:val="6253381E"/>
    <w:rsid w:val="62643ECC"/>
    <w:rsid w:val="626B0D43"/>
    <w:rsid w:val="626E23CC"/>
    <w:rsid w:val="6282296C"/>
    <w:rsid w:val="628938A1"/>
    <w:rsid w:val="628A3F93"/>
    <w:rsid w:val="62B339B3"/>
    <w:rsid w:val="62C53483"/>
    <w:rsid w:val="62D84CC4"/>
    <w:rsid w:val="62F37C3C"/>
    <w:rsid w:val="62FB1A91"/>
    <w:rsid w:val="630B1F0D"/>
    <w:rsid w:val="630D5BCB"/>
    <w:rsid w:val="631E706E"/>
    <w:rsid w:val="632A03F5"/>
    <w:rsid w:val="632B2CF0"/>
    <w:rsid w:val="632B5243"/>
    <w:rsid w:val="63350946"/>
    <w:rsid w:val="636E21B7"/>
    <w:rsid w:val="636F4B0E"/>
    <w:rsid w:val="6395167B"/>
    <w:rsid w:val="63A46802"/>
    <w:rsid w:val="63AE0A4C"/>
    <w:rsid w:val="63B75B9B"/>
    <w:rsid w:val="63C676C0"/>
    <w:rsid w:val="63D338BF"/>
    <w:rsid w:val="63E1126D"/>
    <w:rsid w:val="64117C7D"/>
    <w:rsid w:val="641805A1"/>
    <w:rsid w:val="641D72D7"/>
    <w:rsid w:val="642E764A"/>
    <w:rsid w:val="642F0C07"/>
    <w:rsid w:val="643F27BC"/>
    <w:rsid w:val="64661DC5"/>
    <w:rsid w:val="6477675E"/>
    <w:rsid w:val="64970359"/>
    <w:rsid w:val="6499162B"/>
    <w:rsid w:val="64A26152"/>
    <w:rsid w:val="64A33A36"/>
    <w:rsid w:val="64AD3A55"/>
    <w:rsid w:val="64AF64D4"/>
    <w:rsid w:val="64D61BE0"/>
    <w:rsid w:val="64ED082D"/>
    <w:rsid w:val="65003F6C"/>
    <w:rsid w:val="65007BD7"/>
    <w:rsid w:val="65024B2A"/>
    <w:rsid w:val="650D3417"/>
    <w:rsid w:val="65113DE6"/>
    <w:rsid w:val="6522797A"/>
    <w:rsid w:val="652905CC"/>
    <w:rsid w:val="65340851"/>
    <w:rsid w:val="65360D17"/>
    <w:rsid w:val="6536779A"/>
    <w:rsid w:val="653901D9"/>
    <w:rsid w:val="655F3110"/>
    <w:rsid w:val="655F4343"/>
    <w:rsid w:val="656A5C2B"/>
    <w:rsid w:val="65783CEC"/>
    <w:rsid w:val="657C06C9"/>
    <w:rsid w:val="658A081E"/>
    <w:rsid w:val="65945EDF"/>
    <w:rsid w:val="659959B9"/>
    <w:rsid w:val="659C2C29"/>
    <w:rsid w:val="659C4E81"/>
    <w:rsid w:val="65BA3180"/>
    <w:rsid w:val="65DD7FA7"/>
    <w:rsid w:val="65F04066"/>
    <w:rsid w:val="65FB1326"/>
    <w:rsid w:val="66092394"/>
    <w:rsid w:val="660B594C"/>
    <w:rsid w:val="660C5B07"/>
    <w:rsid w:val="662508D4"/>
    <w:rsid w:val="66305CE3"/>
    <w:rsid w:val="66342AFB"/>
    <w:rsid w:val="663D4021"/>
    <w:rsid w:val="665479C0"/>
    <w:rsid w:val="665C33B5"/>
    <w:rsid w:val="66960D31"/>
    <w:rsid w:val="669645C0"/>
    <w:rsid w:val="669B6734"/>
    <w:rsid w:val="669C1380"/>
    <w:rsid w:val="669F1C03"/>
    <w:rsid w:val="66A13EA7"/>
    <w:rsid w:val="66B02111"/>
    <w:rsid w:val="66C25E16"/>
    <w:rsid w:val="66F24EBA"/>
    <w:rsid w:val="67107E0A"/>
    <w:rsid w:val="671A6D3F"/>
    <w:rsid w:val="671B1623"/>
    <w:rsid w:val="671B306C"/>
    <w:rsid w:val="674E2688"/>
    <w:rsid w:val="6751526C"/>
    <w:rsid w:val="6752615B"/>
    <w:rsid w:val="675425B4"/>
    <w:rsid w:val="6759214B"/>
    <w:rsid w:val="675B7A67"/>
    <w:rsid w:val="676B741D"/>
    <w:rsid w:val="676F494B"/>
    <w:rsid w:val="678925B4"/>
    <w:rsid w:val="678D2A25"/>
    <w:rsid w:val="67961126"/>
    <w:rsid w:val="67993A36"/>
    <w:rsid w:val="67BE2A81"/>
    <w:rsid w:val="67C54645"/>
    <w:rsid w:val="67E61EB2"/>
    <w:rsid w:val="67E73CFA"/>
    <w:rsid w:val="67EF677F"/>
    <w:rsid w:val="67FD239F"/>
    <w:rsid w:val="68053693"/>
    <w:rsid w:val="680B473C"/>
    <w:rsid w:val="681D69E8"/>
    <w:rsid w:val="68241CAE"/>
    <w:rsid w:val="682747E2"/>
    <w:rsid w:val="682B71B3"/>
    <w:rsid w:val="68404D87"/>
    <w:rsid w:val="68516F76"/>
    <w:rsid w:val="685D7097"/>
    <w:rsid w:val="68782455"/>
    <w:rsid w:val="68891D80"/>
    <w:rsid w:val="68977CF0"/>
    <w:rsid w:val="68B763F2"/>
    <w:rsid w:val="68BF0561"/>
    <w:rsid w:val="691D2CC2"/>
    <w:rsid w:val="69236424"/>
    <w:rsid w:val="693078CB"/>
    <w:rsid w:val="69632F06"/>
    <w:rsid w:val="69693FFC"/>
    <w:rsid w:val="696D596F"/>
    <w:rsid w:val="6973249A"/>
    <w:rsid w:val="6984026D"/>
    <w:rsid w:val="69892E14"/>
    <w:rsid w:val="698A33AF"/>
    <w:rsid w:val="698C0649"/>
    <w:rsid w:val="698E6504"/>
    <w:rsid w:val="6991660F"/>
    <w:rsid w:val="69A453EC"/>
    <w:rsid w:val="69A535E4"/>
    <w:rsid w:val="69B347A0"/>
    <w:rsid w:val="69CA1267"/>
    <w:rsid w:val="69CA1F6E"/>
    <w:rsid w:val="69D955BB"/>
    <w:rsid w:val="69DB1DE1"/>
    <w:rsid w:val="69E70D48"/>
    <w:rsid w:val="69E90105"/>
    <w:rsid w:val="69F51288"/>
    <w:rsid w:val="6A012A7A"/>
    <w:rsid w:val="6A143931"/>
    <w:rsid w:val="6A1B7FC0"/>
    <w:rsid w:val="6A374AA1"/>
    <w:rsid w:val="6A3956C0"/>
    <w:rsid w:val="6A485954"/>
    <w:rsid w:val="6A543920"/>
    <w:rsid w:val="6A6872B7"/>
    <w:rsid w:val="6A9D6A90"/>
    <w:rsid w:val="6AEA1933"/>
    <w:rsid w:val="6AF26511"/>
    <w:rsid w:val="6B111CC5"/>
    <w:rsid w:val="6B34583C"/>
    <w:rsid w:val="6B4D0219"/>
    <w:rsid w:val="6B5D2FB9"/>
    <w:rsid w:val="6B683679"/>
    <w:rsid w:val="6B711058"/>
    <w:rsid w:val="6B786717"/>
    <w:rsid w:val="6B7D041E"/>
    <w:rsid w:val="6B8C1234"/>
    <w:rsid w:val="6BA00587"/>
    <w:rsid w:val="6BA20EF5"/>
    <w:rsid w:val="6BA90A33"/>
    <w:rsid w:val="6BAC0563"/>
    <w:rsid w:val="6BB75120"/>
    <w:rsid w:val="6C07060A"/>
    <w:rsid w:val="6C0D02D3"/>
    <w:rsid w:val="6C1B2EE1"/>
    <w:rsid w:val="6C1B4F71"/>
    <w:rsid w:val="6C1B5580"/>
    <w:rsid w:val="6C210F67"/>
    <w:rsid w:val="6C352654"/>
    <w:rsid w:val="6C573A75"/>
    <w:rsid w:val="6C580B74"/>
    <w:rsid w:val="6C8419B5"/>
    <w:rsid w:val="6C8F45E0"/>
    <w:rsid w:val="6C961687"/>
    <w:rsid w:val="6CA629B7"/>
    <w:rsid w:val="6CB70BA6"/>
    <w:rsid w:val="6CBF5F0A"/>
    <w:rsid w:val="6CE919C1"/>
    <w:rsid w:val="6CF64169"/>
    <w:rsid w:val="6CF64C6F"/>
    <w:rsid w:val="6CFA7E32"/>
    <w:rsid w:val="6D281ADB"/>
    <w:rsid w:val="6D480CCE"/>
    <w:rsid w:val="6D602C05"/>
    <w:rsid w:val="6D60323E"/>
    <w:rsid w:val="6D620D69"/>
    <w:rsid w:val="6D6379D5"/>
    <w:rsid w:val="6D6B6383"/>
    <w:rsid w:val="6D71773E"/>
    <w:rsid w:val="6D82796C"/>
    <w:rsid w:val="6D890795"/>
    <w:rsid w:val="6DA5111B"/>
    <w:rsid w:val="6DB46EFD"/>
    <w:rsid w:val="6DD63B36"/>
    <w:rsid w:val="6DF5108C"/>
    <w:rsid w:val="6E211296"/>
    <w:rsid w:val="6E34121C"/>
    <w:rsid w:val="6E3B26FB"/>
    <w:rsid w:val="6E5C238C"/>
    <w:rsid w:val="6E6526DB"/>
    <w:rsid w:val="6E77085E"/>
    <w:rsid w:val="6ED95CB8"/>
    <w:rsid w:val="6EDC6DC9"/>
    <w:rsid w:val="6EDC7425"/>
    <w:rsid w:val="6EEF2D3B"/>
    <w:rsid w:val="6EFC08A5"/>
    <w:rsid w:val="6F04496F"/>
    <w:rsid w:val="6F06547C"/>
    <w:rsid w:val="6F0E6ADA"/>
    <w:rsid w:val="6F114581"/>
    <w:rsid w:val="6F1872E4"/>
    <w:rsid w:val="6F1935A1"/>
    <w:rsid w:val="6F253D37"/>
    <w:rsid w:val="6F2B4ABA"/>
    <w:rsid w:val="6F3F17CF"/>
    <w:rsid w:val="6F437155"/>
    <w:rsid w:val="6F462D5F"/>
    <w:rsid w:val="6F5161A0"/>
    <w:rsid w:val="6F5D1783"/>
    <w:rsid w:val="6F5E0C47"/>
    <w:rsid w:val="6F601F49"/>
    <w:rsid w:val="6F91258E"/>
    <w:rsid w:val="6F95403B"/>
    <w:rsid w:val="6FA50601"/>
    <w:rsid w:val="6FA67EF8"/>
    <w:rsid w:val="6FAB0CB7"/>
    <w:rsid w:val="6FC54F17"/>
    <w:rsid w:val="6FCE65C6"/>
    <w:rsid w:val="6FDD201F"/>
    <w:rsid w:val="6FF01B48"/>
    <w:rsid w:val="6FFB2618"/>
    <w:rsid w:val="70234B6C"/>
    <w:rsid w:val="703220CC"/>
    <w:rsid w:val="705153BB"/>
    <w:rsid w:val="705178E0"/>
    <w:rsid w:val="705D1624"/>
    <w:rsid w:val="70672D59"/>
    <w:rsid w:val="7075101B"/>
    <w:rsid w:val="7076454E"/>
    <w:rsid w:val="707C06BD"/>
    <w:rsid w:val="70816979"/>
    <w:rsid w:val="70826935"/>
    <w:rsid w:val="708C3E14"/>
    <w:rsid w:val="70926929"/>
    <w:rsid w:val="70973206"/>
    <w:rsid w:val="70987274"/>
    <w:rsid w:val="70AE7204"/>
    <w:rsid w:val="70B56644"/>
    <w:rsid w:val="70D330A5"/>
    <w:rsid w:val="71127515"/>
    <w:rsid w:val="711363B0"/>
    <w:rsid w:val="71190212"/>
    <w:rsid w:val="713C37B1"/>
    <w:rsid w:val="714260F0"/>
    <w:rsid w:val="714C5EC0"/>
    <w:rsid w:val="714F129B"/>
    <w:rsid w:val="714F28A1"/>
    <w:rsid w:val="715157F6"/>
    <w:rsid w:val="71537B56"/>
    <w:rsid w:val="715D57AE"/>
    <w:rsid w:val="71685CCB"/>
    <w:rsid w:val="71747108"/>
    <w:rsid w:val="719F79C2"/>
    <w:rsid w:val="71AC5184"/>
    <w:rsid w:val="71D57955"/>
    <w:rsid w:val="71E578B8"/>
    <w:rsid w:val="71E70F7A"/>
    <w:rsid w:val="71E871AD"/>
    <w:rsid w:val="71FC09B6"/>
    <w:rsid w:val="722E1774"/>
    <w:rsid w:val="72351E9D"/>
    <w:rsid w:val="726B2D03"/>
    <w:rsid w:val="727B60A2"/>
    <w:rsid w:val="72883753"/>
    <w:rsid w:val="72916C3D"/>
    <w:rsid w:val="729C26A9"/>
    <w:rsid w:val="72A33B6C"/>
    <w:rsid w:val="72AD7B21"/>
    <w:rsid w:val="72BF2551"/>
    <w:rsid w:val="72C2498A"/>
    <w:rsid w:val="72C2585B"/>
    <w:rsid w:val="72CC5C81"/>
    <w:rsid w:val="72D256E3"/>
    <w:rsid w:val="72DF29AA"/>
    <w:rsid w:val="73051E32"/>
    <w:rsid w:val="730C6175"/>
    <w:rsid w:val="730F4D94"/>
    <w:rsid w:val="731871BE"/>
    <w:rsid w:val="733673A6"/>
    <w:rsid w:val="734B1FD3"/>
    <w:rsid w:val="73582C8B"/>
    <w:rsid w:val="73736FE2"/>
    <w:rsid w:val="73755381"/>
    <w:rsid w:val="737F307F"/>
    <w:rsid w:val="738A1990"/>
    <w:rsid w:val="739E386C"/>
    <w:rsid w:val="73A42990"/>
    <w:rsid w:val="73A73ED8"/>
    <w:rsid w:val="73B04E9F"/>
    <w:rsid w:val="73B15486"/>
    <w:rsid w:val="73B80420"/>
    <w:rsid w:val="73C848EC"/>
    <w:rsid w:val="73CA6768"/>
    <w:rsid w:val="73E41E85"/>
    <w:rsid w:val="73F7519D"/>
    <w:rsid w:val="73FF3E0E"/>
    <w:rsid w:val="73FF79B6"/>
    <w:rsid w:val="74172E90"/>
    <w:rsid w:val="744877CF"/>
    <w:rsid w:val="74501A7C"/>
    <w:rsid w:val="74750B91"/>
    <w:rsid w:val="748C4DF5"/>
    <w:rsid w:val="7490628D"/>
    <w:rsid w:val="74974C08"/>
    <w:rsid w:val="74A62737"/>
    <w:rsid w:val="74B749A2"/>
    <w:rsid w:val="74D94435"/>
    <w:rsid w:val="752228DF"/>
    <w:rsid w:val="752407F4"/>
    <w:rsid w:val="75400F34"/>
    <w:rsid w:val="75446DFB"/>
    <w:rsid w:val="75712B78"/>
    <w:rsid w:val="75963F1A"/>
    <w:rsid w:val="75A153E9"/>
    <w:rsid w:val="75A63FD1"/>
    <w:rsid w:val="75AC5FFC"/>
    <w:rsid w:val="75B712BE"/>
    <w:rsid w:val="75C278A5"/>
    <w:rsid w:val="75C845AF"/>
    <w:rsid w:val="75C84912"/>
    <w:rsid w:val="75D976A6"/>
    <w:rsid w:val="75DB5E16"/>
    <w:rsid w:val="75EA0824"/>
    <w:rsid w:val="75F33B66"/>
    <w:rsid w:val="76075456"/>
    <w:rsid w:val="760F2AFC"/>
    <w:rsid w:val="761B163F"/>
    <w:rsid w:val="761C012C"/>
    <w:rsid w:val="76624CDE"/>
    <w:rsid w:val="766D53DC"/>
    <w:rsid w:val="76771A43"/>
    <w:rsid w:val="768F5367"/>
    <w:rsid w:val="76907A00"/>
    <w:rsid w:val="769E0512"/>
    <w:rsid w:val="76A9494D"/>
    <w:rsid w:val="76BC0C63"/>
    <w:rsid w:val="76BC27A6"/>
    <w:rsid w:val="76D70C65"/>
    <w:rsid w:val="76F70742"/>
    <w:rsid w:val="77003A30"/>
    <w:rsid w:val="771A281A"/>
    <w:rsid w:val="7721250E"/>
    <w:rsid w:val="7721494E"/>
    <w:rsid w:val="77242125"/>
    <w:rsid w:val="773730FD"/>
    <w:rsid w:val="774F1CFA"/>
    <w:rsid w:val="776E5D2F"/>
    <w:rsid w:val="77700DAE"/>
    <w:rsid w:val="77773897"/>
    <w:rsid w:val="777E1CD2"/>
    <w:rsid w:val="778B00FF"/>
    <w:rsid w:val="779D3B60"/>
    <w:rsid w:val="77AC723E"/>
    <w:rsid w:val="77B2257D"/>
    <w:rsid w:val="77BA5432"/>
    <w:rsid w:val="77DA2936"/>
    <w:rsid w:val="77E648E2"/>
    <w:rsid w:val="77E71A34"/>
    <w:rsid w:val="77F8454C"/>
    <w:rsid w:val="77FA4959"/>
    <w:rsid w:val="77FE0C7F"/>
    <w:rsid w:val="7800114E"/>
    <w:rsid w:val="7824443C"/>
    <w:rsid w:val="782C033D"/>
    <w:rsid w:val="784F1D8E"/>
    <w:rsid w:val="785E1D41"/>
    <w:rsid w:val="786B519D"/>
    <w:rsid w:val="788E7D78"/>
    <w:rsid w:val="789416FE"/>
    <w:rsid w:val="78B8701A"/>
    <w:rsid w:val="78D653EA"/>
    <w:rsid w:val="78D75F40"/>
    <w:rsid w:val="78E13A93"/>
    <w:rsid w:val="78F022EE"/>
    <w:rsid w:val="78F33535"/>
    <w:rsid w:val="7901276E"/>
    <w:rsid w:val="79105958"/>
    <w:rsid w:val="7917191F"/>
    <w:rsid w:val="7919530C"/>
    <w:rsid w:val="791B0B85"/>
    <w:rsid w:val="792C0A63"/>
    <w:rsid w:val="792C5D33"/>
    <w:rsid w:val="793E3EB8"/>
    <w:rsid w:val="794B5833"/>
    <w:rsid w:val="795C03C6"/>
    <w:rsid w:val="797D1853"/>
    <w:rsid w:val="7980680A"/>
    <w:rsid w:val="79A215DE"/>
    <w:rsid w:val="79A57A47"/>
    <w:rsid w:val="79BE486A"/>
    <w:rsid w:val="79CD1A06"/>
    <w:rsid w:val="79D15508"/>
    <w:rsid w:val="7A443235"/>
    <w:rsid w:val="7A5A7723"/>
    <w:rsid w:val="7A5B4DB8"/>
    <w:rsid w:val="7A604693"/>
    <w:rsid w:val="7A690ECE"/>
    <w:rsid w:val="7A99232F"/>
    <w:rsid w:val="7AAB1617"/>
    <w:rsid w:val="7AAF3F2C"/>
    <w:rsid w:val="7AB14E31"/>
    <w:rsid w:val="7ABB5B49"/>
    <w:rsid w:val="7AE428A9"/>
    <w:rsid w:val="7AE800F0"/>
    <w:rsid w:val="7AF33FB7"/>
    <w:rsid w:val="7AF662D4"/>
    <w:rsid w:val="7B0A6E80"/>
    <w:rsid w:val="7B140DC4"/>
    <w:rsid w:val="7B170CEC"/>
    <w:rsid w:val="7B1A6B20"/>
    <w:rsid w:val="7B210FC0"/>
    <w:rsid w:val="7B3054F8"/>
    <w:rsid w:val="7B420D78"/>
    <w:rsid w:val="7B455821"/>
    <w:rsid w:val="7B4C7CDB"/>
    <w:rsid w:val="7B523DF1"/>
    <w:rsid w:val="7B564962"/>
    <w:rsid w:val="7B590D65"/>
    <w:rsid w:val="7B6266A6"/>
    <w:rsid w:val="7B655DD8"/>
    <w:rsid w:val="7B8A4A41"/>
    <w:rsid w:val="7B97661D"/>
    <w:rsid w:val="7BAE4231"/>
    <w:rsid w:val="7BAF269B"/>
    <w:rsid w:val="7BBB0343"/>
    <w:rsid w:val="7BD922CB"/>
    <w:rsid w:val="7BE4377A"/>
    <w:rsid w:val="7BE449F2"/>
    <w:rsid w:val="7BEC5102"/>
    <w:rsid w:val="7BEF43CD"/>
    <w:rsid w:val="7BEF4EB6"/>
    <w:rsid w:val="7BFA2D7F"/>
    <w:rsid w:val="7C070C57"/>
    <w:rsid w:val="7C2234AB"/>
    <w:rsid w:val="7C347D1D"/>
    <w:rsid w:val="7C3B6FE1"/>
    <w:rsid w:val="7C40471B"/>
    <w:rsid w:val="7C404E58"/>
    <w:rsid w:val="7C4540BF"/>
    <w:rsid w:val="7C4839AA"/>
    <w:rsid w:val="7C5D6E88"/>
    <w:rsid w:val="7C6709F5"/>
    <w:rsid w:val="7C6B2830"/>
    <w:rsid w:val="7C6D20CA"/>
    <w:rsid w:val="7C786AE7"/>
    <w:rsid w:val="7C7A5CF1"/>
    <w:rsid w:val="7C8840B1"/>
    <w:rsid w:val="7CB16D59"/>
    <w:rsid w:val="7CCF16D7"/>
    <w:rsid w:val="7CE4559C"/>
    <w:rsid w:val="7CE5376B"/>
    <w:rsid w:val="7CE721D2"/>
    <w:rsid w:val="7CF356CB"/>
    <w:rsid w:val="7D081525"/>
    <w:rsid w:val="7D142945"/>
    <w:rsid w:val="7D2538E5"/>
    <w:rsid w:val="7D36181B"/>
    <w:rsid w:val="7D4100E1"/>
    <w:rsid w:val="7D55298B"/>
    <w:rsid w:val="7D704275"/>
    <w:rsid w:val="7D8121A6"/>
    <w:rsid w:val="7D8229AE"/>
    <w:rsid w:val="7D8C440C"/>
    <w:rsid w:val="7D996AD4"/>
    <w:rsid w:val="7DA21429"/>
    <w:rsid w:val="7DC637FE"/>
    <w:rsid w:val="7DC74E8C"/>
    <w:rsid w:val="7DF507DF"/>
    <w:rsid w:val="7E001A67"/>
    <w:rsid w:val="7E0E0932"/>
    <w:rsid w:val="7E1115B6"/>
    <w:rsid w:val="7E2F470C"/>
    <w:rsid w:val="7E311833"/>
    <w:rsid w:val="7E3A6FD1"/>
    <w:rsid w:val="7E3E06C8"/>
    <w:rsid w:val="7E632E58"/>
    <w:rsid w:val="7E64121B"/>
    <w:rsid w:val="7E6F409B"/>
    <w:rsid w:val="7E8051DD"/>
    <w:rsid w:val="7E880658"/>
    <w:rsid w:val="7E883123"/>
    <w:rsid w:val="7E8D415B"/>
    <w:rsid w:val="7E921FCC"/>
    <w:rsid w:val="7EAF4DE9"/>
    <w:rsid w:val="7EB00F7A"/>
    <w:rsid w:val="7EB80C0B"/>
    <w:rsid w:val="7EC7773A"/>
    <w:rsid w:val="7ECE62A1"/>
    <w:rsid w:val="7ED21C03"/>
    <w:rsid w:val="7ED80AD3"/>
    <w:rsid w:val="7EEB71AF"/>
    <w:rsid w:val="7EED3B0A"/>
    <w:rsid w:val="7F0F735F"/>
    <w:rsid w:val="7F125230"/>
    <w:rsid w:val="7F1823D4"/>
    <w:rsid w:val="7F213A5E"/>
    <w:rsid w:val="7F392AEE"/>
    <w:rsid w:val="7F41757A"/>
    <w:rsid w:val="7F441191"/>
    <w:rsid w:val="7F4715A3"/>
    <w:rsid w:val="7F477A69"/>
    <w:rsid w:val="7F493A0C"/>
    <w:rsid w:val="7F5370DA"/>
    <w:rsid w:val="7F633ECE"/>
    <w:rsid w:val="7F7A6520"/>
    <w:rsid w:val="7F800503"/>
    <w:rsid w:val="7F8B5A63"/>
    <w:rsid w:val="7F8F22A9"/>
    <w:rsid w:val="7F8F783C"/>
    <w:rsid w:val="7F9473A3"/>
    <w:rsid w:val="7F9955B0"/>
    <w:rsid w:val="7FAB77A7"/>
    <w:rsid w:val="7FB07B5C"/>
    <w:rsid w:val="7FBF342E"/>
    <w:rsid w:val="7FC22B2C"/>
    <w:rsid w:val="7FD144F5"/>
    <w:rsid w:val="7FD5604F"/>
    <w:rsid w:val="7FF97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paragraph" w:styleId="4">
    <w:name w:val="heading 2"/>
    <w:basedOn w:val="1"/>
    <w:next w:val="1"/>
    <w:unhideWhenUsed/>
    <w:qFormat/>
    <w:uiPriority w:val="9"/>
    <w:pPr>
      <w:keepNext/>
      <w:keepLines/>
      <w:spacing w:line="416" w:lineRule="auto"/>
      <w:outlineLvl w:val="1"/>
    </w:pPr>
    <w:rPr>
      <w:rFonts w:eastAsia="方正仿宋_GBK" w:asciiTheme="majorHAnsi" w:hAnsiTheme="majorHAnsi" w:cstheme="majorBidi"/>
      <w:b/>
      <w:bCs/>
      <w:sz w:val="32"/>
      <w:szCs w:val="32"/>
    </w:rPr>
  </w:style>
  <w:style w:type="paragraph" w:styleId="5">
    <w:name w:val="heading 4"/>
    <w:basedOn w:val="1"/>
    <w:next w:val="1"/>
    <w:link w:val="33"/>
    <w:unhideWhenUsed/>
    <w:qFormat/>
    <w:uiPriority w:val="0"/>
    <w:pPr>
      <w:keepNext/>
      <w:keepLines/>
      <w:spacing w:before="280" w:after="290" w:line="372" w:lineRule="auto"/>
      <w:outlineLvl w:val="3"/>
    </w:pPr>
    <w:rPr>
      <w:rFonts w:ascii="Arial" w:hAnsi="Arial" w:eastAsia="黑体" w:cstheme="minorBidi"/>
      <w:b/>
      <w:sz w:val="28"/>
      <w:szCs w:val="24"/>
    </w:rPr>
  </w:style>
  <w:style w:type="character" w:default="1" w:styleId="21">
    <w:name w:val="Default Paragraph Font"/>
    <w:unhideWhenUsed/>
    <w:uiPriority w:val="1"/>
  </w:style>
  <w:style w:type="table" w:default="1" w:styleId="2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2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annotation subject"/>
    <w:basedOn w:val="7"/>
    <w:next w:val="7"/>
    <w:link w:val="39"/>
    <w:unhideWhenUsed/>
    <w:qFormat/>
    <w:uiPriority w:val="99"/>
    <w:rPr>
      <w:b/>
      <w:bCs/>
    </w:rPr>
  </w:style>
  <w:style w:type="paragraph" w:styleId="7">
    <w:name w:val="annotation text"/>
    <w:basedOn w:val="1"/>
    <w:link w:val="38"/>
    <w:unhideWhenUsed/>
    <w:qFormat/>
    <w:uiPriority w:val="99"/>
    <w:pPr>
      <w:jc w:val="left"/>
    </w:pPr>
  </w:style>
  <w:style w:type="paragraph" w:styleId="8">
    <w:name w:val="Normal Indent"/>
    <w:basedOn w:val="1"/>
    <w:next w:val="1"/>
    <w:qFormat/>
    <w:uiPriority w:val="0"/>
    <w:pPr>
      <w:spacing w:line="520" w:lineRule="atLeast"/>
      <w:ind w:firstLine="510"/>
    </w:pPr>
    <w:rPr>
      <w:rFonts w:ascii="Times New Roman" w:hAnsi="Times New Roman" w:cs="Times New Roman"/>
      <w:sz w:val="28"/>
    </w:rPr>
  </w:style>
  <w:style w:type="paragraph" w:styleId="9">
    <w:name w:val="Body Text"/>
    <w:basedOn w:val="1"/>
    <w:next w:val="10"/>
    <w:qFormat/>
    <w:uiPriority w:val="0"/>
    <w:pPr>
      <w:spacing w:after="120"/>
    </w:pPr>
  </w:style>
  <w:style w:type="paragraph" w:styleId="10">
    <w:name w:val="index 7"/>
    <w:basedOn w:val="1"/>
    <w:next w:val="1"/>
    <w:qFormat/>
    <w:uiPriority w:val="0"/>
    <w:pPr>
      <w:ind w:left="1200" w:leftChars="1200"/>
    </w:pPr>
  </w:style>
  <w:style w:type="paragraph" w:styleId="11">
    <w:name w:val="Body Text Indent"/>
    <w:basedOn w:val="1"/>
    <w:next w:val="8"/>
    <w:qFormat/>
    <w:uiPriority w:val="0"/>
    <w:pPr>
      <w:spacing w:after="120"/>
      <w:ind w:left="420" w:leftChars="200"/>
    </w:pPr>
  </w:style>
  <w:style w:type="paragraph" w:styleId="12">
    <w:name w:val="toc 3"/>
    <w:basedOn w:val="1"/>
    <w:next w:val="1"/>
    <w:unhideWhenUsed/>
    <w:qFormat/>
    <w:uiPriority w:val="39"/>
    <w:pPr>
      <w:ind w:left="840" w:leftChars="400"/>
    </w:pPr>
  </w:style>
  <w:style w:type="paragraph" w:styleId="13">
    <w:name w:val="Balloon Text"/>
    <w:basedOn w:val="1"/>
    <w:link w:val="31"/>
    <w:unhideWhenUsed/>
    <w:qFormat/>
    <w:uiPriority w:val="99"/>
    <w:rPr>
      <w:sz w:val="18"/>
      <w:szCs w:val="18"/>
    </w:rPr>
  </w:style>
  <w:style w:type="paragraph" w:styleId="14">
    <w:name w:val="Body Text First Indent 2"/>
    <w:basedOn w:val="11"/>
    <w:next w:val="1"/>
    <w:qFormat/>
    <w:uiPriority w:val="0"/>
    <w:pPr>
      <w:ind w:firstLine="420" w:firstLineChars="200"/>
    </w:pPr>
  </w:style>
  <w:style w:type="paragraph" w:styleId="15">
    <w:name w:val="header"/>
    <w:basedOn w:val="1"/>
    <w:link w:val="2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6">
    <w:name w:val="toc 1"/>
    <w:basedOn w:val="1"/>
    <w:next w:val="1"/>
    <w:unhideWhenUsed/>
    <w:qFormat/>
    <w:uiPriority w:val="39"/>
    <w:pPr>
      <w:tabs>
        <w:tab w:val="right" w:leader="dot" w:pos="8296"/>
      </w:tabs>
      <w:jc w:val="left"/>
    </w:pPr>
    <w:rPr>
      <w:rFonts w:ascii="宋体" w:hAnsi="宋体" w:cs="Times New Roman"/>
      <w:b/>
      <w:sz w:val="32"/>
      <w:szCs w:val="32"/>
    </w:rPr>
  </w:style>
  <w:style w:type="paragraph" w:styleId="17">
    <w:name w:val="footnote text"/>
    <w:basedOn w:val="1"/>
    <w:link w:val="35"/>
    <w:unhideWhenUsed/>
    <w:qFormat/>
    <w:uiPriority w:val="99"/>
    <w:pPr>
      <w:snapToGrid w:val="0"/>
      <w:jc w:val="left"/>
    </w:pPr>
    <w:rPr>
      <w:rFonts w:ascii="等线" w:hAnsi="等线" w:eastAsia="等线" w:cs="Times New Roman"/>
      <w:sz w:val="18"/>
      <w:szCs w:val="18"/>
    </w:rPr>
  </w:style>
  <w:style w:type="paragraph" w:styleId="18">
    <w:name w:val="toc 2"/>
    <w:basedOn w:val="1"/>
    <w:next w:val="1"/>
    <w:unhideWhenUsed/>
    <w:qFormat/>
    <w:uiPriority w:val="39"/>
    <w:pPr>
      <w:ind w:left="420" w:leftChars="200"/>
    </w:pPr>
  </w:style>
  <w:style w:type="paragraph" w:styleId="19">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szCs w:val="24"/>
    </w:rPr>
  </w:style>
  <w:style w:type="paragraph" w:styleId="2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22">
    <w:name w:val="Hyperlink"/>
    <w:basedOn w:val="21"/>
    <w:unhideWhenUsed/>
    <w:qFormat/>
    <w:uiPriority w:val="99"/>
    <w:rPr>
      <w:color w:val="0000FF" w:themeColor="hyperlink"/>
      <w:u w:val="single"/>
      <w14:textFill>
        <w14:solidFill>
          <w14:schemeClr w14:val="hlink"/>
        </w14:solidFill>
      </w14:textFill>
    </w:rPr>
  </w:style>
  <w:style w:type="character" w:styleId="23">
    <w:name w:val="annotation reference"/>
    <w:basedOn w:val="21"/>
    <w:unhideWhenUsed/>
    <w:qFormat/>
    <w:uiPriority w:val="99"/>
    <w:rPr>
      <w:sz w:val="21"/>
      <w:szCs w:val="21"/>
    </w:rPr>
  </w:style>
  <w:style w:type="character" w:styleId="24">
    <w:name w:val="footnote reference"/>
    <w:basedOn w:val="21"/>
    <w:unhideWhenUsed/>
    <w:qFormat/>
    <w:uiPriority w:val="99"/>
    <w:rPr>
      <w:vertAlign w:val="superscript"/>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7">
    <w:name w:val="UserStyle_0"/>
    <w:qFormat/>
    <w:uiPriority w:val="0"/>
    <w:pPr>
      <w:textAlignment w:val="baseline"/>
    </w:pPr>
    <w:rPr>
      <w:rFonts w:ascii="方正小标宋_GBK" w:hAnsi="Times New Roman" w:eastAsia="方正小标宋_GBK" w:cs="Times New Roman"/>
      <w:color w:val="000000"/>
      <w:sz w:val="24"/>
      <w:szCs w:val="24"/>
      <w:lang w:val="en-US" w:eastAsia="zh-CN" w:bidi="ar-SA"/>
    </w:rPr>
  </w:style>
  <w:style w:type="character" w:customStyle="1" w:styleId="28">
    <w:name w:val="页眉 Char"/>
    <w:basedOn w:val="21"/>
    <w:link w:val="15"/>
    <w:qFormat/>
    <w:uiPriority w:val="99"/>
    <w:rPr>
      <w:sz w:val="18"/>
      <w:szCs w:val="18"/>
    </w:rPr>
  </w:style>
  <w:style w:type="character" w:customStyle="1" w:styleId="29">
    <w:name w:val="页脚 Char"/>
    <w:basedOn w:val="21"/>
    <w:link w:val="2"/>
    <w:qFormat/>
    <w:uiPriority w:val="99"/>
    <w:rPr>
      <w:sz w:val="18"/>
      <w:szCs w:val="18"/>
    </w:rPr>
  </w:style>
  <w:style w:type="paragraph" w:customStyle="1" w:styleId="30">
    <w:name w:val="Char Char Char Char Char Char Char Char Char1"/>
    <w:basedOn w:val="1"/>
    <w:qFormat/>
    <w:uiPriority w:val="0"/>
    <w:rPr>
      <w:rFonts w:ascii="Times New Roman" w:hAnsi="Times New Roman" w:cs="Times New Roman"/>
      <w:sz w:val="24"/>
      <w:szCs w:val="24"/>
    </w:rPr>
  </w:style>
  <w:style w:type="character" w:customStyle="1" w:styleId="31">
    <w:name w:val="批注框文本 Char"/>
    <w:basedOn w:val="21"/>
    <w:link w:val="13"/>
    <w:semiHidden/>
    <w:qFormat/>
    <w:uiPriority w:val="99"/>
    <w:rPr>
      <w:rFonts w:ascii="Calibri" w:hAnsi="Calibri" w:cs="黑体"/>
      <w:kern w:val="2"/>
      <w:sz w:val="18"/>
      <w:szCs w:val="18"/>
    </w:rPr>
  </w:style>
  <w:style w:type="paragraph" w:customStyle="1" w:styleId="32">
    <w:name w:val="修订1"/>
    <w:hidden/>
    <w:unhideWhenUsed/>
    <w:qFormat/>
    <w:uiPriority w:val="99"/>
    <w:rPr>
      <w:rFonts w:ascii="Calibri" w:hAnsi="Calibri" w:eastAsia="宋体" w:cs="黑体"/>
      <w:kern w:val="2"/>
      <w:sz w:val="21"/>
      <w:szCs w:val="22"/>
      <w:lang w:val="en-US" w:eastAsia="zh-CN" w:bidi="ar-SA"/>
    </w:rPr>
  </w:style>
  <w:style w:type="character" w:customStyle="1" w:styleId="33">
    <w:name w:val="标题 4 Char"/>
    <w:basedOn w:val="21"/>
    <w:link w:val="5"/>
    <w:qFormat/>
    <w:uiPriority w:val="0"/>
    <w:rPr>
      <w:rFonts w:ascii="Arial" w:hAnsi="Arial" w:eastAsia="黑体" w:cstheme="minorBidi"/>
      <w:b/>
      <w:kern w:val="2"/>
      <w:sz w:val="28"/>
      <w:szCs w:val="24"/>
    </w:rPr>
  </w:style>
  <w:style w:type="table" w:customStyle="1" w:styleId="34">
    <w:name w:val="网格型1"/>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5">
    <w:name w:val="脚注文本 Char"/>
    <w:basedOn w:val="21"/>
    <w:link w:val="17"/>
    <w:qFormat/>
    <w:uiPriority w:val="99"/>
    <w:rPr>
      <w:rFonts w:ascii="等线" w:hAnsi="等线" w:eastAsia="等线"/>
      <w:kern w:val="2"/>
      <w:sz w:val="18"/>
      <w:szCs w:val="18"/>
    </w:rPr>
  </w:style>
  <w:style w:type="character" w:customStyle="1" w:styleId="36">
    <w:name w:val="font31"/>
    <w:basedOn w:val="21"/>
    <w:qFormat/>
    <w:uiPriority w:val="0"/>
    <w:rPr>
      <w:rFonts w:ascii="方正仿宋_GBK" w:hAnsi="方正仿宋_GBK" w:eastAsia="方正仿宋_GBK" w:cs="方正仿宋_GBK"/>
      <w:color w:val="000000"/>
      <w:sz w:val="20"/>
      <w:szCs w:val="20"/>
      <w:u w:val="none"/>
    </w:rPr>
  </w:style>
  <w:style w:type="character" w:customStyle="1" w:styleId="37">
    <w:name w:val="font41"/>
    <w:basedOn w:val="21"/>
    <w:qFormat/>
    <w:uiPriority w:val="0"/>
    <w:rPr>
      <w:rFonts w:hint="eastAsia" w:ascii="方正仿宋_GBK" w:hAnsi="方正仿宋_GBK" w:eastAsia="方正仿宋_GBK" w:cs="方正仿宋_GBK"/>
      <w:color w:val="000000"/>
      <w:sz w:val="20"/>
      <w:szCs w:val="20"/>
      <w:u w:val="none"/>
    </w:rPr>
  </w:style>
  <w:style w:type="character" w:customStyle="1" w:styleId="38">
    <w:name w:val="批注文字 Char"/>
    <w:basedOn w:val="21"/>
    <w:link w:val="7"/>
    <w:semiHidden/>
    <w:qFormat/>
    <w:uiPriority w:val="99"/>
    <w:rPr>
      <w:rFonts w:ascii="Calibri" w:hAnsi="Calibri" w:cs="黑体"/>
      <w:kern w:val="2"/>
      <w:sz w:val="21"/>
      <w:szCs w:val="22"/>
    </w:rPr>
  </w:style>
  <w:style w:type="character" w:customStyle="1" w:styleId="39">
    <w:name w:val="批注主题 Char"/>
    <w:basedOn w:val="38"/>
    <w:link w:val="6"/>
    <w:semiHidden/>
    <w:qFormat/>
    <w:uiPriority w:val="99"/>
    <w:rPr>
      <w:rFonts w:ascii="Calibri" w:hAnsi="Calibri" w:cs="黑体"/>
      <w:b/>
      <w:bCs/>
      <w:kern w:val="2"/>
      <w:sz w:val="21"/>
      <w:szCs w:val="22"/>
    </w:rPr>
  </w:style>
  <w:style w:type="table" w:customStyle="1" w:styleId="40">
    <w:name w:val="网格型5"/>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1">
    <w:name w:val="WPSOffice手动目录 1"/>
    <w:qFormat/>
    <w:uiPriority w:val="0"/>
    <w:rPr>
      <w:rFonts w:ascii="Times New Roman" w:hAnsi="Times New Roman" w:eastAsia="宋体" w:cs="Times New Roman"/>
      <w:lang w:val="en-US" w:eastAsia="zh-CN" w:bidi="ar-SA"/>
    </w:rPr>
  </w:style>
  <w:style w:type="paragraph" w:customStyle="1" w:styleId="4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3">
    <w:name w:val="font121"/>
    <w:basedOn w:val="21"/>
    <w:qFormat/>
    <w:uiPriority w:val="0"/>
    <w:rPr>
      <w:rFonts w:hint="eastAsia" w:ascii="方正仿宋_GBK" w:hAnsi="方正仿宋_GBK" w:eastAsia="方正仿宋_GBK" w:cs="方正仿宋_GBK"/>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0CA36C-7203-4EB4-A06E-3E53573A6A1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7034</Words>
  <Characters>40097</Characters>
  <Lines>334</Lines>
  <Paragraphs>94</Paragraphs>
  <TotalTime>0</TotalTime>
  <ScaleCrop>false</ScaleCrop>
  <LinksUpToDate>false</LinksUpToDate>
  <CharactersWithSpaces>47037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2021-10-12T03:24:00Z</dcterms:created>
  <dc:creator>王春</dc:creator>
  <cp:lastModifiedBy>admin</cp:lastModifiedBy>
  <cp:lastPrinted>2022-01-12T03:03:00Z</cp:lastPrinted>
  <dcterms:modified xsi:type="dcterms:W3CDTF">2023-11-30T08:50:28Z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84C11DC0C6034002B1E075F1A0678C8C</vt:lpwstr>
  </property>
</Properties>
</file>