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textAlignment w:val="baseline"/>
        <w:rPr>
          <w:rFonts w:ascii="Times New Roman" w:hAnsi="Times New Roman" w:eastAsia="方正黑体_GBK"/>
          <w:spacing w:val="-6"/>
          <w:sz w:val="32"/>
          <w:szCs w:val="32"/>
        </w:rPr>
      </w:pPr>
      <w:bookmarkStart w:id="49" w:name="_GoBack"/>
      <w:bookmarkEnd w:id="49"/>
      <w:r>
        <w:rPr>
          <w:rFonts w:ascii="Times New Roman" w:hAnsi="Times New Roman" w:eastAsia="方正仿宋_GBK"/>
          <w:sz w:val="32"/>
          <w:szCs w:val="32"/>
        </w:rPr>
        <w:t xml:space="preserve">                      </w:t>
      </w:r>
    </w:p>
    <w:p>
      <w:pPr>
        <w:pStyle w:val="2"/>
        <w:snapToGrid w:val="0"/>
        <w:textAlignment w:val="baseline"/>
        <w:rPr>
          <w:rFonts w:ascii="Times New Roman" w:hAnsi="Times New Roman" w:eastAsia="方正黑体_GBK"/>
          <w:sz w:val="32"/>
          <w:szCs w:val="32"/>
        </w:rPr>
      </w:pPr>
    </w:p>
    <w:p>
      <w:pPr>
        <w:snapToGrid w:val="0"/>
        <w:spacing w:line="360" w:lineRule="auto"/>
        <w:jc w:val="center"/>
        <w:textAlignment w:val="baseline"/>
        <w:rPr>
          <w:rFonts w:ascii="Times New Roman" w:hAnsi="Times New Roman" w:eastAsia="方正小标宋_GBK"/>
          <w:sz w:val="32"/>
          <w:szCs w:val="32"/>
        </w:rPr>
      </w:pPr>
    </w:p>
    <w:p>
      <w:pPr>
        <w:jc w:val="center"/>
        <w:textAlignment w:val="baseline"/>
        <w:rPr>
          <w:rFonts w:ascii="Times New Roman" w:hAnsi="Times New Roman" w:eastAsia="方正小标宋_GBK"/>
          <w:b/>
          <w:sz w:val="44"/>
          <w:szCs w:val="44"/>
        </w:rPr>
      </w:pPr>
      <w:r>
        <w:rPr>
          <w:rFonts w:ascii="Times New Roman" w:hAnsi="Times New Roman" w:eastAsia="方正小标宋_GBK"/>
          <w:b/>
          <w:sz w:val="44"/>
          <w:szCs w:val="44"/>
        </w:rPr>
        <w:t>江北区建设国际消费中心城市</w:t>
      </w:r>
    </w:p>
    <w:p>
      <w:pPr>
        <w:spacing w:line="360" w:lineRule="auto"/>
        <w:jc w:val="center"/>
        <w:textAlignment w:val="baseline"/>
        <w:rPr>
          <w:rFonts w:ascii="Times New Roman" w:hAnsi="Times New Roman" w:eastAsia="方正小标宋_GBK"/>
          <w:b/>
          <w:sz w:val="44"/>
          <w:szCs w:val="44"/>
        </w:rPr>
      </w:pPr>
      <w:r>
        <w:rPr>
          <w:rFonts w:hint="eastAsia" w:ascii="Times New Roman" w:hAnsi="Times New Roman" w:eastAsia="方正小标宋_GBK"/>
          <w:b/>
          <w:sz w:val="44"/>
          <w:szCs w:val="44"/>
        </w:rPr>
        <w:t>“</w:t>
      </w:r>
      <w:r>
        <w:rPr>
          <w:rFonts w:ascii="Times New Roman" w:hAnsi="Times New Roman" w:eastAsia="方正小标宋_GBK"/>
          <w:b/>
          <w:sz w:val="44"/>
          <w:szCs w:val="44"/>
        </w:rPr>
        <w:t>十四五</w:t>
      </w:r>
      <w:r>
        <w:rPr>
          <w:rFonts w:hint="eastAsia" w:ascii="Times New Roman" w:hAnsi="Times New Roman" w:eastAsia="方正小标宋_GBK"/>
          <w:b/>
          <w:sz w:val="44"/>
          <w:szCs w:val="44"/>
        </w:rPr>
        <w:t>”</w:t>
      </w:r>
      <w:r>
        <w:rPr>
          <w:rFonts w:ascii="Times New Roman" w:hAnsi="Times New Roman" w:eastAsia="方正小标宋_GBK"/>
          <w:b/>
          <w:sz w:val="44"/>
          <w:szCs w:val="44"/>
        </w:rPr>
        <w:t>规划</w:t>
      </w:r>
    </w:p>
    <w:p>
      <w:pPr>
        <w:spacing w:line="360" w:lineRule="auto"/>
        <w:jc w:val="center"/>
        <w:textAlignment w:val="baseline"/>
        <w:rPr>
          <w:rFonts w:ascii="Times New Roman" w:hAnsi="Times New Roman" w:eastAsia="方正小标宋_GBK"/>
          <w:sz w:val="32"/>
          <w:szCs w:val="32"/>
        </w:rPr>
      </w:pPr>
    </w:p>
    <w:p>
      <w:pPr>
        <w:spacing w:line="360" w:lineRule="auto"/>
        <w:jc w:val="center"/>
        <w:textAlignment w:val="baseline"/>
        <w:rPr>
          <w:rFonts w:ascii="Times New Roman" w:hAnsi="Times New Roman" w:eastAsia="方正楷体_GBK"/>
          <w:sz w:val="32"/>
          <w:szCs w:val="32"/>
        </w:rPr>
      </w:pPr>
    </w:p>
    <w:p>
      <w:pPr>
        <w:spacing w:line="360" w:lineRule="auto"/>
        <w:jc w:val="center"/>
        <w:textAlignment w:val="baseline"/>
        <w:rPr>
          <w:rFonts w:ascii="Times New Roman" w:hAnsi="Times New Roman" w:eastAsia="方正楷体_GBK"/>
          <w:sz w:val="32"/>
          <w:szCs w:val="32"/>
        </w:rPr>
      </w:pPr>
    </w:p>
    <w:p>
      <w:pPr>
        <w:spacing w:line="360" w:lineRule="auto"/>
        <w:textAlignment w:val="baseline"/>
        <w:rPr>
          <w:rFonts w:ascii="Times New Roman" w:hAnsi="Times New Roman" w:eastAsia="方正楷体_GBK"/>
          <w:sz w:val="32"/>
          <w:szCs w:val="32"/>
        </w:rPr>
      </w:pPr>
    </w:p>
    <w:p>
      <w:pPr>
        <w:spacing w:line="360" w:lineRule="auto"/>
        <w:textAlignment w:val="baseline"/>
        <w:rPr>
          <w:rFonts w:ascii="Times New Roman" w:hAnsi="Times New Roman" w:eastAsia="方正楷体_GBK"/>
          <w:b/>
          <w:sz w:val="32"/>
          <w:szCs w:val="32"/>
        </w:rPr>
      </w:pPr>
    </w:p>
    <w:p>
      <w:pPr>
        <w:pStyle w:val="2"/>
        <w:ind w:firstLine="640"/>
        <w:textAlignment w:val="baseline"/>
        <w:rPr>
          <w:rFonts w:ascii="Times New Roman" w:hAnsi="Times New Roman"/>
          <w:sz w:val="32"/>
          <w:szCs w:val="32"/>
        </w:rPr>
      </w:pPr>
    </w:p>
    <w:p>
      <w:pPr>
        <w:spacing w:line="360" w:lineRule="auto"/>
        <w:textAlignment w:val="baseline"/>
        <w:rPr>
          <w:rFonts w:ascii="Times New Roman" w:hAnsi="Times New Roman" w:eastAsia="方正小标宋_GBK"/>
          <w:b/>
          <w:sz w:val="32"/>
          <w:szCs w:val="32"/>
        </w:rPr>
      </w:pPr>
    </w:p>
    <w:p>
      <w:pPr>
        <w:spacing w:line="360" w:lineRule="auto"/>
        <w:textAlignment w:val="baseline"/>
        <w:rPr>
          <w:rFonts w:ascii="Times New Roman" w:hAnsi="Times New Roman" w:eastAsia="方正小标宋_GBK"/>
          <w:b/>
          <w:sz w:val="32"/>
          <w:szCs w:val="32"/>
        </w:rPr>
      </w:pPr>
    </w:p>
    <w:p>
      <w:pPr>
        <w:spacing w:line="360" w:lineRule="auto"/>
        <w:textAlignment w:val="baseline"/>
        <w:rPr>
          <w:rFonts w:ascii="Times New Roman" w:hAnsi="Times New Roman" w:eastAsia="方正小标宋_GBK"/>
          <w:b/>
          <w:sz w:val="32"/>
          <w:szCs w:val="32"/>
        </w:rPr>
      </w:pPr>
    </w:p>
    <w:p>
      <w:pPr>
        <w:pStyle w:val="2"/>
        <w:ind w:firstLine="560"/>
        <w:textAlignment w:val="baseline"/>
        <w:rPr>
          <w:rFonts w:ascii="Times New Roman" w:hAnsi="Times New Roman"/>
        </w:rPr>
      </w:pPr>
    </w:p>
    <w:p>
      <w:pPr>
        <w:spacing w:line="360" w:lineRule="auto"/>
        <w:textAlignment w:val="baseline"/>
        <w:rPr>
          <w:rFonts w:ascii="Times New Roman" w:hAnsi="Times New Roman" w:eastAsia="方正小标宋_GBK"/>
          <w:b/>
          <w:sz w:val="32"/>
          <w:szCs w:val="32"/>
        </w:rPr>
      </w:pPr>
    </w:p>
    <w:p>
      <w:pPr>
        <w:pStyle w:val="2"/>
        <w:ind w:firstLine="560"/>
        <w:textAlignment w:val="baseline"/>
        <w:rPr>
          <w:rFonts w:ascii="Times New Roman" w:hAnsi="Times New Roman"/>
        </w:rPr>
      </w:pPr>
    </w:p>
    <w:p>
      <w:pPr>
        <w:pStyle w:val="2"/>
        <w:ind w:firstLine="560"/>
        <w:textAlignment w:val="baseline"/>
        <w:rPr>
          <w:rFonts w:ascii="Times New Roman" w:hAnsi="Times New Roman"/>
        </w:rPr>
      </w:pPr>
    </w:p>
    <w:p>
      <w:pPr>
        <w:spacing w:line="360" w:lineRule="auto"/>
        <w:jc w:val="center"/>
        <w:textAlignment w:val="baseline"/>
        <w:rPr>
          <w:rFonts w:ascii="Times New Roman" w:hAnsi="Times New Roman"/>
          <w:bCs/>
          <w:sz w:val="32"/>
          <w:szCs w:val="32"/>
        </w:rPr>
      </w:pPr>
      <w:r>
        <w:rPr>
          <w:rFonts w:ascii="Times New Roman" w:hAnsi="Times New Roman" w:eastAsia="方正仿宋_GBK"/>
          <w:bCs/>
          <w:sz w:val="32"/>
          <w:szCs w:val="32"/>
        </w:rPr>
        <w:t>重庆市江北区商务委员会</w:t>
      </w:r>
    </w:p>
    <w:p>
      <w:pPr>
        <w:jc w:val="center"/>
        <w:textAlignment w:val="baseline"/>
        <w:rPr>
          <w:rFonts w:ascii="Times New Roman" w:hAnsi="Times New Roman"/>
          <w:bCs/>
          <w:sz w:val="32"/>
          <w:szCs w:val="32"/>
        </w:rPr>
      </w:pPr>
      <w:r>
        <w:rPr>
          <w:rFonts w:ascii="Times New Roman" w:hAnsi="Times New Roman" w:eastAsia="方正仿宋_GBK"/>
          <w:bCs/>
          <w:sz w:val="32"/>
          <w:szCs w:val="32"/>
        </w:rPr>
        <w:t>2021年12月</w:t>
      </w:r>
    </w:p>
    <w:p>
      <w:pPr>
        <w:tabs>
          <w:tab w:val="left" w:pos="960"/>
        </w:tabs>
        <w:textAlignment w:val="baseline"/>
        <w:rPr>
          <w:rFonts w:ascii="Times New Roman" w:hAnsi="Times New Roman" w:eastAsia="方正黑体_GBK"/>
          <w:sz w:val="32"/>
          <w:szCs w:val="32"/>
        </w:rPr>
        <w:sectPr>
          <w:pgSz w:w="11906" w:h="16838"/>
          <w:pgMar w:top="2098" w:right="1531" w:bottom="1985" w:left="1531" w:header="851" w:footer="992" w:gutter="0"/>
          <w:cols w:space="720" w:num="1"/>
          <w:docGrid w:type="lines" w:linePitch="312" w:charSpace="0"/>
        </w:sectPr>
      </w:pPr>
    </w:p>
    <w:p>
      <w:pPr>
        <w:tabs>
          <w:tab w:val="left" w:pos="960"/>
        </w:tabs>
        <w:textAlignment w:val="baseline"/>
        <w:rPr>
          <w:rFonts w:ascii="Times New Roman" w:hAnsi="Times New Roman" w:eastAsia="方正黑体_GBK"/>
          <w:sz w:val="32"/>
          <w:szCs w:val="32"/>
        </w:rPr>
        <w:sectPr>
          <w:footerReference r:id="rId3" w:type="default"/>
          <w:pgSz w:w="11906" w:h="16838"/>
          <w:pgMar w:top="2098" w:right="1531" w:bottom="1985" w:left="1531" w:header="851" w:footer="992" w:gutter="0"/>
          <w:cols w:space="720" w:num="1"/>
          <w:docGrid w:type="lines" w:linePitch="312" w:charSpace="0"/>
        </w:sectPr>
      </w:pPr>
      <w:r>
        <w:rPr>
          <w:rFonts w:ascii="Times New Roman" w:hAnsi="Times New Roman" w:eastAsia="方正黑体_GBK"/>
          <w:sz w:val="32"/>
          <w:szCs w:val="32"/>
        </w:rPr>
        <w:tab/>
      </w:r>
    </w:p>
    <w:p>
      <w:pPr>
        <w:spacing w:line="360" w:lineRule="auto"/>
        <w:jc w:val="center"/>
        <w:textAlignment w:val="baseline"/>
        <w:rPr>
          <w:rFonts w:ascii="Times New Roman" w:hAnsi="Times New Roman" w:eastAsia="方正小标宋_GBK"/>
          <w:b/>
          <w:bCs/>
          <w:sz w:val="32"/>
          <w:szCs w:val="32"/>
        </w:rPr>
      </w:pPr>
      <w:bookmarkStart w:id="0" w:name="_Toc57906440"/>
      <w:bookmarkStart w:id="1" w:name="_Toc57813970"/>
      <w:r>
        <w:rPr>
          <w:rFonts w:ascii="Times New Roman" w:hAnsi="Times New Roman" w:eastAsia="方正小标宋_GBK"/>
          <w:b/>
          <w:bCs/>
          <w:sz w:val="32"/>
          <w:szCs w:val="32"/>
        </w:rPr>
        <w:t>目 录</w:t>
      </w:r>
      <w:bookmarkEnd w:id="0"/>
      <w:bookmarkEnd w:id="1"/>
    </w:p>
    <w:p>
      <w:pPr>
        <w:pStyle w:val="14"/>
        <w:tabs>
          <w:tab w:val="right" w:leader="dot" w:pos="8296"/>
        </w:tabs>
        <w:rPr>
          <w:rFonts w:ascii="Times New Roman" w:hAnsi="Times New Roman" w:eastAsiaTheme="minorEastAsia"/>
          <w:sz w:val="28"/>
          <w:szCs w:val="28"/>
        </w:rPr>
      </w:pPr>
      <w:r>
        <w:rPr>
          <w:rFonts w:ascii="Times New Roman" w:hAnsi="Times New Roman"/>
          <w:sz w:val="28"/>
          <w:szCs w:val="28"/>
        </w:rPr>
        <w:fldChar w:fldCharType="begin"/>
      </w:r>
      <w:r>
        <w:rPr>
          <w:rFonts w:ascii="Times New Roman" w:hAnsi="Times New Roman"/>
          <w:sz w:val="28"/>
          <w:szCs w:val="28"/>
        </w:rPr>
        <w:instrText xml:space="preserve">TOC \o "1-2" \h \u </w:instrText>
      </w:r>
      <w:r>
        <w:rPr>
          <w:rFonts w:ascii="Times New Roman" w:hAnsi="Times New Roman"/>
          <w:sz w:val="28"/>
          <w:szCs w:val="28"/>
        </w:rPr>
        <w:fldChar w:fldCharType="separate"/>
      </w:r>
      <w:r>
        <w:fldChar w:fldCharType="begin"/>
      </w:r>
      <w:r>
        <w:instrText xml:space="preserve"> HYPERLINK \l "_Toc91625572" </w:instrText>
      </w:r>
      <w:r>
        <w:fldChar w:fldCharType="separate"/>
      </w:r>
      <w:r>
        <w:rPr>
          <w:rStyle w:val="20"/>
          <w:rFonts w:ascii="Times New Roman" w:hAnsi="Times New Roman" w:eastAsia="方正小标宋_GBK"/>
          <w:color w:val="auto"/>
          <w:sz w:val="28"/>
          <w:szCs w:val="28"/>
        </w:rPr>
        <w:t>摘  要</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_Toc91625572 \h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296"/>
        </w:tabs>
        <w:rPr>
          <w:rFonts w:ascii="Times New Roman" w:hAnsi="Times New Roman" w:eastAsiaTheme="minorEastAsia"/>
          <w:sz w:val="28"/>
          <w:szCs w:val="28"/>
        </w:rPr>
      </w:pPr>
      <w:r>
        <w:fldChar w:fldCharType="begin"/>
      </w:r>
      <w:r>
        <w:instrText xml:space="preserve"> HYPERLINK \l "_Toc91625578" </w:instrText>
      </w:r>
      <w:r>
        <w:fldChar w:fldCharType="separate"/>
      </w:r>
      <w:r>
        <w:rPr>
          <w:rStyle w:val="20"/>
          <w:rFonts w:ascii="Times New Roman" w:hAnsi="Times New Roman" w:eastAsia="方正小标宋_GBK"/>
          <w:bCs/>
          <w:color w:val="auto"/>
          <w:sz w:val="28"/>
          <w:szCs w:val="28"/>
        </w:rPr>
        <w:t>前  言</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_Toc91625578 \h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296"/>
        </w:tabs>
        <w:rPr>
          <w:rFonts w:ascii="Times New Roman" w:hAnsi="Times New Roman" w:eastAsiaTheme="minorEastAsia"/>
          <w:sz w:val="28"/>
          <w:szCs w:val="28"/>
        </w:rPr>
      </w:pPr>
      <w:r>
        <w:fldChar w:fldCharType="begin"/>
      </w:r>
      <w:r>
        <w:instrText xml:space="preserve"> HYPERLINK \l "_Toc91625579" </w:instrText>
      </w:r>
      <w:r>
        <w:fldChar w:fldCharType="separate"/>
      </w:r>
      <w:r>
        <w:rPr>
          <w:rStyle w:val="20"/>
          <w:rFonts w:ascii="Times New Roman" w:hAnsi="Times New Roman" w:eastAsia="方正黑体_GBK"/>
          <w:color w:val="auto"/>
          <w:kern w:val="44"/>
          <w:sz w:val="28"/>
          <w:szCs w:val="28"/>
        </w:rPr>
        <w:t>一、发展环境</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_Toc91625579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"_Toc91625580" </w:instrText>
      </w:r>
      <w:r>
        <w:fldChar w:fldCharType="separate"/>
      </w:r>
      <w:r>
        <w:rPr>
          <w:rStyle w:val="20"/>
          <w:rFonts w:ascii="Times New Roman" w:hAnsi="Times New Roman" w:eastAsia="方正楷体_GBK"/>
          <w:color w:val="auto"/>
          <w:sz w:val="28"/>
          <w:szCs w:val="28"/>
        </w:rPr>
        <w:t>（一）发展成就</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_Toc91625580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"_Toc91625581" </w:instrText>
      </w:r>
      <w:r>
        <w:fldChar w:fldCharType="separate"/>
      </w:r>
      <w:r>
        <w:rPr>
          <w:rStyle w:val="20"/>
          <w:rFonts w:ascii="Times New Roman" w:hAnsi="Times New Roman" w:eastAsia="方正楷体_GBK"/>
          <w:color w:val="auto"/>
          <w:sz w:val="28"/>
          <w:szCs w:val="28"/>
        </w:rPr>
        <w:t>（二）存在问题</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_Toc91625581 \h </w:instrText>
      </w:r>
      <w:r>
        <w:rPr>
          <w:rFonts w:ascii="Times New Roman" w:hAnsi="Times New Roman"/>
          <w:sz w:val="28"/>
          <w:szCs w:val="28"/>
        </w:rPr>
        <w:fldChar w:fldCharType="separate"/>
      </w:r>
      <w:r>
        <w:rPr>
          <w:rFonts w:ascii="Times New Roman" w:hAnsi="Times New Roman"/>
          <w:sz w:val="28"/>
          <w:szCs w:val="28"/>
        </w:rPr>
        <w:t>10</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"_Toc91625582" </w:instrText>
      </w:r>
      <w:r>
        <w:fldChar w:fldCharType="separate"/>
      </w:r>
      <w:r>
        <w:rPr>
          <w:rStyle w:val="20"/>
          <w:rFonts w:ascii="Times New Roman" w:hAnsi="Times New Roman" w:eastAsia="方正楷体_GBK"/>
          <w:color w:val="auto"/>
          <w:sz w:val="28"/>
          <w:szCs w:val="28"/>
        </w:rPr>
        <w:t>（三）面临形势</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_Toc91625582 \h </w:instrText>
      </w:r>
      <w:r>
        <w:rPr>
          <w:rFonts w:ascii="Times New Roman" w:hAnsi="Times New Roman"/>
          <w:sz w:val="28"/>
          <w:szCs w:val="28"/>
        </w:rPr>
        <w:fldChar w:fldCharType="separate"/>
      </w:r>
      <w:r>
        <w:rPr>
          <w:rFonts w:ascii="Times New Roman" w:hAnsi="Times New Roman"/>
          <w:sz w:val="28"/>
          <w:szCs w:val="28"/>
        </w:rPr>
        <w:t>12</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296"/>
        </w:tabs>
        <w:rPr>
          <w:rFonts w:ascii="Times New Roman" w:hAnsi="Times New Roman" w:eastAsiaTheme="minorEastAsia"/>
          <w:sz w:val="28"/>
          <w:szCs w:val="28"/>
        </w:rPr>
      </w:pPr>
      <w:r>
        <w:fldChar w:fldCharType="begin"/>
      </w:r>
      <w:r>
        <w:instrText xml:space="preserve"> HYPERLINK \l "_Toc91625583" </w:instrText>
      </w:r>
      <w:r>
        <w:fldChar w:fldCharType="separate"/>
      </w:r>
      <w:r>
        <w:rPr>
          <w:rStyle w:val="20"/>
          <w:rFonts w:ascii="Times New Roman" w:hAnsi="Times New Roman" w:eastAsia="方正黑体_GBK"/>
          <w:color w:val="auto"/>
          <w:kern w:val="44"/>
          <w:sz w:val="28"/>
          <w:szCs w:val="28"/>
        </w:rPr>
        <w:t>二、总体要求</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_Toc91625583 \h </w:instrText>
      </w:r>
      <w:r>
        <w:rPr>
          <w:rFonts w:ascii="Times New Roman" w:hAnsi="Times New Roman"/>
          <w:sz w:val="28"/>
          <w:szCs w:val="28"/>
        </w:rPr>
        <w:fldChar w:fldCharType="separate"/>
      </w:r>
      <w:r>
        <w:rPr>
          <w:rFonts w:ascii="Times New Roman" w:hAnsi="Times New Roman"/>
          <w:sz w:val="28"/>
          <w:szCs w:val="28"/>
        </w:rPr>
        <w:t>13</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"_Toc91625584" </w:instrText>
      </w:r>
      <w:r>
        <w:fldChar w:fldCharType="separate"/>
      </w:r>
      <w:r>
        <w:rPr>
          <w:rStyle w:val="20"/>
          <w:rFonts w:ascii="Times New Roman" w:hAnsi="Times New Roman" w:eastAsia="方正楷体_GBK"/>
          <w:color w:val="auto"/>
          <w:sz w:val="28"/>
          <w:szCs w:val="28"/>
        </w:rPr>
        <w:t>（一）指导思想</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_Toc91625584 \h </w:instrText>
      </w:r>
      <w:r>
        <w:rPr>
          <w:rFonts w:ascii="Times New Roman" w:hAnsi="Times New Roman"/>
          <w:sz w:val="28"/>
          <w:szCs w:val="28"/>
        </w:rPr>
        <w:fldChar w:fldCharType="separate"/>
      </w:r>
      <w:r>
        <w:rPr>
          <w:rFonts w:ascii="Times New Roman" w:hAnsi="Times New Roman"/>
          <w:sz w:val="28"/>
          <w:szCs w:val="28"/>
        </w:rPr>
        <w:t>13</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"_Toc91625585" </w:instrText>
      </w:r>
      <w:r>
        <w:fldChar w:fldCharType="separate"/>
      </w:r>
      <w:r>
        <w:rPr>
          <w:rStyle w:val="20"/>
          <w:rFonts w:ascii="Times New Roman" w:hAnsi="Times New Roman" w:eastAsia="方正楷体_GBK"/>
          <w:color w:val="auto"/>
          <w:sz w:val="28"/>
          <w:szCs w:val="28"/>
        </w:rPr>
        <w:t>（二）基本原则</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_Toc91625585 \h </w:instrText>
      </w:r>
      <w:r>
        <w:rPr>
          <w:rFonts w:ascii="Times New Roman" w:hAnsi="Times New Roman"/>
          <w:sz w:val="28"/>
          <w:szCs w:val="28"/>
        </w:rPr>
        <w:fldChar w:fldCharType="separate"/>
      </w:r>
      <w:r>
        <w:rPr>
          <w:rFonts w:ascii="Times New Roman" w:hAnsi="Times New Roman"/>
          <w:sz w:val="28"/>
          <w:szCs w:val="28"/>
        </w:rPr>
        <w:t>14</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296"/>
        </w:tabs>
        <w:rPr>
          <w:rFonts w:ascii="Times New Roman" w:hAnsi="Times New Roman" w:eastAsiaTheme="minorEastAsia"/>
          <w:sz w:val="28"/>
          <w:szCs w:val="28"/>
        </w:rPr>
      </w:pPr>
      <w:r>
        <w:fldChar w:fldCharType="begin"/>
      </w:r>
      <w:r>
        <w:instrText xml:space="preserve"> HYPERLINK \l "_Toc91625586" </w:instrText>
      </w:r>
      <w:r>
        <w:fldChar w:fldCharType="separate"/>
      </w:r>
      <w:r>
        <w:rPr>
          <w:rStyle w:val="20"/>
          <w:rFonts w:ascii="Times New Roman" w:hAnsi="Times New Roman" w:eastAsia="方正黑体_GBK"/>
          <w:color w:val="auto"/>
          <w:kern w:val="44"/>
          <w:sz w:val="28"/>
          <w:szCs w:val="28"/>
        </w:rPr>
        <w:t>三、发展策略</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_Toc91625586 \h </w:instrText>
      </w:r>
      <w:r>
        <w:rPr>
          <w:rFonts w:ascii="Times New Roman" w:hAnsi="Times New Roman"/>
          <w:sz w:val="28"/>
          <w:szCs w:val="28"/>
        </w:rPr>
        <w:fldChar w:fldCharType="separate"/>
      </w:r>
      <w:r>
        <w:rPr>
          <w:rFonts w:ascii="Times New Roman" w:hAnsi="Times New Roman"/>
          <w:sz w:val="28"/>
          <w:szCs w:val="28"/>
        </w:rPr>
        <w:t>16</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"_Toc91625587" </w:instrText>
      </w:r>
      <w:r>
        <w:fldChar w:fldCharType="separate"/>
      </w:r>
      <w:r>
        <w:rPr>
          <w:rStyle w:val="20"/>
          <w:rFonts w:ascii="Times New Roman" w:hAnsi="Times New Roman" w:eastAsia="方正楷体_GBK"/>
          <w:color w:val="auto"/>
          <w:sz w:val="28"/>
          <w:szCs w:val="28"/>
        </w:rPr>
        <w:t>（一）“一个”定位</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_Toc91625587 \h </w:instrText>
      </w:r>
      <w:r>
        <w:rPr>
          <w:rFonts w:ascii="Times New Roman" w:hAnsi="Times New Roman"/>
          <w:sz w:val="28"/>
          <w:szCs w:val="28"/>
        </w:rPr>
        <w:fldChar w:fldCharType="separate"/>
      </w:r>
      <w:r>
        <w:rPr>
          <w:rFonts w:ascii="Times New Roman" w:hAnsi="Times New Roman"/>
          <w:sz w:val="28"/>
          <w:szCs w:val="28"/>
        </w:rPr>
        <w:t>16</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"_Toc91625588" </w:instrText>
      </w:r>
      <w:r>
        <w:fldChar w:fldCharType="separate"/>
      </w:r>
      <w:r>
        <w:rPr>
          <w:rStyle w:val="20"/>
          <w:rFonts w:ascii="Times New Roman" w:hAnsi="Times New Roman" w:eastAsia="方正楷体_GBK"/>
          <w:color w:val="auto"/>
          <w:sz w:val="28"/>
          <w:szCs w:val="28"/>
        </w:rPr>
        <w:t>（二）“五大”目标</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_Toc91625588 \h </w:instrText>
      </w:r>
      <w:r>
        <w:rPr>
          <w:rFonts w:ascii="Times New Roman" w:hAnsi="Times New Roman"/>
          <w:sz w:val="28"/>
          <w:szCs w:val="28"/>
        </w:rPr>
        <w:fldChar w:fldCharType="separate"/>
      </w:r>
      <w:r>
        <w:rPr>
          <w:rFonts w:ascii="Times New Roman" w:hAnsi="Times New Roman"/>
          <w:sz w:val="28"/>
          <w:szCs w:val="28"/>
        </w:rPr>
        <w:t>16</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"_Toc91625589" </w:instrText>
      </w:r>
      <w:r>
        <w:fldChar w:fldCharType="separate"/>
      </w:r>
      <w:r>
        <w:rPr>
          <w:rStyle w:val="20"/>
          <w:rFonts w:ascii="Times New Roman" w:hAnsi="Times New Roman" w:eastAsia="方正楷体_GBK"/>
          <w:color w:val="auto"/>
          <w:sz w:val="28"/>
          <w:szCs w:val="28"/>
        </w:rPr>
        <w:t>（三）“五大”产业</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_Toc91625589 \h </w:instrText>
      </w:r>
      <w:r>
        <w:rPr>
          <w:rFonts w:ascii="Times New Roman" w:hAnsi="Times New Roman"/>
          <w:sz w:val="28"/>
          <w:szCs w:val="28"/>
        </w:rPr>
        <w:fldChar w:fldCharType="separate"/>
      </w:r>
      <w:r>
        <w:rPr>
          <w:rFonts w:ascii="Times New Roman" w:hAnsi="Times New Roman"/>
          <w:sz w:val="28"/>
          <w:szCs w:val="28"/>
        </w:rPr>
        <w:t>20</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"_Toc91625590" </w:instrText>
      </w:r>
      <w:r>
        <w:fldChar w:fldCharType="separate"/>
      </w:r>
      <w:r>
        <w:rPr>
          <w:rStyle w:val="20"/>
          <w:rFonts w:ascii="Times New Roman" w:hAnsi="Times New Roman" w:eastAsia="方正楷体_GBK"/>
          <w:color w:val="auto"/>
          <w:sz w:val="28"/>
          <w:szCs w:val="28"/>
        </w:rPr>
        <w:t>（四）“六大”聚集区</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_Toc91625590 \h </w:instrText>
      </w:r>
      <w:r>
        <w:rPr>
          <w:rFonts w:ascii="Times New Roman" w:hAnsi="Times New Roman"/>
          <w:sz w:val="28"/>
          <w:szCs w:val="28"/>
        </w:rPr>
        <w:fldChar w:fldCharType="separate"/>
      </w:r>
      <w:r>
        <w:rPr>
          <w:rFonts w:ascii="Times New Roman" w:hAnsi="Times New Roman"/>
          <w:sz w:val="28"/>
          <w:szCs w:val="28"/>
        </w:rPr>
        <w:t>21</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"_Toc91625591" </w:instrText>
      </w:r>
      <w:r>
        <w:fldChar w:fldCharType="separate"/>
      </w:r>
      <w:r>
        <w:rPr>
          <w:rStyle w:val="20"/>
          <w:rFonts w:ascii="Times New Roman" w:hAnsi="Times New Roman" w:eastAsia="方正楷体_GBK"/>
          <w:color w:val="auto"/>
          <w:sz w:val="28"/>
          <w:szCs w:val="28"/>
        </w:rPr>
        <w:t>（五）“六项”行动</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_Toc91625591 \h </w:instrText>
      </w:r>
      <w:r>
        <w:rPr>
          <w:rFonts w:ascii="Times New Roman" w:hAnsi="Times New Roman"/>
          <w:sz w:val="28"/>
          <w:szCs w:val="28"/>
        </w:rPr>
        <w:fldChar w:fldCharType="separate"/>
      </w:r>
      <w:r>
        <w:rPr>
          <w:rFonts w:ascii="Times New Roman" w:hAnsi="Times New Roman"/>
          <w:sz w:val="28"/>
          <w:szCs w:val="28"/>
        </w:rPr>
        <w:t>22</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296"/>
        </w:tabs>
        <w:rPr>
          <w:rFonts w:ascii="Times New Roman" w:hAnsi="Times New Roman" w:eastAsiaTheme="minorEastAsia"/>
          <w:sz w:val="28"/>
          <w:szCs w:val="28"/>
        </w:rPr>
      </w:pPr>
      <w:r>
        <w:fldChar w:fldCharType="begin"/>
      </w:r>
      <w:r>
        <w:instrText xml:space="preserve"> HYPERLINK \l "_Toc91625592" </w:instrText>
      </w:r>
      <w:r>
        <w:fldChar w:fldCharType="separate"/>
      </w:r>
      <w:r>
        <w:rPr>
          <w:rStyle w:val="20"/>
          <w:rFonts w:ascii="Times New Roman" w:hAnsi="Times New Roman" w:eastAsia="方正黑体_GBK"/>
          <w:color w:val="auto"/>
          <w:kern w:val="44"/>
          <w:sz w:val="28"/>
          <w:szCs w:val="28"/>
        </w:rPr>
        <w:t>四、行动计划</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_Toc91625592 \h </w:instrText>
      </w:r>
      <w:r>
        <w:rPr>
          <w:rFonts w:ascii="Times New Roman" w:hAnsi="Times New Roman"/>
          <w:sz w:val="28"/>
          <w:szCs w:val="28"/>
        </w:rPr>
        <w:fldChar w:fldCharType="separate"/>
      </w:r>
      <w:r>
        <w:rPr>
          <w:rFonts w:ascii="Times New Roman" w:hAnsi="Times New Roman"/>
          <w:sz w:val="28"/>
          <w:szCs w:val="28"/>
        </w:rPr>
        <w:t>23</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"_Toc91625593" </w:instrText>
      </w:r>
      <w:r>
        <w:fldChar w:fldCharType="separate"/>
      </w:r>
      <w:r>
        <w:rPr>
          <w:rStyle w:val="20"/>
          <w:rFonts w:ascii="Times New Roman" w:hAnsi="Times New Roman" w:eastAsia="方正楷体_GBK"/>
          <w:color w:val="auto"/>
          <w:sz w:val="28"/>
          <w:szCs w:val="28"/>
        </w:rPr>
        <w:t>（一）国际消费载体提质行动</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_Toc91625593 \h </w:instrText>
      </w:r>
      <w:r>
        <w:rPr>
          <w:rFonts w:ascii="Times New Roman" w:hAnsi="Times New Roman"/>
          <w:sz w:val="28"/>
          <w:szCs w:val="28"/>
        </w:rPr>
        <w:fldChar w:fldCharType="separate"/>
      </w:r>
      <w:r>
        <w:rPr>
          <w:rFonts w:ascii="Times New Roman" w:hAnsi="Times New Roman"/>
          <w:sz w:val="28"/>
          <w:szCs w:val="28"/>
        </w:rPr>
        <w:t>23</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"_Toc91625594" </w:instrText>
      </w:r>
      <w:r>
        <w:fldChar w:fldCharType="separate"/>
      </w:r>
      <w:r>
        <w:rPr>
          <w:rStyle w:val="20"/>
          <w:rFonts w:ascii="Times New Roman" w:hAnsi="Times New Roman" w:eastAsia="方正楷体_GBK"/>
          <w:color w:val="auto"/>
          <w:sz w:val="28"/>
          <w:szCs w:val="28"/>
        </w:rPr>
        <w:t>（二）国际消费资源集聚行动</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_Toc91625594 \h </w:instrText>
      </w:r>
      <w:r>
        <w:rPr>
          <w:rFonts w:ascii="Times New Roman" w:hAnsi="Times New Roman"/>
          <w:sz w:val="28"/>
          <w:szCs w:val="28"/>
        </w:rPr>
        <w:fldChar w:fldCharType="separate"/>
      </w:r>
      <w:r>
        <w:rPr>
          <w:rFonts w:ascii="Times New Roman" w:hAnsi="Times New Roman"/>
          <w:sz w:val="28"/>
          <w:szCs w:val="28"/>
        </w:rPr>
        <w:t>32</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"_Toc91625595" </w:instrText>
      </w:r>
      <w:r>
        <w:fldChar w:fldCharType="separate"/>
      </w:r>
      <w:r>
        <w:rPr>
          <w:rStyle w:val="20"/>
          <w:rFonts w:ascii="Times New Roman" w:hAnsi="Times New Roman" w:eastAsia="方正楷体_GBK"/>
          <w:color w:val="auto"/>
          <w:sz w:val="28"/>
          <w:szCs w:val="28"/>
        </w:rPr>
        <w:t>（三）国际消费潮流引领行动</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_Toc91625595 \h </w:instrText>
      </w:r>
      <w:r>
        <w:rPr>
          <w:rFonts w:ascii="Times New Roman" w:hAnsi="Times New Roman"/>
          <w:sz w:val="28"/>
          <w:szCs w:val="28"/>
        </w:rPr>
        <w:fldChar w:fldCharType="separate"/>
      </w:r>
      <w:r>
        <w:rPr>
          <w:rFonts w:ascii="Times New Roman" w:hAnsi="Times New Roman"/>
          <w:sz w:val="28"/>
          <w:szCs w:val="28"/>
        </w:rPr>
        <w:t>36</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"_Toc91625596" </w:instrText>
      </w:r>
      <w:r>
        <w:fldChar w:fldCharType="separate"/>
      </w:r>
      <w:r>
        <w:rPr>
          <w:rStyle w:val="20"/>
          <w:rFonts w:ascii="Times New Roman" w:hAnsi="Times New Roman" w:eastAsia="方正楷体_GBK"/>
          <w:color w:val="auto"/>
          <w:sz w:val="28"/>
          <w:szCs w:val="28"/>
        </w:rPr>
        <w:t>（四）国际国内合作推广行动</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_Toc91625596 \h </w:instrText>
      </w:r>
      <w:r>
        <w:rPr>
          <w:rFonts w:ascii="Times New Roman" w:hAnsi="Times New Roman"/>
          <w:sz w:val="28"/>
          <w:szCs w:val="28"/>
        </w:rPr>
        <w:fldChar w:fldCharType="separate"/>
      </w:r>
      <w:r>
        <w:rPr>
          <w:rFonts w:ascii="Times New Roman" w:hAnsi="Times New Roman"/>
          <w:sz w:val="28"/>
          <w:szCs w:val="28"/>
        </w:rPr>
        <w:t>38</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"_Toc91625597" </w:instrText>
      </w:r>
      <w:r>
        <w:fldChar w:fldCharType="separate"/>
      </w:r>
      <w:r>
        <w:rPr>
          <w:rStyle w:val="20"/>
          <w:rFonts w:ascii="Times New Roman" w:hAnsi="Times New Roman" w:eastAsia="方正楷体_GBK"/>
          <w:color w:val="auto"/>
          <w:sz w:val="28"/>
          <w:szCs w:val="28"/>
        </w:rPr>
        <w:t>（五）国际消费服务提升行动</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_Toc91625597 \h </w:instrText>
      </w:r>
      <w:r>
        <w:rPr>
          <w:rFonts w:ascii="Times New Roman" w:hAnsi="Times New Roman"/>
          <w:sz w:val="28"/>
          <w:szCs w:val="28"/>
        </w:rPr>
        <w:fldChar w:fldCharType="separate"/>
      </w:r>
      <w:r>
        <w:rPr>
          <w:rFonts w:ascii="Times New Roman" w:hAnsi="Times New Roman"/>
          <w:sz w:val="28"/>
          <w:szCs w:val="28"/>
        </w:rPr>
        <w:t>40</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"_Toc91625598" </w:instrText>
      </w:r>
      <w:r>
        <w:fldChar w:fldCharType="separate"/>
      </w:r>
      <w:r>
        <w:rPr>
          <w:rStyle w:val="20"/>
          <w:rFonts w:ascii="Times New Roman" w:hAnsi="Times New Roman" w:eastAsia="方正楷体_GBK"/>
          <w:color w:val="auto"/>
          <w:sz w:val="28"/>
          <w:szCs w:val="28"/>
        </w:rPr>
        <w:t>（六）国际消费环境优化行动</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_Toc91625598 \h </w:instrText>
      </w:r>
      <w:r>
        <w:rPr>
          <w:rFonts w:ascii="Times New Roman" w:hAnsi="Times New Roman"/>
          <w:sz w:val="28"/>
          <w:szCs w:val="28"/>
        </w:rPr>
        <w:fldChar w:fldCharType="separate"/>
      </w:r>
      <w:r>
        <w:rPr>
          <w:rFonts w:ascii="Times New Roman" w:hAnsi="Times New Roman"/>
          <w:sz w:val="28"/>
          <w:szCs w:val="28"/>
        </w:rPr>
        <w:t>42</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296"/>
        </w:tabs>
        <w:rPr>
          <w:rFonts w:ascii="Times New Roman" w:hAnsi="Times New Roman" w:eastAsiaTheme="minorEastAsia"/>
          <w:sz w:val="28"/>
          <w:szCs w:val="28"/>
        </w:rPr>
      </w:pPr>
      <w:r>
        <w:fldChar w:fldCharType="begin"/>
      </w:r>
      <w:r>
        <w:instrText xml:space="preserve"> HYPERLINK \l "_Toc91625599" </w:instrText>
      </w:r>
      <w:r>
        <w:fldChar w:fldCharType="separate"/>
      </w:r>
      <w:r>
        <w:rPr>
          <w:rStyle w:val="20"/>
          <w:rFonts w:ascii="Times New Roman" w:hAnsi="Times New Roman" w:eastAsia="方正黑体_GBK"/>
          <w:color w:val="auto"/>
          <w:kern w:val="44"/>
          <w:sz w:val="28"/>
          <w:szCs w:val="28"/>
        </w:rPr>
        <w:t>五、保障措施</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_Toc91625599 \h </w:instrText>
      </w:r>
      <w:r>
        <w:rPr>
          <w:rFonts w:ascii="Times New Roman" w:hAnsi="Times New Roman"/>
          <w:sz w:val="28"/>
          <w:szCs w:val="28"/>
        </w:rPr>
        <w:fldChar w:fldCharType="separate"/>
      </w:r>
      <w:r>
        <w:rPr>
          <w:rFonts w:ascii="Times New Roman" w:hAnsi="Times New Roman"/>
          <w:sz w:val="28"/>
          <w:szCs w:val="28"/>
        </w:rPr>
        <w:t>44</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"_Toc91625600" </w:instrText>
      </w:r>
      <w:r>
        <w:fldChar w:fldCharType="separate"/>
      </w:r>
      <w:r>
        <w:rPr>
          <w:rStyle w:val="20"/>
          <w:rFonts w:ascii="Times New Roman" w:hAnsi="Times New Roman" w:eastAsia="方正楷体_GBK"/>
          <w:color w:val="auto"/>
          <w:sz w:val="28"/>
          <w:szCs w:val="28"/>
        </w:rPr>
        <w:t>（一）强化组织机构保障</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_Toc91625600 \h </w:instrText>
      </w:r>
      <w:r>
        <w:rPr>
          <w:rFonts w:ascii="Times New Roman" w:hAnsi="Times New Roman"/>
          <w:sz w:val="28"/>
          <w:szCs w:val="28"/>
        </w:rPr>
        <w:fldChar w:fldCharType="separate"/>
      </w:r>
      <w:r>
        <w:rPr>
          <w:rFonts w:ascii="Times New Roman" w:hAnsi="Times New Roman"/>
          <w:sz w:val="28"/>
          <w:szCs w:val="28"/>
        </w:rPr>
        <w:t>44</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"_Toc91625601" </w:instrText>
      </w:r>
      <w:r>
        <w:fldChar w:fldCharType="separate"/>
      </w:r>
      <w:r>
        <w:rPr>
          <w:rStyle w:val="20"/>
          <w:rFonts w:ascii="Times New Roman" w:hAnsi="Times New Roman" w:eastAsia="方正楷体_GBK"/>
          <w:color w:val="auto"/>
          <w:sz w:val="28"/>
          <w:szCs w:val="28"/>
        </w:rPr>
        <w:t>（二）加强财税金融支持</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_Toc91625601 \h </w:instrText>
      </w:r>
      <w:r>
        <w:rPr>
          <w:rFonts w:ascii="Times New Roman" w:hAnsi="Times New Roman"/>
          <w:sz w:val="28"/>
          <w:szCs w:val="28"/>
        </w:rPr>
        <w:fldChar w:fldCharType="separate"/>
      </w:r>
      <w:r>
        <w:rPr>
          <w:rFonts w:ascii="Times New Roman" w:hAnsi="Times New Roman"/>
          <w:sz w:val="28"/>
          <w:szCs w:val="28"/>
        </w:rPr>
        <w:t>44</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"_Toc91625602" </w:instrText>
      </w:r>
      <w:r>
        <w:fldChar w:fldCharType="separate"/>
      </w:r>
      <w:r>
        <w:rPr>
          <w:rStyle w:val="20"/>
          <w:rFonts w:ascii="Times New Roman" w:hAnsi="Times New Roman" w:eastAsia="方正楷体_GBK"/>
          <w:color w:val="auto"/>
          <w:sz w:val="28"/>
          <w:szCs w:val="28"/>
        </w:rPr>
        <w:t>（三）落实土地保障措施</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_Toc91625602 \h </w:instrText>
      </w:r>
      <w:r>
        <w:rPr>
          <w:rFonts w:ascii="Times New Roman" w:hAnsi="Times New Roman"/>
          <w:sz w:val="28"/>
          <w:szCs w:val="28"/>
        </w:rPr>
        <w:fldChar w:fldCharType="separate"/>
      </w:r>
      <w:r>
        <w:rPr>
          <w:rFonts w:ascii="Times New Roman" w:hAnsi="Times New Roman"/>
          <w:sz w:val="28"/>
          <w:szCs w:val="28"/>
        </w:rPr>
        <w:t>44</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"_Toc91625603" </w:instrText>
      </w:r>
      <w:r>
        <w:fldChar w:fldCharType="separate"/>
      </w:r>
      <w:r>
        <w:rPr>
          <w:rStyle w:val="20"/>
          <w:rFonts w:ascii="Times New Roman" w:hAnsi="Times New Roman" w:eastAsia="方正楷体_GBK"/>
          <w:color w:val="auto"/>
          <w:sz w:val="28"/>
          <w:szCs w:val="28"/>
        </w:rPr>
        <w:t>（四）强化人才支撑体系</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_Toc91625603 \h </w:instrText>
      </w:r>
      <w:r>
        <w:rPr>
          <w:rFonts w:ascii="Times New Roman" w:hAnsi="Times New Roman"/>
          <w:sz w:val="28"/>
          <w:szCs w:val="28"/>
        </w:rPr>
        <w:fldChar w:fldCharType="separate"/>
      </w:r>
      <w:r>
        <w:rPr>
          <w:rFonts w:ascii="Times New Roman" w:hAnsi="Times New Roman"/>
          <w:sz w:val="28"/>
          <w:szCs w:val="28"/>
        </w:rPr>
        <w:t>44</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"_Toc91625604" </w:instrText>
      </w:r>
      <w:r>
        <w:fldChar w:fldCharType="separate"/>
      </w:r>
      <w:r>
        <w:rPr>
          <w:rStyle w:val="20"/>
          <w:rFonts w:ascii="Times New Roman" w:hAnsi="Times New Roman" w:eastAsia="方正楷体_GBK"/>
          <w:color w:val="auto"/>
          <w:sz w:val="28"/>
          <w:szCs w:val="28"/>
        </w:rPr>
        <w:t>（五）实施包容审慎监管</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_Toc91625604 \h </w:instrText>
      </w:r>
      <w:r>
        <w:rPr>
          <w:rFonts w:ascii="Times New Roman" w:hAnsi="Times New Roman"/>
          <w:sz w:val="28"/>
          <w:szCs w:val="28"/>
        </w:rPr>
        <w:fldChar w:fldCharType="separate"/>
      </w:r>
      <w:r>
        <w:rPr>
          <w:rFonts w:ascii="Times New Roman" w:hAnsi="Times New Roman"/>
          <w:sz w:val="28"/>
          <w:szCs w:val="28"/>
        </w:rPr>
        <w:t>45</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"_Toc91625605" </w:instrText>
      </w:r>
      <w:r>
        <w:fldChar w:fldCharType="separate"/>
      </w:r>
      <w:r>
        <w:rPr>
          <w:rStyle w:val="20"/>
          <w:rFonts w:ascii="Times New Roman" w:hAnsi="Times New Roman" w:eastAsia="方正楷体_GBK"/>
          <w:color w:val="auto"/>
          <w:sz w:val="28"/>
          <w:szCs w:val="28"/>
        </w:rPr>
        <w:t>（六）加强监测评估考核</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_Toc91625605 \h </w:instrText>
      </w:r>
      <w:r>
        <w:rPr>
          <w:rFonts w:ascii="Times New Roman" w:hAnsi="Times New Roman"/>
          <w:sz w:val="28"/>
          <w:szCs w:val="28"/>
        </w:rPr>
        <w:fldChar w:fldCharType="separate"/>
      </w:r>
      <w:r>
        <w:rPr>
          <w:rFonts w:ascii="Times New Roman" w:hAnsi="Times New Roman"/>
          <w:sz w:val="28"/>
          <w:szCs w:val="28"/>
        </w:rPr>
        <w:t>45</w:t>
      </w:r>
      <w:r>
        <w:rPr>
          <w:rFonts w:ascii="Times New Roman" w:hAnsi="Times New Roman"/>
          <w:sz w:val="28"/>
          <w:szCs w:val="28"/>
        </w:rPr>
        <w:fldChar w:fldCharType="end"/>
      </w:r>
      <w:r>
        <w:rPr>
          <w:rFonts w:ascii="Times New Roman" w:hAnsi="Times New Roman"/>
          <w:sz w:val="28"/>
          <w:szCs w:val="28"/>
        </w:rPr>
        <w:fldChar w:fldCharType="end"/>
      </w:r>
    </w:p>
    <w:p>
      <w:pPr>
        <w:pStyle w:val="15"/>
        <w:tabs>
          <w:tab w:val="right" w:leader="dot" w:pos="8296"/>
        </w:tabs>
        <w:ind w:left="420"/>
        <w:rPr>
          <w:rFonts w:ascii="Times New Roman" w:hAnsi="Times New Roman" w:eastAsiaTheme="minorEastAsia"/>
          <w:sz w:val="28"/>
          <w:szCs w:val="28"/>
        </w:rPr>
      </w:pPr>
      <w:r>
        <w:fldChar w:fldCharType="begin"/>
      </w:r>
      <w:r>
        <w:instrText xml:space="preserve"> HYPERLINK \l "_Toc91625606" </w:instrText>
      </w:r>
      <w:r>
        <w:fldChar w:fldCharType="separate"/>
      </w:r>
      <w:r>
        <w:rPr>
          <w:rStyle w:val="20"/>
          <w:rFonts w:ascii="Times New Roman" w:hAnsi="Times New Roman" w:eastAsia="方正楷体_GBK"/>
          <w:color w:val="auto"/>
          <w:sz w:val="28"/>
          <w:szCs w:val="28"/>
        </w:rPr>
        <w:t>（七）重视整体宣传引导</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_Toc91625606 \h </w:instrText>
      </w:r>
      <w:r>
        <w:rPr>
          <w:rFonts w:ascii="Times New Roman" w:hAnsi="Times New Roman"/>
          <w:sz w:val="28"/>
          <w:szCs w:val="28"/>
        </w:rPr>
        <w:fldChar w:fldCharType="separate"/>
      </w:r>
      <w:r>
        <w:rPr>
          <w:rFonts w:ascii="Times New Roman" w:hAnsi="Times New Roman"/>
          <w:sz w:val="28"/>
          <w:szCs w:val="28"/>
        </w:rPr>
        <w:t>45</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296"/>
        </w:tabs>
        <w:rPr>
          <w:rFonts w:ascii="Times New Roman" w:hAnsi="Times New Roman" w:eastAsiaTheme="minorEastAsia"/>
          <w:sz w:val="28"/>
          <w:szCs w:val="28"/>
        </w:rPr>
      </w:pPr>
      <w:r>
        <w:fldChar w:fldCharType="begin"/>
      </w:r>
      <w:r>
        <w:instrText xml:space="preserve"> HYPERLINK \l "_Toc91625607" </w:instrText>
      </w:r>
      <w:r>
        <w:fldChar w:fldCharType="separate"/>
      </w:r>
      <w:r>
        <w:rPr>
          <w:rStyle w:val="20"/>
          <w:rFonts w:ascii="Times New Roman" w:hAnsi="Times New Roman"/>
          <w:b/>
          <w:color w:val="auto"/>
          <w:sz w:val="28"/>
          <w:szCs w:val="28"/>
        </w:rPr>
        <w:t>附表 江北区建设国际消费中心城市“十四五”规划重点项目表</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_Toc91625607 \h </w:instrText>
      </w:r>
      <w:r>
        <w:rPr>
          <w:rFonts w:ascii="Times New Roman" w:hAnsi="Times New Roman"/>
          <w:sz w:val="28"/>
          <w:szCs w:val="28"/>
        </w:rPr>
        <w:fldChar w:fldCharType="separate"/>
      </w:r>
      <w:r>
        <w:rPr>
          <w:rFonts w:ascii="Times New Roman" w:hAnsi="Times New Roman"/>
          <w:sz w:val="28"/>
          <w:szCs w:val="28"/>
        </w:rPr>
        <w:t>46</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296"/>
        </w:tabs>
        <w:spacing w:line="360" w:lineRule="auto"/>
        <w:textAlignment w:val="baseline"/>
        <w:rPr>
          <w:rFonts w:ascii="Times New Roman" w:hAnsi="Times New Roman"/>
          <w:sz w:val="32"/>
          <w:szCs w:val="32"/>
        </w:rPr>
      </w:pPr>
      <w:r>
        <w:rPr>
          <w:rFonts w:ascii="Times New Roman" w:hAnsi="Times New Roman"/>
          <w:sz w:val="28"/>
          <w:szCs w:val="28"/>
        </w:rPr>
        <w:fldChar w:fldCharType="end"/>
      </w:r>
      <w:bookmarkStart w:id="2" w:name="_Toc53671423"/>
    </w:p>
    <w:p>
      <w:pPr>
        <w:pStyle w:val="2"/>
        <w:ind w:firstLine="640"/>
        <w:textAlignment w:val="baseline"/>
        <w:rPr>
          <w:rFonts w:ascii="Times New Roman" w:hAnsi="Times New Roman"/>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keepLines/>
        <w:spacing w:before="156" w:after="156" w:line="360" w:lineRule="auto"/>
        <w:jc w:val="center"/>
        <w:textAlignment w:val="baseline"/>
        <w:outlineLvl w:val="0"/>
        <w:rPr>
          <w:rFonts w:ascii="Times New Roman" w:hAnsi="Times New Roman" w:eastAsia="方正小标宋_GBK"/>
          <w:sz w:val="32"/>
          <w:szCs w:val="32"/>
        </w:rPr>
      </w:pPr>
      <w:bookmarkStart w:id="3" w:name="_Toc32508"/>
      <w:bookmarkStart w:id="4" w:name="_Toc91625572"/>
      <w:r>
        <w:rPr>
          <w:rFonts w:ascii="Times New Roman" w:hAnsi="Times New Roman" w:eastAsia="方正小标宋_GBK"/>
          <w:sz w:val="32"/>
          <w:szCs w:val="32"/>
        </w:rPr>
        <w:t>摘  要</w:t>
      </w:r>
      <w:bookmarkEnd w:id="3"/>
      <w:bookmarkEnd w:id="4"/>
    </w:p>
    <w:p>
      <w:pPr>
        <w:ind w:firstLine="640" w:firstLineChars="200"/>
        <w:textAlignment w:val="baseline"/>
        <w:outlineLvl w:val="0"/>
        <w:rPr>
          <w:rFonts w:ascii="Times New Roman" w:hAnsi="Times New Roman" w:eastAsia="方正黑体_GBK"/>
          <w:bCs/>
          <w:sz w:val="32"/>
          <w:szCs w:val="32"/>
        </w:rPr>
      </w:pPr>
      <w:bookmarkStart w:id="5" w:name="_Toc91625573"/>
      <w:r>
        <w:rPr>
          <w:rFonts w:ascii="Times New Roman" w:hAnsi="Times New Roman" w:eastAsia="方正黑体_GBK"/>
          <w:bCs/>
          <w:sz w:val="32"/>
          <w:szCs w:val="32"/>
        </w:rPr>
        <w:t>一、规划研究背景</w:t>
      </w:r>
      <w:bookmarkEnd w:id="5"/>
    </w:p>
    <w:p>
      <w:pPr>
        <w:pStyle w:val="2"/>
        <w:ind w:firstLine="640"/>
        <w:textAlignment w:val="baseline"/>
        <w:rPr>
          <w:rFonts w:ascii="Times New Roman" w:hAnsi="Times New Roman" w:eastAsia="方正仿宋_GBK"/>
          <w:sz w:val="32"/>
          <w:szCs w:val="32"/>
        </w:rPr>
      </w:pPr>
      <w:r>
        <w:rPr>
          <w:rFonts w:ascii="Times New Roman" w:hAnsi="Times New Roman" w:eastAsia="方正仿宋_GBK"/>
          <w:sz w:val="32"/>
          <w:szCs w:val="32"/>
        </w:rPr>
        <w:t>国际消费中心城市是现代国际化大都市的核心功能之一，是消费资源的集聚地，更是一国乃至全球消费市场的制高点，具有很强的消费引领和带动作用。2019年10月14日，经国务院同意，商务部等14部门联合印发了《关于培育建设国际消费中心城市的指导意见》（商运发〔2019〕309号），指导全国推进国际消费中心城市培育建设工作。2021年7月19日，经国务院批准，在北京、上海、广州、天津、重庆五个城市率先开展国际消费中心城市培育建设。重庆市相继出台了《重庆市人民政府办公厅关于加快建设国际消费中心城市的实施意见》（渝府办发〔2019〕121号）、《重庆市培育建设国际消费中心城市实施方案》（渝府发〔2021〕33号）等政策文件促进国际消费中心城市建设，江北区作为重庆市国际消费中心城市首选区全力推进国际消费中心城市建设。</w:t>
      </w:r>
    </w:p>
    <w:p>
      <w:pPr>
        <w:ind w:firstLine="640" w:firstLineChars="200"/>
        <w:textAlignment w:val="baseline"/>
        <w:outlineLvl w:val="0"/>
        <w:rPr>
          <w:rFonts w:ascii="Times New Roman" w:hAnsi="Times New Roman" w:eastAsia="方正黑体_GBK"/>
          <w:bCs/>
          <w:sz w:val="32"/>
          <w:szCs w:val="32"/>
        </w:rPr>
      </w:pPr>
      <w:bookmarkStart w:id="6" w:name="_Toc91625574"/>
      <w:r>
        <w:rPr>
          <w:rFonts w:ascii="Times New Roman" w:hAnsi="Times New Roman" w:eastAsia="方正黑体_GBK"/>
          <w:bCs/>
          <w:sz w:val="32"/>
          <w:szCs w:val="32"/>
        </w:rPr>
        <w:t>二、发展基础</w:t>
      </w:r>
      <w:bookmarkEnd w:id="6"/>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十三五”期间，江北区消费转型升级成效突出，取得了消费规模快速扩展、消费载体持续丰富、消费业态不断创新、消费品牌加快聚集、开放平台呈现活力、消费环境全面优化、文旅融合深度推进等发展成绩，为“十四五”期间江北区建设国际消费中心城市奠定了良好的基础。</w:t>
      </w:r>
    </w:p>
    <w:p>
      <w:pPr>
        <w:ind w:firstLine="640" w:firstLineChars="200"/>
        <w:textAlignment w:val="baseline"/>
        <w:outlineLvl w:val="0"/>
        <w:rPr>
          <w:rFonts w:ascii="Times New Roman" w:hAnsi="Times New Roman" w:eastAsia="方正黑体_GBK"/>
          <w:bCs/>
          <w:sz w:val="32"/>
          <w:szCs w:val="32"/>
        </w:rPr>
      </w:pPr>
      <w:bookmarkStart w:id="7" w:name="_Toc91625575"/>
      <w:r>
        <w:rPr>
          <w:rFonts w:ascii="Times New Roman" w:hAnsi="Times New Roman" w:eastAsia="方正黑体_GBK"/>
          <w:bCs/>
          <w:sz w:val="32"/>
          <w:szCs w:val="32"/>
        </w:rPr>
        <w:t>三、发展策略</w:t>
      </w:r>
      <w:bookmarkEnd w:id="7"/>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紧扣重庆市培育建设国际消费中心城市发展契机，立足江北区发展基础，坚持以差异化、特色化、个性化为发展导向，“十四五”期间江北区建设国际消费中心城市实施“15566”发展策略。</w:t>
      </w:r>
    </w:p>
    <w:p>
      <w:pPr>
        <w:spacing w:line="360" w:lineRule="auto"/>
        <w:ind w:firstLine="640" w:firstLineChars="200"/>
        <w:textAlignment w:val="baseline"/>
        <w:rPr>
          <w:rFonts w:ascii="Times New Roman" w:hAnsi="Times New Roman"/>
          <w:sz w:val="32"/>
          <w:szCs w:val="32"/>
        </w:rPr>
      </w:pPr>
      <w:r>
        <w:rPr>
          <w:rFonts w:ascii="Times New Roman" w:hAnsi="Times New Roman" w:eastAsia="方正楷体_GBK"/>
          <w:bCs/>
          <w:sz w:val="32"/>
          <w:szCs w:val="32"/>
        </w:rPr>
        <w:t>（一）“一个”定位：</w:t>
      </w:r>
      <w:r>
        <w:rPr>
          <w:rFonts w:ascii="Times New Roman" w:hAnsi="Times New Roman" w:eastAsia="方正仿宋_GBK"/>
          <w:sz w:val="32"/>
          <w:szCs w:val="32"/>
        </w:rPr>
        <w:t>到2025年，江北区建设成为重庆市国际消费中心城市首选区。</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bCs/>
          <w:sz w:val="32"/>
          <w:szCs w:val="32"/>
        </w:rPr>
        <w:t>（二）“五大”目标：</w:t>
      </w:r>
      <w:r>
        <w:rPr>
          <w:rFonts w:ascii="Times New Roman" w:hAnsi="Times New Roman" w:eastAsia="方正仿宋_GBK"/>
          <w:sz w:val="32"/>
          <w:szCs w:val="32"/>
        </w:rPr>
        <w:t>“十四五”期间，江北区建设成为国际都市旅游目的地、国际购物消费聚集地、国际夜间消费领跑地、国际时尚消费新高地和国际美食消费必选地。并围绕国际知名度、消费繁荣度、商业活跃度、到达便利度、政策引领度五大维度系统构建“十四五”发展目标体系。</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bCs/>
          <w:sz w:val="32"/>
          <w:szCs w:val="32"/>
        </w:rPr>
        <w:t>（三）“五大”产业：</w:t>
      </w:r>
      <w:r>
        <w:rPr>
          <w:rFonts w:ascii="Times New Roman" w:hAnsi="Times New Roman" w:eastAsia="方正仿宋_GBK"/>
          <w:sz w:val="32"/>
          <w:szCs w:val="32"/>
        </w:rPr>
        <w:t>做大做强商贸产业、大力发展旅游产业、培育壮大文体产业、积极拓展医美产业、加快发展娱乐产业。</w:t>
      </w:r>
    </w:p>
    <w:p>
      <w:pPr>
        <w:pStyle w:val="2"/>
        <w:ind w:firstLine="640"/>
        <w:textAlignment w:val="baseline"/>
        <w:rPr>
          <w:rFonts w:ascii="Times New Roman" w:hAnsi="Times New Roman" w:eastAsia="方正仿宋_GBK"/>
          <w:b/>
          <w:sz w:val="32"/>
          <w:szCs w:val="32"/>
        </w:rPr>
      </w:pPr>
      <w:r>
        <w:rPr>
          <w:rFonts w:ascii="Times New Roman" w:hAnsi="Times New Roman" w:eastAsia="方正楷体_GBK"/>
          <w:bCs/>
          <w:sz w:val="32"/>
          <w:szCs w:val="32"/>
        </w:rPr>
        <w:t>（四）“六大”消费集聚区：</w:t>
      </w:r>
      <w:r>
        <w:rPr>
          <w:rFonts w:ascii="Times New Roman" w:hAnsi="Times New Roman" w:eastAsia="方正仿宋_GBK"/>
          <w:sz w:val="32"/>
          <w:szCs w:val="32"/>
        </w:rPr>
        <w:t>提能打造观音桥国际知名商圈，加快构建江北嘴国际高端购物目的地，精心建设寸滩国际新城，着力发展果园港多式联运国际物流枢纽，融合提升北滨路国际“慢生活”经济带，生态打造五宝国际时尚运动城。</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bCs/>
          <w:sz w:val="32"/>
          <w:szCs w:val="32"/>
        </w:rPr>
        <w:t>（五）“六项”行动：</w:t>
      </w:r>
      <w:r>
        <w:rPr>
          <w:rFonts w:ascii="Times New Roman" w:hAnsi="Times New Roman" w:eastAsia="方正仿宋_GBK"/>
          <w:sz w:val="32"/>
          <w:szCs w:val="32"/>
        </w:rPr>
        <w:t>“十四五”期间，江北区通过国际消费载体提质行动、国际消费资源集聚行动、国际消费潮流引领行动、国际国内合作推广行动、国际消费服务提升行动、国际消费环境优化行动</w:t>
      </w:r>
      <w:r>
        <w:rPr>
          <w:rFonts w:hint="eastAsia" w:ascii="Times New Roman" w:hAnsi="Times New Roman" w:eastAsia="方正仿宋_GBK"/>
          <w:sz w:val="32"/>
          <w:szCs w:val="32"/>
        </w:rPr>
        <w:t>等</w:t>
      </w:r>
      <w:r>
        <w:rPr>
          <w:rFonts w:ascii="Times New Roman" w:hAnsi="Times New Roman" w:eastAsia="方正仿宋_GBK"/>
          <w:sz w:val="32"/>
          <w:szCs w:val="32"/>
        </w:rPr>
        <w:t>6大行动的实施，承载重庆市建设国际消费中心城市的核心功能。</w:t>
      </w:r>
    </w:p>
    <w:p>
      <w:pPr>
        <w:ind w:firstLine="640" w:firstLineChars="200"/>
        <w:textAlignment w:val="baseline"/>
        <w:rPr>
          <w:rFonts w:ascii="Times New Roman" w:hAnsi="Times New Roman" w:eastAsia="方正仿宋_GBK"/>
          <w:b/>
          <w:sz w:val="32"/>
          <w:szCs w:val="32"/>
        </w:rPr>
      </w:pPr>
      <w:r>
        <w:rPr>
          <w:rFonts w:ascii="Times New Roman" w:hAnsi="Times New Roman" w:eastAsia="方正楷体_GBK"/>
          <w:bCs/>
          <w:sz w:val="32"/>
          <w:szCs w:val="32"/>
        </w:rPr>
        <w:t>1.国际消费载体提质行动：</w:t>
      </w:r>
      <w:r>
        <w:rPr>
          <w:rFonts w:ascii="Times New Roman" w:hAnsi="Times New Roman" w:eastAsia="方正仿宋_GBK"/>
          <w:sz w:val="32"/>
          <w:szCs w:val="32"/>
        </w:rPr>
        <w:t>对标全球顶级商圈、金融中心、邮轮母港等，提质扩容“六大”消费集聚区内商业载体，积极培育百亿级高端商业综合体。</w:t>
      </w:r>
    </w:p>
    <w:p>
      <w:pPr>
        <w:ind w:firstLine="640" w:firstLineChars="200"/>
        <w:textAlignment w:val="baseline"/>
        <w:rPr>
          <w:rFonts w:ascii="Times New Roman" w:hAnsi="Times New Roman"/>
          <w:sz w:val="32"/>
          <w:szCs w:val="32"/>
        </w:rPr>
      </w:pPr>
      <w:r>
        <w:rPr>
          <w:rFonts w:ascii="Times New Roman" w:hAnsi="Times New Roman" w:eastAsia="方正楷体_GBK"/>
          <w:bCs/>
          <w:sz w:val="32"/>
          <w:szCs w:val="32"/>
        </w:rPr>
        <w:t>2.国际消费资源集聚行动：</w:t>
      </w:r>
      <w:r>
        <w:rPr>
          <w:rFonts w:ascii="Times New Roman" w:hAnsi="Times New Roman" w:eastAsia="方正仿宋_GBK"/>
          <w:sz w:val="32"/>
          <w:szCs w:val="32"/>
        </w:rPr>
        <w:t>积极引入一批商贸总部企业，引进国际知名品牌和优质进口商品，汇聚国内名优商品，实现江北本土“渝货精品”的培育壮大，同时构建起多元消费类型和业态。</w:t>
      </w:r>
    </w:p>
    <w:p>
      <w:pPr>
        <w:ind w:firstLine="640" w:firstLineChars="200"/>
        <w:textAlignment w:val="baseline"/>
        <w:rPr>
          <w:rFonts w:ascii="Times New Roman" w:hAnsi="Times New Roman" w:eastAsia="方正仿宋_GBK"/>
          <w:sz w:val="32"/>
          <w:szCs w:val="32"/>
        </w:rPr>
      </w:pPr>
      <w:r>
        <w:rPr>
          <w:rFonts w:ascii="Times New Roman" w:hAnsi="Times New Roman" w:eastAsia="方正楷体_GBK"/>
          <w:bCs/>
          <w:sz w:val="32"/>
          <w:szCs w:val="32"/>
        </w:rPr>
        <w:t>3.国际消费潮流引领行动：</w:t>
      </w:r>
      <w:r>
        <w:rPr>
          <w:rFonts w:ascii="Times New Roman" w:hAnsi="Times New Roman" w:eastAsia="方正仿宋_GBK"/>
          <w:sz w:val="32"/>
          <w:szCs w:val="32"/>
        </w:rPr>
        <w:t>立足于江北区已有特色资源条件，将“首店”经济、夜间经济、“美丽时尚经济”、绿色低碳消费、数字融合创新消费等作为引领全国乃至全球时尚潮流消费的风向标。</w:t>
      </w:r>
    </w:p>
    <w:p>
      <w:pPr>
        <w:ind w:firstLine="640" w:firstLineChars="200"/>
        <w:textAlignment w:val="baseline"/>
        <w:rPr>
          <w:rFonts w:ascii="Times New Roman" w:hAnsi="Times New Roman" w:eastAsia="方正仿宋_GBK"/>
          <w:sz w:val="32"/>
          <w:szCs w:val="32"/>
        </w:rPr>
      </w:pPr>
      <w:r>
        <w:rPr>
          <w:rFonts w:ascii="Times New Roman" w:hAnsi="Times New Roman" w:eastAsia="方正楷体_GBK"/>
          <w:bCs/>
          <w:sz w:val="32"/>
          <w:szCs w:val="32"/>
        </w:rPr>
        <w:t>4.国际国内合作推广行动：</w:t>
      </w:r>
      <w:r>
        <w:rPr>
          <w:rFonts w:ascii="Times New Roman" w:hAnsi="Times New Roman" w:eastAsia="方正仿宋_GBK"/>
          <w:sz w:val="32"/>
          <w:szCs w:val="32"/>
        </w:rPr>
        <w:t>依托西部陆海新通道、中新（重庆）战略性互联互通示范项目、中国（重庆）自由贸易试验区等开放通道和平台，加强国际商务合作、深化国内交流合作、扩大提升会展活动能级，全面促进江北区国际国内消费的辐射推广。</w:t>
      </w:r>
    </w:p>
    <w:p>
      <w:pPr>
        <w:ind w:firstLine="640" w:firstLineChars="200"/>
        <w:textAlignment w:val="baseline"/>
        <w:rPr>
          <w:rFonts w:ascii="Times New Roman" w:hAnsi="Times New Roman" w:eastAsia="方正仿宋_GBK"/>
          <w:sz w:val="32"/>
          <w:szCs w:val="32"/>
        </w:rPr>
      </w:pPr>
      <w:r>
        <w:rPr>
          <w:rFonts w:ascii="Times New Roman" w:hAnsi="Times New Roman" w:eastAsia="方正楷体_GBK"/>
          <w:bCs/>
          <w:sz w:val="32"/>
          <w:szCs w:val="32"/>
        </w:rPr>
        <w:t>5.国际消费服务提升行动：</w:t>
      </w:r>
      <w:r>
        <w:rPr>
          <w:rFonts w:ascii="Times New Roman" w:hAnsi="Times New Roman" w:eastAsia="方正仿宋_GBK"/>
          <w:sz w:val="32"/>
          <w:szCs w:val="32"/>
        </w:rPr>
        <w:t>重点推进服务业扩大开放、完善国际化服务体系、打造国际化服务品牌。</w:t>
      </w:r>
    </w:p>
    <w:p>
      <w:pPr>
        <w:ind w:firstLine="640" w:firstLineChars="200"/>
        <w:textAlignment w:val="baseline"/>
        <w:rPr>
          <w:rFonts w:ascii="Times New Roman" w:hAnsi="Times New Roman" w:eastAsia="方正仿宋_GBK"/>
          <w:sz w:val="32"/>
          <w:szCs w:val="32"/>
        </w:rPr>
      </w:pPr>
      <w:r>
        <w:rPr>
          <w:rFonts w:ascii="Times New Roman" w:hAnsi="Times New Roman" w:eastAsia="方正楷体_GBK"/>
          <w:bCs/>
          <w:sz w:val="32"/>
          <w:szCs w:val="32"/>
        </w:rPr>
        <w:t>6.国际消费环境优化行动：</w:t>
      </w:r>
      <w:r>
        <w:rPr>
          <w:rFonts w:ascii="Times New Roman" w:hAnsi="Times New Roman" w:eastAsia="方正仿宋_GBK"/>
          <w:sz w:val="32"/>
          <w:szCs w:val="32"/>
        </w:rPr>
        <w:t>通过增强国际化交通供给、打造国际化新社区、营造良好的营商环境等措施打造具有全球吸引力的国际消费环境。</w:t>
      </w:r>
    </w:p>
    <w:p>
      <w:pPr>
        <w:ind w:firstLine="640" w:firstLineChars="200"/>
        <w:textAlignment w:val="baseline"/>
        <w:outlineLvl w:val="0"/>
        <w:rPr>
          <w:rFonts w:ascii="Times New Roman" w:hAnsi="Times New Roman" w:eastAsia="方正黑体_GBK"/>
          <w:bCs/>
          <w:sz w:val="32"/>
          <w:szCs w:val="32"/>
        </w:rPr>
      </w:pPr>
      <w:bookmarkStart w:id="8" w:name="_Toc91625576"/>
      <w:r>
        <w:rPr>
          <w:rFonts w:ascii="Times New Roman" w:hAnsi="Times New Roman" w:eastAsia="方正黑体_GBK"/>
          <w:bCs/>
          <w:sz w:val="32"/>
          <w:szCs w:val="32"/>
        </w:rPr>
        <w:t>四、保障措施</w:t>
      </w:r>
      <w:bookmarkEnd w:id="8"/>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本规划从强化组织机构保障、加强</w:t>
      </w:r>
      <w:r>
        <w:rPr>
          <w:rFonts w:hint="eastAsia" w:ascii="Times New Roman" w:hAnsi="Times New Roman" w:eastAsia="方正仿宋_GBK"/>
          <w:sz w:val="32"/>
          <w:szCs w:val="32"/>
        </w:rPr>
        <w:t>财税</w:t>
      </w:r>
      <w:r>
        <w:rPr>
          <w:rFonts w:ascii="Times New Roman" w:hAnsi="Times New Roman" w:eastAsia="方正仿宋_GBK"/>
          <w:sz w:val="32"/>
          <w:szCs w:val="32"/>
        </w:rPr>
        <w:t>金融支持、落实土地保障措施、强化人才支撑体系、实施包容审慎监管、加强监测评估考核、</w:t>
      </w:r>
      <w:r>
        <w:rPr>
          <w:rFonts w:hint="eastAsia" w:ascii="Times New Roman" w:hAnsi="Times New Roman" w:eastAsia="方正仿宋_GBK"/>
          <w:sz w:val="32"/>
          <w:szCs w:val="32"/>
        </w:rPr>
        <w:t>重视</w:t>
      </w:r>
      <w:r>
        <w:rPr>
          <w:rFonts w:ascii="Times New Roman" w:hAnsi="Times New Roman" w:eastAsia="方正仿宋_GBK"/>
          <w:sz w:val="32"/>
          <w:szCs w:val="32"/>
        </w:rPr>
        <w:t>整体宣传引导7个方面提出了保障措施。</w:t>
      </w:r>
    </w:p>
    <w:p>
      <w:pPr>
        <w:ind w:firstLine="640" w:firstLineChars="200"/>
        <w:textAlignment w:val="baseline"/>
        <w:outlineLvl w:val="0"/>
        <w:rPr>
          <w:rFonts w:ascii="Times New Roman" w:hAnsi="Times New Roman" w:eastAsia="方正黑体_GBK"/>
          <w:bCs/>
          <w:sz w:val="32"/>
          <w:szCs w:val="32"/>
        </w:rPr>
      </w:pPr>
      <w:bookmarkStart w:id="9" w:name="_Toc91625577"/>
      <w:r>
        <w:rPr>
          <w:rFonts w:ascii="Times New Roman" w:hAnsi="Times New Roman" w:eastAsia="方正黑体_GBK"/>
          <w:bCs/>
          <w:sz w:val="32"/>
          <w:szCs w:val="32"/>
        </w:rPr>
        <w:t>五、重点项目</w:t>
      </w:r>
      <w:bookmarkEnd w:id="9"/>
    </w:p>
    <w:p>
      <w:pPr>
        <w:pStyle w:val="2"/>
        <w:ind w:firstLine="640"/>
        <w:textAlignment w:val="baseline"/>
        <w:rPr>
          <w:rFonts w:ascii="Times New Roman" w:hAnsi="Times New Roman" w:eastAsia="方正仿宋_GBK"/>
          <w:sz w:val="32"/>
          <w:szCs w:val="32"/>
        </w:rPr>
      </w:pPr>
      <w:r>
        <w:rPr>
          <w:rFonts w:ascii="Times New Roman" w:hAnsi="Times New Roman" w:eastAsia="方正仿宋_GBK"/>
          <w:sz w:val="32"/>
          <w:szCs w:val="32"/>
        </w:rPr>
        <w:t>江北区建设国际消费中心城市“十四五”规划重点项目主要包括消费载体项目和消费环境优化及配套设施建设项目两大类，按照项目所在镇、街划分，共57个项目，总投资约1652亿元。</w:t>
      </w:r>
    </w:p>
    <w:p>
      <w:pPr>
        <w:keepLines/>
        <w:spacing w:before="156" w:after="156" w:line="360" w:lineRule="auto"/>
        <w:jc w:val="center"/>
        <w:textAlignment w:val="baseline"/>
        <w:rPr>
          <w:rFonts w:ascii="Times New Roman" w:hAnsi="Times New Roman" w:eastAsia="方正小标宋_GBK"/>
          <w:bCs/>
          <w:kern w:val="44"/>
          <w:sz w:val="32"/>
          <w:szCs w:val="32"/>
        </w:rPr>
      </w:pPr>
      <w:r>
        <w:rPr>
          <w:rFonts w:ascii="Times New Roman" w:hAnsi="Times New Roman" w:eastAsia="方正黑体_GBK"/>
          <w:sz w:val="32"/>
          <w:szCs w:val="32"/>
        </w:rPr>
        <w:br w:type="page"/>
      </w:r>
    </w:p>
    <w:p>
      <w:pPr>
        <w:spacing w:before="156" w:after="156" w:line="360" w:lineRule="auto"/>
        <w:jc w:val="center"/>
        <w:textAlignment w:val="baseline"/>
        <w:outlineLvl w:val="0"/>
        <w:rPr>
          <w:rFonts w:ascii="Times New Roman" w:hAnsi="Times New Roman" w:eastAsia="方正小标宋_GBK"/>
          <w:sz w:val="32"/>
        </w:rPr>
      </w:pPr>
      <w:bookmarkStart w:id="10" w:name="_Toc91625578"/>
      <w:r>
        <w:rPr>
          <w:rFonts w:ascii="Times New Roman" w:hAnsi="Times New Roman" w:eastAsia="方正小标宋_GBK"/>
          <w:bCs/>
          <w:sz w:val="32"/>
          <w:szCs w:val="32"/>
        </w:rPr>
        <w:t>前  言</w:t>
      </w:r>
      <w:bookmarkEnd w:id="2"/>
      <w:bookmarkEnd w:id="10"/>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“十四五”时期是江北区全力建设重庆市“两高”示范区、争创成渝地区双城经济圈建设示范区的关键五年</w:t>
      </w:r>
      <w:r>
        <w:rPr>
          <w:rFonts w:hint="eastAsia" w:ascii="Times New Roman" w:hAnsi="Times New Roman" w:eastAsia="方正仿宋_GBK"/>
          <w:sz w:val="32"/>
          <w:szCs w:val="32"/>
        </w:rPr>
        <w:t>，全区</w:t>
      </w:r>
      <w:r>
        <w:rPr>
          <w:rFonts w:ascii="Times New Roman" w:hAnsi="Times New Roman" w:eastAsia="方正仿宋_GBK"/>
          <w:sz w:val="32"/>
          <w:szCs w:val="32"/>
        </w:rPr>
        <w:t>深入落实陈敏尔书记对江北提出的“四个率先”要求，</w:t>
      </w:r>
      <w:r>
        <w:rPr>
          <w:rFonts w:hint="eastAsia" w:ascii="Times New Roman" w:hAnsi="Times New Roman" w:eastAsia="方正仿宋_GBK"/>
          <w:sz w:val="32"/>
          <w:szCs w:val="32"/>
        </w:rPr>
        <w:t>积极培育消费新业态新模式，优化消费供给，释放消费潜力，促进消费升级</w:t>
      </w:r>
      <w:r>
        <w:rPr>
          <w:rFonts w:ascii="Times New Roman" w:hAnsi="Times New Roman" w:eastAsia="方正仿宋_GBK"/>
          <w:sz w:val="32"/>
          <w:szCs w:val="32"/>
        </w:rPr>
        <w:t>，</w:t>
      </w:r>
      <w:r>
        <w:rPr>
          <w:rFonts w:hint="eastAsia" w:ascii="Times New Roman" w:hAnsi="Times New Roman" w:eastAsia="方正仿宋_GBK"/>
          <w:sz w:val="32"/>
          <w:szCs w:val="32"/>
        </w:rPr>
        <w:t>加快打造重庆市国际消费中心城市首选区</w:t>
      </w:r>
      <w:r>
        <w:rPr>
          <w:rFonts w:ascii="Times New Roman" w:hAnsi="Times New Roman" w:eastAsia="方正仿宋_GBK"/>
          <w:sz w:val="32"/>
          <w:szCs w:val="32"/>
        </w:rPr>
        <w:t>。根据</w:t>
      </w:r>
      <w:r>
        <w:rPr>
          <w:rFonts w:hint="eastAsia" w:ascii="Times New Roman" w:hAnsi="Times New Roman" w:eastAsia="方正仿宋_GBK"/>
          <w:sz w:val="32"/>
          <w:szCs w:val="32"/>
        </w:rPr>
        <w:t>商务部等14部门《关于开展国际消费中心城市培育建设工作的通知》（商消费函〔2021〕344号）</w:t>
      </w:r>
      <w:r>
        <w:rPr>
          <w:rFonts w:ascii="Times New Roman" w:hAnsi="Times New Roman" w:eastAsia="方正仿宋_GBK"/>
          <w:sz w:val="32"/>
          <w:szCs w:val="32"/>
        </w:rPr>
        <w:t>、</w:t>
      </w:r>
      <w:r>
        <w:rPr>
          <w:rFonts w:hint="eastAsia" w:ascii="Times New Roman" w:hAnsi="Times New Roman" w:eastAsia="方正仿宋_GBK"/>
          <w:sz w:val="32"/>
          <w:szCs w:val="32"/>
        </w:rPr>
        <w:t>《商务部国家发展改革委住房城乡建设部关于印发〈培育国际消费中心城市总体方案〉的通知》（商消费函〔2021〕395号）、《重庆市培育建设国际消费中心城市实施方案》（渝府发〔2021〕33号）</w:t>
      </w:r>
      <w:r>
        <w:rPr>
          <w:rFonts w:ascii="Times New Roman" w:hAnsi="Times New Roman" w:eastAsia="方正仿宋_GBK"/>
          <w:sz w:val="32"/>
          <w:szCs w:val="32"/>
        </w:rPr>
        <w:t>、《加快发展新型消费释放消费潜力若干措施》（渝府办发〔2021〕41号）以及《重庆市江北区国民经济和社会发展第十四个五年规划和二〇三五年远景目标纲要》等文件精神，结合区委、区政府关于编制“十四五”规划工作相关要求，特编制《江北区建设国际消费中心城市“十四五”规划》。</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本规划实施范围为江北区全域，基准年为2020年，实施期为2021-2025年。</w:t>
      </w:r>
    </w:p>
    <w:p>
      <w:pPr>
        <w:pStyle w:val="2"/>
        <w:ind w:firstLine="640"/>
        <w:textAlignment w:val="baseline"/>
        <w:rPr>
          <w:rFonts w:ascii="Times New Roman" w:hAnsi="Times New Roman"/>
          <w:sz w:val="32"/>
          <w:szCs w:val="32"/>
        </w:rPr>
      </w:pPr>
    </w:p>
    <w:p>
      <w:pPr>
        <w:keepLines/>
        <w:spacing w:before="156" w:after="156" w:line="360" w:lineRule="auto"/>
        <w:ind w:firstLine="640" w:firstLineChars="200"/>
        <w:textAlignment w:val="baseline"/>
        <w:rPr>
          <w:rFonts w:ascii="Times New Roman" w:hAnsi="Times New Roman" w:eastAsia="方正黑体_GBK"/>
          <w:kern w:val="44"/>
          <w:sz w:val="32"/>
          <w:szCs w:val="32"/>
        </w:rPr>
      </w:pPr>
      <w:r>
        <w:rPr>
          <w:rFonts w:ascii="Times New Roman" w:hAnsi="Times New Roman" w:eastAsia="方正黑体_GBK"/>
          <w:kern w:val="44"/>
          <w:sz w:val="32"/>
          <w:szCs w:val="32"/>
        </w:rPr>
        <w:br w:type="page"/>
      </w:r>
    </w:p>
    <w:p>
      <w:pPr>
        <w:spacing w:before="156" w:after="156" w:line="360" w:lineRule="auto"/>
        <w:ind w:firstLine="640" w:firstLineChars="200"/>
        <w:textAlignment w:val="baseline"/>
        <w:outlineLvl w:val="0"/>
        <w:rPr>
          <w:rFonts w:ascii="Times New Roman" w:hAnsi="Times New Roman" w:eastAsia="方正黑体_GBK"/>
          <w:sz w:val="32"/>
        </w:rPr>
      </w:pPr>
      <w:bookmarkStart w:id="11" w:name="_Toc91625579"/>
      <w:r>
        <w:rPr>
          <w:rFonts w:ascii="Times New Roman" w:hAnsi="Times New Roman" w:eastAsia="方正黑体_GBK"/>
          <w:kern w:val="44"/>
          <w:sz w:val="32"/>
          <w:szCs w:val="32"/>
        </w:rPr>
        <w:t>一、发展环境</w:t>
      </w:r>
      <w:bookmarkEnd w:id="11"/>
    </w:p>
    <w:p>
      <w:pPr>
        <w:spacing w:line="360" w:lineRule="auto"/>
        <w:ind w:firstLine="640" w:firstLineChars="200"/>
        <w:textAlignment w:val="baseline"/>
        <w:outlineLvl w:val="1"/>
        <w:rPr>
          <w:rFonts w:ascii="Times New Roman" w:hAnsi="Times New Roman" w:eastAsia="方正楷体_GBK"/>
          <w:sz w:val="32"/>
          <w:szCs w:val="32"/>
        </w:rPr>
      </w:pPr>
      <w:bookmarkStart w:id="12" w:name="_Toc91625580"/>
      <w:r>
        <w:rPr>
          <w:rFonts w:ascii="Times New Roman" w:hAnsi="Times New Roman" w:eastAsia="方正楷体_GBK"/>
          <w:sz w:val="32"/>
          <w:szCs w:val="32"/>
        </w:rPr>
        <w:t>（一）发展成就</w:t>
      </w:r>
      <w:bookmarkEnd w:id="12"/>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十三五”期间，江北区认真贯彻落实国家和重庆市关于商贸经济高质量发展的各项决策部署，着力寻找新的消费增长极，持续完善观音桥商圈、江北嘴等重点区域的消费载体。深入推进消费数字化升级，加快培育消费新业态新模式。重点培育“中华老字号”“重庆老字号”等品牌，加快引进国际国内高端商贸品牌。持续深化“放管服”改革，不断优化消费环境，有力促进了江北区消费的快速升级和商贸经济的迅速发展。</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1.消费规模快速扩展</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截至“十三五”期末，江北区地区生产总值突破1300亿元大关，商贸业增加值达到306.5亿元，占GDP比重23.1%。商贸业提速增效，批发零售业商品销售总额达到4692.4亿元，住宿餐饮业营业额达到99.1亿元；消费市场平稳增长，社会消费品零售总额达到687.1亿元；对外开放深入推进，外贸进出口总额实现379.7亿元；受新冠疫情影响，国内旅游总收入下降至67.5亿元。</w:t>
      </w:r>
    </w:p>
    <w:p>
      <w:pPr>
        <w:spacing w:line="360" w:lineRule="auto"/>
        <w:jc w:val="center"/>
        <w:textAlignment w:val="baseline"/>
        <w:rPr>
          <w:rFonts w:ascii="Times New Roman" w:hAnsi="Times New Roman"/>
          <w:b/>
          <w:sz w:val="20"/>
          <w:szCs w:val="32"/>
        </w:rPr>
      </w:pPr>
      <w:r>
        <w:rPr>
          <w:rFonts w:ascii="Times New Roman" w:hAnsi="Times New Roman"/>
          <w:b/>
          <w:szCs w:val="32"/>
        </w:rPr>
        <w:t>表1-1 江北区“十三五”期间重要经济指标完成情况表</w:t>
      </w:r>
    </w:p>
    <w:tbl>
      <w:tblPr>
        <w:tblStyle w:val="22"/>
        <w:tblW w:w="90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2"/>
        <w:gridCol w:w="900"/>
        <w:gridCol w:w="900"/>
        <w:gridCol w:w="900"/>
        <w:gridCol w:w="900"/>
        <w:gridCol w:w="900"/>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3382" w:type="dxa"/>
            <w:tcBorders>
              <w:tl2br w:val="nil"/>
              <w:tr2bl w:val="nil"/>
            </w:tcBorders>
            <w:vAlign w:val="center"/>
          </w:tcPr>
          <w:p>
            <w:pPr>
              <w:snapToGrid w:val="0"/>
              <w:jc w:val="center"/>
              <w:textAlignment w:val="baseline"/>
              <w:rPr>
                <w:rFonts w:ascii="Times New Roman" w:hAnsi="Times New Roman"/>
                <w:b/>
                <w:sz w:val="24"/>
              </w:rPr>
            </w:pPr>
            <w:r>
              <w:rPr>
                <w:rFonts w:ascii="Times New Roman" w:hAnsi="Times New Roman"/>
                <w:b/>
                <w:sz w:val="24"/>
              </w:rPr>
              <w:t>重要指标</w:t>
            </w:r>
          </w:p>
        </w:tc>
        <w:tc>
          <w:tcPr>
            <w:tcW w:w="900" w:type="dxa"/>
            <w:tcBorders>
              <w:tl2br w:val="nil"/>
              <w:tr2bl w:val="nil"/>
            </w:tcBorders>
            <w:vAlign w:val="center"/>
          </w:tcPr>
          <w:p>
            <w:pPr>
              <w:snapToGrid w:val="0"/>
              <w:jc w:val="center"/>
              <w:textAlignment w:val="baseline"/>
              <w:rPr>
                <w:rFonts w:ascii="Times New Roman" w:hAnsi="Times New Roman"/>
                <w:b/>
                <w:sz w:val="24"/>
              </w:rPr>
            </w:pPr>
            <w:r>
              <w:rPr>
                <w:rFonts w:ascii="Times New Roman" w:hAnsi="Times New Roman"/>
                <w:b/>
                <w:sz w:val="24"/>
              </w:rPr>
              <w:t>2016年</w:t>
            </w:r>
          </w:p>
        </w:tc>
        <w:tc>
          <w:tcPr>
            <w:tcW w:w="900" w:type="dxa"/>
            <w:tcBorders>
              <w:tl2br w:val="nil"/>
              <w:tr2bl w:val="nil"/>
            </w:tcBorders>
            <w:vAlign w:val="center"/>
          </w:tcPr>
          <w:p>
            <w:pPr>
              <w:snapToGrid w:val="0"/>
              <w:jc w:val="center"/>
              <w:textAlignment w:val="baseline"/>
              <w:rPr>
                <w:rFonts w:ascii="Times New Roman" w:hAnsi="Times New Roman"/>
                <w:b/>
                <w:sz w:val="24"/>
              </w:rPr>
            </w:pPr>
            <w:r>
              <w:rPr>
                <w:rFonts w:ascii="Times New Roman" w:hAnsi="Times New Roman"/>
                <w:b/>
                <w:sz w:val="24"/>
              </w:rPr>
              <w:t>2017年</w:t>
            </w:r>
          </w:p>
        </w:tc>
        <w:tc>
          <w:tcPr>
            <w:tcW w:w="900" w:type="dxa"/>
            <w:tcBorders>
              <w:tl2br w:val="nil"/>
              <w:tr2bl w:val="nil"/>
            </w:tcBorders>
            <w:vAlign w:val="center"/>
          </w:tcPr>
          <w:p>
            <w:pPr>
              <w:snapToGrid w:val="0"/>
              <w:jc w:val="center"/>
              <w:textAlignment w:val="baseline"/>
              <w:rPr>
                <w:rFonts w:ascii="Times New Roman" w:hAnsi="Times New Roman"/>
                <w:b/>
                <w:sz w:val="24"/>
              </w:rPr>
            </w:pPr>
            <w:r>
              <w:rPr>
                <w:rFonts w:ascii="Times New Roman" w:hAnsi="Times New Roman"/>
                <w:b/>
                <w:sz w:val="24"/>
              </w:rPr>
              <w:t>2018年</w:t>
            </w:r>
          </w:p>
        </w:tc>
        <w:tc>
          <w:tcPr>
            <w:tcW w:w="900" w:type="dxa"/>
            <w:tcBorders>
              <w:tl2br w:val="nil"/>
              <w:tr2bl w:val="nil"/>
            </w:tcBorders>
            <w:vAlign w:val="center"/>
          </w:tcPr>
          <w:p>
            <w:pPr>
              <w:snapToGrid w:val="0"/>
              <w:jc w:val="center"/>
              <w:textAlignment w:val="baseline"/>
              <w:rPr>
                <w:rFonts w:ascii="Times New Roman" w:hAnsi="Times New Roman"/>
                <w:b/>
                <w:sz w:val="24"/>
              </w:rPr>
            </w:pPr>
            <w:r>
              <w:rPr>
                <w:rFonts w:ascii="Times New Roman" w:hAnsi="Times New Roman"/>
                <w:b/>
                <w:sz w:val="24"/>
              </w:rPr>
              <w:t>2019年</w:t>
            </w:r>
          </w:p>
        </w:tc>
        <w:tc>
          <w:tcPr>
            <w:tcW w:w="900" w:type="dxa"/>
            <w:tcBorders>
              <w:tl2br w:val="nil"/>
              <w:tr2bl w:val="nil"/>
            </w:tcBorders>
            <w:vAlign w:val="center"/>
          </w:tcPr>
          <w:p>
            <w:pPr>
              <w:snapToGrid w:val="0"/>
              <w:jc w:val="center"/>
              <w:textAlignment w:val="baseline"/>
              <w:rPr>
                <w:rFonts w:ascii="Times New Roman" w:hAnsi="Times New Roman"/>
                <w:b/>
                <w:sz w:val="24"/>
              </w:rPr>
            </w:pPr>
            <w:r>
              <w:rPr>
                <w:rFonts w:ascii="Times New Roman" w:hAnsi="Times New Roman"/>
                <w:b/>
                <w:sz w:val="24"/>
              </w:rPr>
              <w:t>2020年</w:t>
            </w:r>
          </w:p>
        </w:tc>
        <w:tc>
          <w:tcPr>
            <w:tcW w:w="1192" w:type="dxa"/>
            <w:tcBorders>
              <w:tl2br w:val="nil"/>
              <w:tr2bl w:val="nil"/>
            </w:tcBorders>
            <w:vAlign w:val="center"/>
          </w:tcPr>
          <w:p>
            <w:pPr>
              <w:snapToGrid w:val="0"/>
              <w:jc w:val="center"/>
              <w:textAlignment w:val="baseline"/>
              <w:rPr>
                <w:rFonts w:ascii="Times New Roman" w:hAnsi="Times New Roman"/>
                <w:b/>
                <w:sz w:val="24"/>
              </w:rPr>
            </w:pPr>
            <w:r>
              <w:rPr>
                <w:rFonts w:ascii="Times New Roman" w:hAnsi="Times New Roman"/>
                <w:b/>
                <w:sz w:val="24"/>
              </w:rPr>
              <w:t>年平均增</w:t>
            </w:r>
          </w:p>
          <w:p>
            <w:pPr>
              <w:snapToGrid w:val="0"/>
              <w:jc w:val="center"/>
              <w:textAlignment w:val="baseline"/>
              <w:rPr>
                <w:rFonts w:ascii="Times New Roman" w:hAnsi="Times New Roman"/>
                <w:b/>
                <w:sz w:val="24"/>
              </w:rPr>
            </w:pPr>
            <w:r>
              <w:rPr>
                <w:rFonts w:ascii="Times New Roman" w:hAnsi="Times New Roman"/>
                <w:b/>
                <w:sz w:val="24"/>
              </w:rPr>
              <w:t>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82" w:type="dxa"/>
            <w:tcBorders>
              <w:tl2br w:val="nil"/>
              <w:tr2bl w:val="nil"/>
            </w:tcBorders>
            <w:vAlign w:val="center"/>
          </w:tcPr>
          <w:p>
            <w:pPr>
              <w:snapToGrid w:val="0"/>
              <w:jc w:val="left"/>
              <w:textAlignment w:val="baseline"/>
              <w:rPr>
                <w:rFonts w:ascii="Times New Roman" w:hAnsi="Times New Roman"/>
                <w:sz w:val="24"/>
              </w:rPr>
            </w:pPr>
            <w:r>
              <w:rPr>
                <w:rFonts w:ascii="Times New Roman" w:hAnsi="Times New Roman"/>
                <w:sz w:val="24"/>
              </w:rPr>
              <w:t>地区生产总值（亿元）</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881.6</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992.7</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1119.9</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1240.1</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1325.4</w:t>
            </w:r>
          </w:p>
        </w:tc>
        <w:tc>
          <w:tcPr>
            <w:tcW w:w="1192"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82" w:type="dxa"/>
            <w:tcBorders>
              <w:tl2br w:val="nil"/>
              <w:tr2bl w:val="nil"/>
            </w:tcBorders>
            <w:vAlign w:val="center"/>
          </w:tcPr>
          <w:p>
            <w:pPr>
              <w:snapToGrid w:val="0"/>
              <w:jc w:val="left"/>
              <w:textAlignment w:val="baseline"/>
              <w:rPr>
                <w:rFonts w:ascii="Times New Roman" w:hAnsi="Times New Roman"/>
                <w:sz w:val="24"/>
              </w:rPr>
            </w:pPr>
            <w:r>
              <w:rPr>
                <w:rFonts w:ascii="Times New Roman" w:hAnsi="Times New Roman"/>
                <w:sz w:val="24"/>
              </w:rPr>
              <w:t>商贸业增加值（亿元）</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233.5</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249.0</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264.4</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281.0</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306.5</w:t>
            </w:r>
          </w:p>
        </w:tc>
        <w:tc>
          <w:tcPr>
            <w:tcW w:w="1192"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82" w:type="dxa"/>
            <w:tcBorders>
              <w:tl2br w:val="nil"/>
              <w:tr2bl w:val="nil"/>
            </w:tcBorders>
            <w:vAlign w:val="center"/>
          </w:tcPr>
          <w:p>
            <w:pPr>
              <w:snapToGrid w:val="0"/>
              <w:jc w:val="left"/>
              <w:textAlignment w:val="baseline"/>
              <w:rPr>
                <w:rFonts w:ascii="Times New Roman" w:hAnsi="Times New Roman"/>
                <w:sz w:val="24"/>
              </w:rPr>
            </w:pPr>
            <w:r>
              <w:rPr>
                <w:rFonts w:ascii="Times New Roman" w:hAnsi="Times New Roman"/>
                <w:sz w:val="24"/>
              </w:rPr>
              <w:t>商贸业增加值占GDP比值</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26.5%</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25.1%</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23.6%</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22.7%</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23.1%</w:t>
            </w:r>
          </w:p>
        </w:tc>
        <w:tc>
          <w:tcPr>
            <w:tcW w:w="1192"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82" w:type="dxa"/>
            <w:tcBorders>
              <w:tl2br w:val="nil"/>
              <w:tr2bl w:val="nil"/>
            </w:tcBorders>
            <w:vAlign w:val="center"/>
          </w:tcPr>
          <w:p>
            <w:pPr>
              <w:snapToGrid w:val="0"/>
              <w:jc w:val="left"/>
              <w:textAlignment w:val="baseline"/>
              <w:rPr>
                <w:rFonts w:ascii="Times New Roman" w:hAnsi="Times New Roman"/>
                <w:sz w:val="24"/>
              </w:rPr>
            </w:pPr>
            <w:r>
              <w:rPr>
                <w:rFonts w:ascii="Times New Roman" w:hAnsi="Times New Roman"/>
                <w:sz w:val="24"/>
              </w:rPr>
              <w:t>批发零售业商品销售总额（亿元）</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3025.5</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3382.5</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3727.6</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4118.9</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4692.4</w:t>
            </w:r>
          </w:p>
        </w:tc>
        <w:tc>
          <w:tcPr>
            <w:tcW w:w="1192"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82" w:type="dxa"/>
            <w:tcBorders>
              <w:tl2br w:val="nil"/>
              <w:tr2bl w:val="nil"/>
            </w:tcBorders>
            <w:vAlign w:val="center"/>
          </w:tcPr>
          <w:p>
            <w:pPr>
              <w:snapToGrid w:val="0"/>
              <w:jc w:val="left"/>
              <w:textAlignment w:val="baseline"/>
              <w:rPr>
                <w:rFonts w:ascii="Times New Roman" w:hAnsi="Times New Roman"/>
                <w:sz w:val="24"/>
              </w:rPr>
            </w:pPr>
            <w:r>
              <w:rPr>
                <w:rFonts w:ascii="Times New Roman" w:hAnsi="Times New Roman"/>
                <w:sz w:val="24"/>
              </w:rPr>
              <w:t>住宿餐饮业营业额（亿元）</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72.5</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81.7</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91.3</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101.9</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99.1</w:t>
            </w:r>
          </w:p>
        </w:tc>
        <w:tc>
          <w:tcPr>
            <w:tcW w:w="1192"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82" w:type="dxa"/>
            <w:tcBorders>
              <w:tl2br w:val="nil"/>
              <w:tr2bl w:val="nil"/>
            </w:tcBorders>
            <w:vAlign w:val="center"/>
          </w:tcPr>
          <w:p>
            <w:pPr>
              <w:snapToGrid w:val="0"/>
              <w:jc w:val="left"/>
              <w:textAlignment w:val="baseline"/>
              <w:rPr>
                <w:rFonts w:ascii="Times New Roman" w:hAnsi="Times New Roman"/>
                <w:sz w:val="24"/>
              </w:rPr>
            </w:pPr>
            <w:r>
              <w:rPr>
                <w:rFonts w:ascii="Times New Roman" w:hAnsi="Times New Roman"/>
                <w:sz w:val="24"/>
              </w:rPr>
              <w:t>社会消费品零售总额（亿元）</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524.4</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575.5</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615.5</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665.7</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687.1</w:t>
            </w:r>
          </w:p>
        </w:tc>
        <w:tc>
          <w:tcPr>
            <w:tcW w:w="1192"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82" w:type="dxa"/>
            <w:tcBorders>
              <w:tl2br w:val="nil"/>
              <w:tr2bl w:val="nil"/>
            </w:tcBorders>
            <w:vAlign w:val="center"/>
          </w:tcPr>
          <w:p>
            <w:pPr>
              <w:snapToGrid w:val="0"/>
              <w:jc w:val="left"/>
              <w:textAlignment w:val="baseline"/>
              <w:rPr>
                <w:rFonts w:ascii="Times New Roman" w:hAnsi="Times New Roman"/>
                <w:sz w:val="24"/>
              </w:rPr>
            </w:pPr>
            <w:r>
              <w:rPr>
                <w:rFonts w:ascii="Times New Roman" w:hAnsi="Times New Roman"/>
                <w:sz w:val="24"/>
              </w:rPr>
              <w:t>接待海内外游客（万人次）</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3480.1</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3879.2</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4521.8</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5000.6</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3723.9</w:t>
            </w:r>
          </w:p>
        </w:tc>
        <w:tc>
          <w:tcPr>
            <w:tcW w:w="1192"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82" w:type="dxa"/>
            <w:tcBorders>
              <w:tl2br w:val="nil"/>
              <w:tr2bl w:val="nil"/>
            </w:tcBorders>
            <w:vAlign w:val="center"/>
          </w:tcPr>
          <w:p>
            <w:pPr>
              <w:snapToGrid w:val="0"/>
              <w:jc w:val="left"/>
              <w:textAlignment w:val="baseline"/>
              <w:rPr>
                <w:rFonts w:ascii="Times New Roman" w:hAnsi="Times New Roman"/>
                <w:sz w:val="24"/>
              </w:rPr>
            </w:pPr>
            <w:r>
              <w:rPr>
                <w:rFonts w:ascii="Times New Roman" w:hAnsi="Times New Roman"/>
                <w:sz w:val="24"/>
              </w:rPr>
              <w:t>国内旅游人数（万人次）</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3462</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3680</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4500</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4977</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3721.9</w:t>
            </w:r>
          </w:p>
        </w:tc>
        <w:tc>
          <w:tcPr>
            <w:tcW w:w="1192"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82" w:type="dxa"/>
            <w:tcBorders>
              <w:tl2br w:val="nil"/>
              <w:tr2bl w:val="nil"/>
            </w:tcBorders>
            <w:vAlign w:val="center"/>
          </w:tcPr>
          <w:p>
            <w:pPr>
              <w:snapToGrid w:val="0"/>
              <w:jc w:val="left"/>
              <w:textAlignment w:val="baseline"/>
              <w:rPr>
                <w:rFonts w:ascii="Times New Roman" w:hAnsi="Times New Roman"/>
                <w:sz w:val="24"/>
              </w:rPr>
            </w:pPr>
            <w:r>
              <w:rPr>
                <w:rFonts w:ascii="Times New Roman" w:hAnsi="Times New Roman"/>
                <w:sz w:val="24"/>
              </w:rPr>
              <w:t>国内旅游总收入（亿元）</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87</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105</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125</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138</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67.5</w:t>
            </w:r>
          </w:p>
        </w:tc>
        <w:tc>
          <w:tcPr>
            <w:tcW w:w="1192"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82" w:type="dxa"/>
            <w:tcBorders>
              <w:tl2br w:val="nil"/>
              <w:tr2bl w:val="nil"/>
            </w:tcBorders>
            <w:vAlign w:val="center"/>
          </w:tcPr>
          <w:p>
            <w:pPr>
              <w:snapToGrid w:val="0"/>
              <w:jc w:val="left"/>
              <w:textAlignment w:val="baseline"/>
              <w:rPr>
                <w:rFonts w:ascii="Times New Roman" w:hAnsi="Times New Roman"/>
                <w:sz w:val="24"/>
              </w:rPr>
            </w:pPr>
            <w:r>
              <w:rPr>
                <w:rFonts w:ascii="Times New Roman" w:hAnsi="Times New Roman"/>
                <w:sz w:val="24"/>
              </w:rPr>
              <w:t>外贸进出口总额（亿元）</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365.2</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365.3</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334.4</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315</w:t>
            </w:r>
          </w:p>
        </w:tc>
        <w:tc>
          <w:tcPr>
            <w:tcW w:w="900"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379.7</w:t>
            </w:r>
          </w:p>
        </w:tc>
        <w:tc>
          <w:tcPr>
            <w:tcW w:w="1192" w:type="dxa"/>
            <w:tcBorders>
              <w:tl2br w:val="nil"/>
              <w:tr2bl w:val="nil"/>
            </w:tcBorders>
            <w:vAlign w:val="center"/>
          </w:tcPr>
          <w:p>
            <w:pPr>
              <w:snapToGrid w:val="0"/>
              <w:jc w:val="center"/>
              <w:textAlignment w:val="baseline"/>
              <w:rPr>
                <w:rFonts w:ascii="Times New Roman" w:hAnsi="Times New Roman"/>
                <w:sz w:val="24"/>
              </w:rPr>
            </w:pPr>
            <w:r>
              <w:rPr>
                <w:rFonts w:ascii="Times New Roman" w:hAnsi="Times New Roman"/>
                <w:sz w:val="24"/>
              </w:rPr>
              <w:t>0.78</w:t>
            </w:r>
          </w:p>
        </w:tc>
      </w:tr>
    </w:tbl>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2.消费载体持续丰富</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截至“十三五”期末，江北区已形成了以观音桥商圈、江北嘴为核心，保税港区、北滨路沿线、大九街、东原悦荟新新Park、龙湖源著等多点支撑的江北商贸发展新格局。不夜九街、鎏嘉码头、北仓文创街区、喵儿石文创园、鲤鱼池42号等特色文化街（园）区成为新的都市旅游“热地”。喵儿石文创园和梦里茶乡获评市级特色商业街。不夜九街和鎏嘉码头获得市级特色夜市街区的称号。全区现拥有国金中心、星光68、龙湖北城天街、大融城等大型购物中心17个。已建成大型商业设施1120万平方米，其中商业营业面积约270万平方米。</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3.消费业态不断创新</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首店经济受到热捧。</w:t>
      </w:r>
      <w:r>
        <w:rPr>
          <w:rFonts w:ascii="Times New Roman" w:hAnsi="Times New Roman" w:eastAsia="方正仿宋_GBK"/>
          <w:sz w:val="32"/>
          <w:szCs w:val="32"/>
        </w:rPr>
        <w:t>截至“十三五”期末，江北区入驻京东电器超级体验店、纤姀、和炙里、亲亲米粒4家全国首店，天堂超市、一条、EYEDOLL、粒粒堡、SSYK等18家西南首店以及Christian Dior、Fendi等193家重庆首店。建成了盒马鲜生等“大型生活超市+生鲜食品超市+电商+餐饮+物流配送”于一体的新零售综合体。</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夜间经济成功培育。</w:t>
      </w:r>
      <w:r>
        <w:rPr>
          <w:rFonts w:ascii="Times New Roman" w:hAnsi="Times New Roman" w:eastAsia="方正仿宋_GBK"/>
          <w:sz w:val="32"/>
          <w:szCs w:val="32"/>
        </w:rPr>
        <w:t>截至“十三五”期末，初步形成以观音桥商圈为核心的观音桥夜生活圈；以鎏嘉码头、龙湖星悦荟为代表的北滨夜间经济珍珠链；以体验式业态为主的“重庆·不夜大九街”夜间经济品牌；以鸿恩寺公园为中心的“陶然居大观园·新国潮坊”特色美食夜市等多个特色夜市街区。夜市街区总建筑面积约210万平方米，入驻商家约8000家。</w:t>
      </w:r>
    </w:p>
    <w:p>
      <w:pPr>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数字经济发展迅猛。</w:t>
      </w:r>
      <w:r>
        <w:rPr>
          <w:rFonts w:ascii="Times New Roman" w:hAnsi="Times New Roman" w:eastAsia="方正仿宋_GBK"/>
          <w:sz w:val="32"/>
          <w:szCs w:val="32"/>
        </w:rPr>
        <w:t>“智造重镇”“智慧名城”建设加快推进，2020年数字经济产业部分实现增加值141亿元，增速超过40%，增速排名全市前列。建成5G基站近3000个，大数据、人工智能、工业互联网等新一代信息技术加快布局。港城、鱼复两大园区均入选全市首批试点智慧园区，长安研发中心建成投用，海尔智家享誉全球。推进大数据智能化商用、政用、民用应用场景开发和价值释放，建成全市首个智慧城市运营管理中心，在全国率先编制智慧城管顶层设计方案，数字城管技术规范上升为国家标准。</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4.消费品牌加快聚集</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截至“十三五”期末，江北区汇聚了服饰、零售、餐饮、钟表等各类知名品牌约800个，其中观音桥商圈聚集了LV、Gucci、Armani等90余个国际知名品牌，引进了Christian Dior、Fendi、Mc Queen等20余个首次进入重庆的世界一线品牌。在服装方面除香奈儿以外，30多个世界高端品牌在全区均有销售。截至“十三五”期末，全区有富力凯悦酒店、美利亚酒店、尼依格罗酒店、丽晶酒店等五星级标准酒店9家，有“熊鸭子”“人道美”“塔山”等7个“重庆老字号”品牌，有“长安”“冷酸灵”等6个驰名商标。</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5.开放平台呈现活力</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截至“十三五”期末，江北自贸板块新增市场主体超3000家。中新（重庆）战略性互联互通示范项目合作持续深化，全区外资企业数量超140家，近3年利用外资达23.03亿美元，落地美集物流全球服务中心、中新（重庆）多式联运示范基地、中新互联互通投资基金等中新项目23个。江北区金融机构近490家，金融资产规模超2万亿元、占全市近1/3，存贷款余额超1.5万亿元、占全市近1/5。2020年江北区实现跨境电商交易额48.2亿元，占全市比重约60%。累计引进阿里巴巴菜鸟、唯品会等跨境电商平台企业32家，利可昇、伟仕宏翔等总部贸易企业5家。“一带一路”商品交易中心国家馆数量达28家，进口商品SKU达5.5万个，进口商品分销渠道网点增至6个。</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6.消费环境全面优化</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十三五”期间，12315五线合一工作稳步推进，提升了12315消费者投诉举报平台维权效能。建立健全了企业自律、社会监督、政府监管、消费者参与的消费维权社会共治格局。强化事中执法监管，持续深入开展“市场监管维权”行动，强化了服务领域消费维权。加强消费教育引导，提振老百姓的消费信心，消费者满意度位居全市首位。</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7.文旅融合深度推进</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截至“十三五”期末，江北区文旅产业增加值总量、增速及投入均居全市前列。拥有文旅企业2924家，鎏嘉码头、北仓文创街区、鲤鱼池42号等一批全国知名都市文化旅游热地相继涌现，重庆大剧院、重庆科技馆、徐悲鸿美术馆（重庆）等设施带动文旅产业深度融合，全域旅游加快推进，年接待国内外游客突破5000万人次。全区拥有“中医正骨疗法（燕青门正骨疗法）”国家级非遗项目1个，“江北蜀绣”“竹壳雕刻技艺”“江北竹雕”“吴癞子的传说”等市级非遗项目8个。拥有“重庆抗战兵器工业旧址群——兵工署第十兵工厂抗战生产洞”“重庆抗战兵器工业旧址群——兵工署第五十兵工厂山洞车间”国家级文物保护单位2个，拥有“盘溪无铭阙”“重庆徐悲鸿旧居”等市级文物保护单位8个。</w:t>
      </w:r>
    </w:p>
    <w:p>
      <w:pPr>
        <w:spacing w:line="360" w:lineRule="auto"/>
        <w:ind w:firstLine="640" w:firstLineChars="200"/>
        <w:textAlignment w:val="baseline"/>
        <w:outlineLvl w:val="1"/>
        <w:rPr>
          <w:rFonts w:ascii="Times New Roman" w:hAnsi="Times New Roman" w:eastAsia="方正楷体_GBK"/>
          <w:sz w:val="32"/>
          <w:szCs w:val="32"/>
        </w:rPr>
      </w:pPr>
      <w:bookmarkStart w:id="13" w:name="_Toc91625581"/>
      <w:r>
        <w:rPr>
          <w:rFonts w:ascii="Times New Roman" w:hAnsi="Times New Roman" w:eastAsia="方正楷体_GBK"/>
          <w:sz w:val="32"/>
          <w:szCs w:val="32"/>
        </w:rPr>
        <w:t>（二）存在问题</w:t>
      </w:r>
      <w:bookmarkEnd w:id="13"/>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1.国际化城市品质有待提升</w:t>
      </w:r>
    </w:p>
    <w:p>
      <w:pPr>
        <w:spacing w:line="360" w:lineRule="auto"/>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一是</w:t>
      </w:r>
      <w:r>
        <w:rPr>
          <w:rFonts w:ascii="Times New Roman" w:hAnsi="Times New Roman" w:eastAsia="方正仿宋_GBK"/>
          <w:sz w:val="32"/>
          <w:szCs w:val="32"/>
        </w:rPr>
        <w:t>城市国际化形象有待提升。长江、嘉陵江沿岸的生态建设、文化挖掘、品质提升有待进一步加强，城市山系、水系、绿系脉络尚需进一步梳理，城市天际线、山脊线、水岸线还需进一步构建。</w:t>
      </w:r>
      <w:r>
        <w:rPr>
          <w:rFonts w:ascii="Times New Roman" w:hAnsi="Times New Roman" w:eastAsia="方正仿宋_GBK"/>
          <w:b/>
          <w:bCs/>
          <w:sz w:val="32"/>
          <w:szCs w:val="32"/>
        </w:rPr>
        <w:t>二是</w:t>
      </w:r>
      <w:r>
        <w:rPr>
          <w:rFonts w:ascii="Times New Roman" w:hAnsi="Times New Roman" w:eastAsia="方正仿宋_GBK"/>
          <w:sz w:val="32"/>
          <w:szCs w:val="32"/>
        </w:rPr>
        <w:t>城市消费硬件设施环境有待改善。观音桥、五里店附近老城区部分建筑密集度高，基础配套设施老旧改造滞后，普遍缺乏公共活动空间、街头绿地、停车场地，交通拥堵、停车难等问题较为突出。观音桥商圈、北滨路沿线等从街区整体形象、楼宇外观、街面标识系统、公共设施平台到商业生态与国际化大都市品质、消费中心城市形象尚有一定距离，商圈环境还有待改善。</w:t>
      </w:r>
      <w:r>
        <w:rPr>
          <w:rFonts w:ascii="Times New Roman" w:hAnsi="Times New Roman" w:eastAsia="方正仿宋_GBK"/>
          <w:b/>
          <w:bCs/>
          <w:sz w:val="32"/>
          <w:szCs w:val="32"/>
        </w:rPr>
        <w:t>三是</w:t>
      </w:r>
      <w:r>
        <w:rPr>
          <w:rFonts w:ascii="Times New Roman" w:hAnsi="Times New Roman" w:eastAsia="方正仿宋_GBK"/>
          <w:sz w:val="32"/>
          <w:szCs w:val="32"/>
        </w:rPr>
        <w:t>城市国际影响力有待提升。江北区具有全球或区域较强影响力的重要品牌展会、赛事依然不多，与沿海发达地区还存在较大差距。同时有效的推广宣传力度还不够，国际能见度不强，对国际游客的吸引力有待提升。</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2.国际化消费供给有待增强</w:t>
      </w:r>
    </w:p>
    <w:p>
      <w:pPr>
        <w:spacing w:line="360" w:lineRule="auto"/>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一是</w:t>
      </w:r>
      <w:r>
        <w:rPr>
          <w:rFonts w:ascii="Times New Roman" w:hAnsi="Times New Roman" w:eastAsia="方正仿宋_GBK"/>
          <w:sz w:val="32"/>
          <w:szCs w:val="32"/>
        </w:rPr>
        <w:t>国际知名品牌聚集度不够高。江北现有国际知名品牌主要集中在观音桥商圈和江北嘴，但香奈儿服装店等国际顶尖高端品牌仍未入驻。</w:t>
      </w:r>
      <w:r>
        <w:rPr>
          <w:rFonts w:ascii="Times New Roman" w:hAnsi="Times New Roman" w:eastAsia="方正仿宋_GBK"/>
          <w:b/>
          <w:bCs/>
          <w:sz w:val="32"/>
          <w:szCs w:val="32"/>
        </w:rPr>
        <w:t>二是</w:t>
      </w:r>
      <w:r>
        <w:rPr>
          <w:rFonts w:ascii="Times New Roman" w:hAnsi="Times New Roman" w:eastAsia="方正仿宋_GBK"/>
          <w:sz w:val="32"/>
          <w:szCs w:val="32"/>
        </w:rPr>
        <w:t>中高端消费载体数量偏少。与上海浦东新</w:t>
      </w:r>
      <w:r>
        <w:rPr>
          <w:rFonts w:ascii="Times New Roman" w:hAnsi="Times New Roman" w:eastAsia="方正仿宋_GBK"/>
          <w:kern w:val="0"/>
          <w:sz w:val="32"/>
          <w:szCs w:val="32"/>
        </w:rPr>
        <w:t>区、广州天河区等热点消费地相比，购物中心数量偏少，且“国际范”载体更少</w:t>
      </w:r>
      <w:r>
        <w:rPr>
          <w:rFonts w:ascii="Times New Roman" w:hAnsi="Times New Roman" w:eastAsia="方正仿宋_GBK"/>
          <w:sz w:val="32"/>
          <w:szCs w:val="32"/>
        </w:rPr>
        <w:t>。</w:t>
      </w:r>
      <w:r>
        <w:rPr>
          <w:rFonts w:ascii="Times New Roman" w:hAnsi="Times New Roman" w:eastAsia="方正仿宋_GBK"/>
          <w:b/>
          <w:bCs/>
          <w:sz w:val="32"/>
          <w:szCs w:val="32"/>
        </w:rPr>
        <w:t>三是</w:t>
      </w:r>
      <w:r>
        <w:rPr>
          <w:rFonts w:ascii="Times New Roman" w:hAnsi="Times New Roman" w:eastAsia="方正仿宋_GBK"/>
          <w:sz w:val="32"/>
          <w:szCs w:val="32"/>
        </w:rPr>
        <w:t>国际消费品供给能力不能有效满足需求。具备国际标准的教育、医疗、运动健身、酒吧、餐吧等消费场所较少，拥有离境退税店、国际星级酒店的数量远远低于北京、上海等地。</w:t>
      </w:r>
      <w:r>
        <w:rPr>
          <w:rFonts w:ascii="Times New Roman" w:hAnsi="Times New Roman" w:eastAsia="方正仿宋_GBK"/>
          <w:b/>
          <w:bCs/>
          <w:sz w:val="32"/>
          <w:szCs w:val="32"/>
        </w:rPr>
        <w:t>四是</w:t>
      </w:r>
      <w:r>
        <w:rPr>
          <w:rFonts w:ascii="Times New Roman" w:hAnsi="Times New Roman" w:eastAsia="方正仿宋_GBK"/>
          <w:sz w:val="32"/>
          <w:szCs w:val="32"/>
        </w:rPr>
        <w:t>本土品牌开发不足。江北区“重庆老字号”品牌、非遗项目、驰名商标数量均偏少，且大部分因开发宣传不足，没有形成</w:t>
      </w:r>
      <w:r>
        <w:rPr>
          <w:rFonts w:hint="eastAsia" w:ascii="Times New Roman" w:hAnsi="Times New Roman" w:eastAsia="方正仿宋_GBK"/>
          <w:sz w:val="32"/>
          <w:szCs w:val="32"/>
        </w:rPr>
        <w:t>较强</w:t>
      </w:r>
      <w:r>
        <w:rPr>
          <w:rFonts w:ascii="Times New Roman" w:hAnsi="Times New Roman" w:eastAsia="方正仿宋_GBK"/>
          <w:sz w:val="32"/>
          <w:szCs w:val="32"/>
        </w:rPr>
        <w:t>品牌效应。</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3.国际化消费环境亟待优化</w:t>
      </w:r>
    </w:p>
    <w:p>
      <w:pPr>
        <w:spacing w:line="360" w:lineRule="auto"/>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一是</w:t>
      </w:r>
      <w:r>
        <w:rPr>
          <w:rFonts w:ascii="Times New Roman" w:hAnsi="Times New Roman" w:eastAsia="方正仿宋_GBK"/>
          <w:sz w:val="32"/>
          <w:szCs w:val="32"/>
        </w:rPr>
        <w:t>政策环境不够优惠。缺乏推进国际消费中心城市建设的有效政策，促进消费的贷款、利率、税收等政策不够优惠，市场主体积极性有待调动。如前期全区对首店政策的探索，主要针对首店店铺，未涉及引进的商场（商业综合体），对商场积极主动引进高端品牌造成一定影响。</w:t>
      </w:r>
      <w:r>
        <w:rPr>
          <w:rFonts w:ascii="Times New Roman" w:hAnsi="Times New Roman" w:eastAsia="方正仿宋_GBK"/>
          <w:b/>
          <w:bCs/>
          <w:sz w:val="32"/>
          <w:szCs w:val="32"/>
        </w:rPr>
        <w:t>二是</w:t>
      </w:r>
      <w:r>
        <w:rPr>
          <w:rFonts w:ascii="Times New Roman" w:hAnsi="Times New Roman" w:eastAsia="方正仿宋_GBK"/>
          <w:sz w:val="32"/>
          <w:szCs w:val="32"/>
        </w:rPr>
        <w:t>消费者利益保障体系尚不健全。针对过度消费、预付费消费、商业中介服务、网购消费等新领域、新业态的消费者利益保障体系尚不完善。</w:t>
      </w:r>
      <w:r>
        <w:rPr>
          <w:rFonts w:ascii="Times New Roman" w:hAnsi="Times New Roman" w:eastAsia="方正仿宋_GBK"/>
          <w:b/>
          <w:bCs/>
          <w:sz w:val="32"/>
          <w:szCs w:val="32"/>
        </w:rPr>
        <w:t>三是</w:t>
      </w:r>
      <w:r>
        <w:rPr>
          <w:rFonts w:ascii="Times New Roman" w:hAnsi="Times New Roman" w:eastAsia="方正仿宋_GBK"/>
          <w:sz w:val="32"/>
          <w:szCs w:val="32"/>
        </w:rPr>
        <w:t>数字消费环境仍需优化。消费者的合法权益受到多方面因素的制约无法得到及时、有效的维护，网络消费急需</w:t>
      </w:r>
      <w:r>
        <w:rPr>
          <w:rFonts w:hint="eastAsia" w:ascii="Times New Roman" w:hAnsi="Times New Roman" w:eastAsia="方正仿宋_GBK"/>
          <w:sz w:val="32"/>
          <w:szCs w:val="32"/>
        </w:rPr>
        <w:t>完善</w:t>
      </w:r>
      <w:r>
        <w:rPr>
          <w:rFonts w:ascii="Times New Roman" w:hAnsi="Times New Roman" w:eastAsia="方正仿宋_GBK"/>
          <w:sz w:val="32"/>
          <w:szCs w:val="32"/>
        </w:rPr>
        <w:t>“线上+审理”非诉解决机制，进一步提高线上非诉解决的时效性、快捷度。</w:t>
      </w:r>
    </w:p>
    <w:p>
      <w:pPr>
        <w:spacing w:line="360" w:lineRule="auto"/>
        <w:ind w:firstLine="640" w:firstLineChars="200"/>
        <w:textAlignment w:val="baseline"/>
        <w:outlineLvl w:val="1"/>
        <w:rPr>
          <w:rFonts w:ascii="Times New Roman" w:hAnsi="Times New Roman" w:eastAsia="方正楷体_GBK"/>
          <w:sz w:val="32"/>
          <w:szCs w:val="32"/>
        </w:rPr>
      </w:pPr>
      <w:bookmarkStart w:id="14" w:name="_Toc91625582"/>
      <w:r>
        <w:rPr>
          <w:rFonts w:ascii="Times New Roman" w:hAnsi="Times New Roman" w:eastAsia="方正楷体_GBK"/>
          <w:sz w:val="32"/>
          <w:szCs w:val="32"/>
        </w:rPr>
        <w:t>（三）面临形势</w:t>
      </w:r>
      <w:bookmarkEnd w:id="14"/>
    </w:p>
    <w:p>
      <w:pPr>
        <w:spacing w:line="360" w:lineRule="auto"/>
        <w:ind w:firstLine="643" w:firstLineChars="200"/>
        <w:textAlignment w:val="baseline"/>
        <w:rPr>
          <w:rFonts w:ascii="Times New Roman" w:hAnsi="Times New Roman" w:eastAsia="方正仿宋_GBK"/>
          <w:sz w:val="32"/>
          <w:szCs w:val="32"/>
        </w:rPr>
      </w:pPr>
      <w:r>
        <w:rPr>
          <w:rFonts w:ascii="Times New Roman" w:hAnsi="Times New Roman" w:eastAsia="方正仿宋_GBK"/>
          <w:b/>
          <w:bCs/>
          <w:sz w:val="32"/>
          <w:szCs w:val="32"/>
        </w:rPr>
        <w:t>从国际看</w:t>
      </w:r>
      <w:r>
        <w:rPr>
          <w:rFonts w:ascii="Times New Roman" w:hAnsi="Times New Roman" w:eastAsia="方正仿宋_GBK"/>
          <w:sz w:val="32"/>
          <w:szCs w:val="32"/>
        </w:rPr>
        <w:t>，新一轮科技革命和产业变革推动融合创新，大数据、人工智能等新技术在经贸领域深度应用，全球贸易便利化不断提升，“区域全面经济伙伴关系协定”（RCEP）深入推进，国家自贸区网络体系加速建设，有利于江北区深度参与全球消费大市场，加快提升国际化水平。</w:t>
      </w:r>
      <w:r>
        <w:rPr>
          <w:rFonts w:ascii="Times New Roman" w:hAnsi="Times New Roman" w:eastAsia="方正仿宋_GBK"/>
          <w:b/>
          <w:bCs/>
          <w:sz w:val="32"/>
          <w:szCs w:val="32"/>
        </w:rPr>
        <w:t>从国内看，</w:t>
      </w:r>
      <w:r>
        <w:rPr>
          <w:rFonts w:ascii="Times New Roman" w:hAnsi="Times New Roman" w:eastAsia="方正仿宋_GBK"/>
          <w:sz w:val="32"/>
          <w:szCs w:val="32"/>
        </w:rPr>
        <w:t>国家加快形成</w:t>
      </w:r>
      <w:r>
        <w:rPr>
          <w:rFonts w:hint="eastAsia" w:ascii="Times New Roman" w:hAnsi="Times New Roman" w:eastAsia="方正仿宋_GBK"/>
          <w:sz w:val="32"/>
          <w:szCs w:val="32"/>
        </w:rPr>
        <w:t>以国内大循环为主体、国内国际双循环相互促进的新发展格局</w:t>
      </w:r>
      <w:r>
        <w:rPr>
          <w:rFonts w:ascii="Times New Roman" w:hAnsi="Times New Roman" w:eastAsia="方正仿宋_GBK"/>
          <w:sz w:val="32"/>
          <w:szCs w:val="32"/>
        </w:rPr>
        <w:t>，支持提振内需、促进消费升级的政策文件密集出台，推进新一轮深化改革和扩大开放，开展国际消费中心城市建设，国内营商环境不断优化，有利于江北区提升消费发展能级。</w:t>
      </w:r>
      <w:r>
        <w:rPr>
          <w:rFonts w:ascii="Times New Roman" w:hAnsi="Times New Roman" w:eastAsia="方正仿宋_GBK"/>
          <w:b/>
          <w:bCs/>
          <w:sz w:val="32"/>
          <w:szCs w:val="32"/>
        </w:rPr>
        <w:t>从全市看</w:t>
      </w:r>
      <w:r>
        <w:rPr>
          <w:rFonts w:ascii="Times New Roman" w:hAnsi="Times New Roman" w:eastAsia="方正仿宋_GBK"/>
          <w:sz w:val="32"/>
          <w:szCs w:val="32"/>
        </w:rPr>
        <w:t>，重大跨区域合作发展战略和对外开放战略在渝叠加，共建“一带一路”、长江经济带发展、西部大开发等国家重大战略深入实施，成渝地区双城经济圈建设上升为国家战略，使重庆战略地位凸显、战略空间拓展、战略潜能释放，有利于江北区增强辐射带动能力，服务重庆国际消费中心城市建设。</w:t>
      </w:r>
      <w:r>
        <w:rPr>
          <w:rFonts w:ascii="Times New Roman" w:hAnsi="Times New Roman" w:eastAsia="方正仿宋_GBK"/>
          <w:b/>
          <w:bCs/>
          <w:sz w:val="32"/>
          <w:szCs w:val="32"/>
        </w:rPr>
        <w:t>从全区看</w:t>
      </w:r>
      <w:r>
        <w:rPr>
          <w:rFonts w:ascii="Times New Roman" w:hAnsi="Times New Roman" w:eastAsia="方正仿宋_GBK"/>
          <w:sz w:val="32"/>
          <w:szCs w:val="32"/>
        </w:rPr>
        <w:t>，重庆市加快释放“一区两群”空间布局优化效应，“两江四岸”“长嘉汇”大景区、“寸滩国际新城”等重大决策部署不断落实，中国（重庆）自由贸易试验区、中新（重庆）战略性互联互通示范项目等试点试验在江北区深入开展，有利于江北区发挥区位优势、规模优势、平台优势，扎实推进“四个率先”，在推动高质量发展、创造高品质生活中打头阵、做标兵。</w:t>
      </w:r>
    </w:p>
    <w:p>
      <w:pPr>
        <w:spacing w:line="360" w:lineRule="auto"/>
        <w:ind w:firstLine="640" w:firstLineChars="200"/>
        <w:textAlignment w:val="baseline"/>
        <w:rPr>
          <w:rFonts w:ascii="Times New Roman" w:hAnsi="Times New Roman" w:eastAsia="方正仿宋_GBK"/>
          <w:b/>
          <w:sz w:val="32"/>
          <w:szCs w:val="32"/>
        </w:rPr>
      </w:pPr>
      <w:r>
        <w:rPr>
          <w:rFonts w:ascii="Times New Roman" w:hAnsi="Times New Roman" w:eastAsia="方正仿宋_GBK"/>
          <w:sz w:val="32"/>
          <w:szCs w:val="32"/>
        </w:rPr>
        <w:t>同时，江北区建设国际消费中心城市还面临诸多挑战：</w:t>
      </w:r>
      <w:r>
        <w:rPr>
          <w:rFonts w:ascii="Times New Roman" w:hAnsi="Times New Roman" w:eastAsia="方正仿宋_GBK"/>
          <w:b/>
          <w:sz w:val="32"/>
          <w:szCs w:val="32"/>
        </w:rPr>
        <w:t>一是</w:t>
      </w:r>
      <w:r>
        <w:rPr>
          <w:rFonts w:ascii="Times New Roman" w:hAnsi="Times New Roman" w:eastAsia="方正仿宋_GBK"/>
          <w:sz w:val="32"/>
          <w:szCs w:val="32"/>
        </w:rPr>
        <w:t>当今世界正经历百年未有之大变局，疫情冲击下的全球经济复苏进程缓慢，贸易保护主义与单边主义抬头，全球产业链和经贸格局正面临深刻调整。</w:t>
      </w:r>
      <w:r>
        <w:rPr>
          <w:rFonts w:ascii="Times New Roman" w:hAnsi="Times New Roman" w:eastAsia="方正仿宋_GBK"/>
          <w:b/>
          <w:sz w:val="32"/>
          <w:szCs w:val="32"/>
        </w:rPr>
        <w:t>二是</w:t>
      </w:r>
      <w:r>
        <w:rPr>
          <w:rFonts w:ascii="Times New Roman" w:hAnsi="Times New Roman" w:eastAsia="方正仿宋_GBK"/>
          <w:sz w:val="32"/>
          <w:szCs w:val="32"/>
        </w:rPr>
        <w:t>我国处于转变发展方式、优化经济结构、转换增长动力的攻坚阶段，发展不平衡不充分问题仍然突出，新旧动能转换速度放缓，消费领域机制体制创新仍面临巨大挑战。</w:t>
      </w:r>
      <w:r>
        <w:rPr>
          <w:rFonts w:ascii="Times New Roman" w:hAnsi="Times New Roman" w:eastAsia="方正仿宋_GBK"/>
          <w:b/>
          <w:sz w:val="32"/>
          <w:szCs w:val="32"/>
        </w:rPr>
        <w:t>三是</w:t>
      </w:r>
      <w:r>
        <w:rPr>
          <w:rFonts w:ascii="Times New Roman" w:hAnsi="Times New Roman" w:eastAsia="方正仿宋_GBK"/>
          <w:sz w:val="32"/>
          <w:szCs w:val="32"/>
        </w:rPr>
        <w:t>重庆市综合实力与国内先进地区仍存在较大差距，消费集聚带动能力、创新引领能力、品质支撑能力仍待提高，建设国际消费中心城市软硬件仍待完善。</w:t>
      </w:r>
      <w:r>
        <w:rPr>
          <w:rFonts w:ascii="Times New Roman" w:hAnsi="Times New Roman" w:eastAsia="方正仿宋_GBK"/>
          <w:b/>
          <w:sz w:val="32"/>
          <w:szCs w:val="32"/>
        </w:rPr>
        <w:t>四是</w:t>
      </w:r>
      <w:r>
        <w:rPr>
          <w:rFonts w:ascii="Times New Roman" w:hAnsi="Times New Roman" w:eastAsia="方正仿宋_GBK"/>
          <w:sz w:val="32"/>
          <w:szCs w:val="32"/>
        </w:rPr>
        <w:t>江北区与周边地区的政策优势、平台优势日益缩小，区域间同质化竞争日趋激励，对江北区消费载体建设、消费业态培育、消费品牌聚集等提出了更高的要求。</w:t>
      </w:r>
    </w:p>
    <w:p>
      <w:pPr>
        <w:keepLines/>
        <w:spacing w:before="156" w:after="156" w:line="360" w:lineRule="auto"/>
        <w:ind w:firstLine="640" w:firstLineChars="200"/>
        <w:textAlignment w:val="baseline"/>
        <w:outlineLvl w:val="0"/>
        <w:rPr>
          <w:rFonts w:ascii="Times New Roman" w:hAnsi="Times New Roman" w:eastAsia="方正黑体_GBK"/>
          <w:kern w:val="44"/>
          <w:sz w:val="32"/>
          <w:szCs w:val="32"/>
        </w:rPr>
      </w:pPr>
      <w:bookmarkStart w:id="15" w:name="_Toc91625583"/>
      <w:r>
        <w:rPr>
          <w:rFonts w:ascii="Times New Roman" w:hAnsi="Times New Roman" w:eastAsia="方正黑体_GBK"/>
          <w:kern w:val="44"/>
          <w:sz w:val="32"/>
          <w:szCs w:val="32"/>
        </w:rPr>
        <w:t>二、总体要求</w:t>
      </w:r>
      <w:bookmarkEnd w:id="15"/>
    </w:p>
    <w:p>
      <w:pPr>
        <w:spacing w:line="360" w:lineRule="auto"/>
        <w:ind w:firstLine="640" w:firstLineChars="200"/>
        <w:textAlignment w:val="baseline"/>
        <w:outlineLvl w:val="1"/>
        <w:rPr>
          <w:rFonts w:ascii="Times New Roman" w:hAnsi="Times New Roman" w:eastAsia="方正楷体_GBK"/>
          <w:sz w:val="32"/>
          <w:szCs w:val="32"/>
        </w:rPr>
      </w:pPr>
      <w:bookmarkStart w:id="16" w:name="_Toc91625584"/>
      <w:r>
        <w:rPr>
          <w:rFonts w:ascii="Times New Roman" w:hAnsi="Times New Roman" w:eastAsia="方正楷体_GBK"/>
          <w:sz w:val="32"/>
          <w:szCs w:val="32"/>
        </w:rPr>
        <w:t>（一）指导思想</w:t>
      </w:r>
      <w:bookmarkEnd w:id="16"/>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以习近平新时代中国特色社会主义思想为指导，深入学习贯彻党的十九大和十九届二中、三中、四中、五中、六中全会和中央经济工作会议精神，全面落实习近平总书记对重庆提出的营造良好政治生态，坚持“两点”定位、“两地”“两高”目标、发挥“三个作用”和推动成渝地区双城经济圈建设等重要指示要求，立足新发展阶段，完整、准确、全面贯彻新发展理念，积极融入服务新发展格局，以满足人民日益增长的美好生活需要为根本目的，坚持供给侧结构性改革和需求侧管理两端发力，统筹运用好国际国内两个市场、两种资源，发挥消费对经济发展的基础性作用，扎实推进“四个率先”和“两高”示范区建设，优化消费供给，释放消费潜力，促进消费升级，为全市建成具有全球影响力的国际消费中心城市贡献核心动能。</w:t>
      </w:r>
    </w:p>
    <w:p>
      <w:pPr>
        <w:spacing w:line="360" w:lineRule="auto"/>
        <w:ind w:firstLine="640" w:firstLineChars="200"/>
        <w:textAlignment w:val="baseline"/>
        <w:outlineLvl w:val="1"/>
        <w:rPr>
          <w:rFonts w:ascii="Times New Roman" w:hAnsi="Times New Roman" w:eastAsia="方正楷体_GBK"/>
          <w:sz w:val="32"/>
          <w:szCs w:val="32"/>
        </w:rPr>
      </w:pPr>
      <w:bookmarkStart w:id="17" w:name="_Toc91625585"/>
      <w:r>
        <w:rPr>
          <w:rFonts w:ascii="Times New Roman" w:hAnsi="Times New Roman" w:eastAsia="方正楷体_GBK"/>
          <w:sz w:val="32"/>
          <w:szCs w:val="32"/>
        </w:rPr>
        <w:t>（二）基本原则</w:t>
      </w:r>
      <w:bookmarkEnd w:id="17"/>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坚持政府引导、市场主导。</w:t>
      </w:r>
      <w:r>
        <w:rPr>
          <w:rFonts w:ascii="Times New Roman" w:hAnsi="Times New Roman" w:eastAsia="方正仿宋_GBK"/>
          <w:sz w:val="32"/>
          <w:szCs w:val="32"/>
        </w:rPr>
        <w:t>更好发挥政府在整体规划布局、政策制度保障、公共服务提供等方面的积极作用，大力保护和激发市场主体活力，深入推进“放管服”改革，进一步扩大对内对外开放，全面构建市场化、法治化、国际化、便利化营商环境，推动消费供需优化升级。</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坚持顺应需求、优化供给。</w:t>
      </w:r>
      <w:r>
        <w:rPr>
          <w:rFonts w:ascii="Times New Roman" w:hAnsi="Times New Roman" w:eastAsia="方正仿宋_GBK"/>
          <w:sz w:val="32"/>
          <w:szCs w:val="32"/>
        </w:rPr>
        <w:t>主动顺应消费需求升级大趋势，增强供给结构对需求变化的适应性和灵活性，提高供给质量和效率，坚持绿色发展，更好满足需求、创造需求、引领需求。大力发展品牌企业、品牌商品、品牌服务，优化大众消费、品质消费、高端消费供给，更好满足不同层次消费需求。</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坚持创新驱动、多态融合。</w:t>
      </w:r>
      <w:r>
        <w:rPr>
          <w:rFonts w:ascii="Times New Roman" w:hAnsi="Times New Roman" w:eastAsia="方正仿宋_GBK"/>
          <w:sz w:val="32"/>
          <w:szCs w:val="32"/>
        </w:rPr>
        <w:t>深入实施创新驱动发展战略，以创新制度、创新技术、创新平台、创新人才激发商业转型升级新动能，加快培育新业态新模式，推动互联网和各类消费业态紧密融合。促进商业与会展、旅游、文化、体育、金融等产业跨界融合，促进线上线下、内外贸融合。</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坚持优化布局、特色发展。</w:t>
      </w:r>
      <w:r>
        <w:rPr>
          <w:rFonts w:ascii="Times New Roman" w:hAnsi="Times New Roman" w:eastAsia="方正仿宋_GBK"/>
          <w:sz w:val="32"/>
          <w:szCs w:val="32"/>
        </w:rPr>
        <w:t>对标国际一流消费城市，突出地域特色、文化特色、产业特色，大力培育发展文化创意、体验式、交互式、个性化的特色经济，从空间上建设多层次特色化的核心区域、国际化商圈、商业街等，重视特色场景的打造，建设全国引领消费潮流的风向标。</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坚持强化基础、提升便捷。</w:t>
      </w:r>
      <w:r>
        <w:rPr>
          <w:rFonts w:ascii="Times New Roman" w:hAnsi="Times New Roman" w:eastAsia="方正仿宋_GBK"/>
          <w:sz w:val="32"/>
          <w:szCs w:val="32"/>
        </w:rPr>
        <w:t>增强交通供给能力，提升出行便利度，完善国际化社区配套设施，健全国际化服务体系。加快推进高速、泛在、互联、智能的新一代信息基础设施建设，打造智慧城市大脑，提升信息通信服务能力和质量，加速推进5G网络和基站部署，依托信息技术促进消费扩大和升级。</w:t>
      </w:r>
    </w:p>
    <w:p>
      <w:pPr>
        <w:spacing w:line="360" w:lineRule="auto"/>
        <w:ind w:firstLine="640" w:firstLineChars="200"/>
        <w:textAlignment w:val="baseline"/>
        <w:rPr>
          <w:rFonts w:ascii="Times New Roman" w:hAnsi="Times New Roman"/>
          <w:sz w:val="32"/>
          <w:szCs w:val="32"/>
        </w:rPr>
      </w:pPr>
      <w:r>
        <w:rPr>
          <w:rFonts w:ascii="Times New Roman" w:hAnsi="Times New Roman" w:eastAsia="方正楷体_GBK"/>
          <w:sz w:val="32"/>
          <w:szCs w:val="32"/>
        </w:rPr>
        <w:t>坚持加强合作、扩大开放。</w:t>
      </w:r>
      <w:r>
        <w:rPr>
          <w:rFonts w:ascii="Times New Roman" w:hAnsi="Times New Roman" w:eastAsia="方正仿宋_GBK"/>
          <w:sz w:val="32"/>
          <w:szCs w:val="32"/>
        </w:rPr>
        <w:t>积极融入“一带一路”的供应链、服务链，强化国际通道建设，打造开放型消费平台，建立服务企业“走出去”协同联动机制，形成“江北总部·全球市场”发展新格局。促进产业链上下游企业实现供需对接和资源分享，推动以大型平台企业为核心的产业高质量发展。</w:t>
      </w:r>
    </w:p>
    <w:p>
      <w:pPr>
        <w:keepLines/>
        <w:spacing w:before="156" w:after="156" w:line="360" w:lineRule="auto"/>
        <w:ind w:firstLine="640" w:firstLineChars="200"/>
        <w:textAlignment w:val="baseline"/>
        <w:outlineLvl w:val="0"/>
        <w:rPr>
          <w:rFonts w:ascii="Times New Roman" w:hAnsi="Times New Roman" w:eastAsia="方正黑体_GBK"/>
          <w:kern w:val="44"/>
          <w:sz w:val="32"/>
          <w:szCs w:val="32"/>
        </w:rPr>
      </w:pPr>
      <w:bookmarkStart w:id="18" w:name="_Toc91625586"/>
      <w:r>
        <w:rPr>
          <w:rFonts w:ascii="Times New Roman" w:hAnsi="Times New Roman" w:eastAsia="方正黑体_GBK"/>
          <w:kern w:val="44"/>
          <w:sz w:val="32"/>
          <w:szCs w:val="32"/>
        </w:rPr>
        <w:t>三、发展策略</w:t>
      </w:r>
      <w:bookmarkEnd w:id="18"/>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紧扣重庆市培育建设国际消费中心城市发展契机，立足江北区发展基础，坚持以差异化、特色化、个性化为发展导向，做大做强消费载体，加快国际消费资源集聚，充分发展创新型商业业态，积极推动商文旅各项资源融合互动，加快提升国际服务便利性，构建高品质国际消费环境，“十四五”期间江北区建设国际消费中心城市实施</w:t>
      </w:r>
      <w:r>
        <w:rPr>
          <w:rFonts w:ascii="Times New Roman" w:hAnsi="Times New Roman" w:eastAsia="方正仿宋_GBK"/>
          <w:b/>
          <w:sz w:val="32"/>
          <w:szCs w:val="32"/>
        </w:rPr>
        <w:t>“15566”</w:t>
      </w:r>
      <w:r>
        <w:rPr>
          <w:rFonts w:ascii="Times New Roman" w:hAnsi="Times New Roman" w:eastAsia="方正仿宋_GBK"/>
          <w:sz w:val="32"/>
          <w:szCs w:val="32"/>
        </w:rPr>
        <w:t>发展策略。</w:t>
      </w:r>
    </w:p>
    <w:p>
      <w:pPr>
        <w:spacing w:line="360" w:lineRule="auto"/>
        <w:ind w:firstLine="640" w:firstLineChars="200"/>
        <w:textAlignment w:val="baseline"/>
        <w:outlineLvl w:val="1"/>
        <w:rPr>
          <w:rFonts w:ascii="Times New Roman" w:hAnsi="Times New Roman" w:eastAsia="方正楷体_GBK"/>
          <w:sz w:val="32"/>
          <w:szCs w:val="32"/>
        </w:rPr>
      </w:pPr>
      <w:bookmarkStart w:id="19" w:name="_Toc91625587"/>
      <w:r>
        <w:rPr>
          <w:rFonts w:ascii="Times New Roman" w:hAnsi="Times New Roman" w:eastAsia="方正楷体_GBK"/>
          <w:sz w:val="32"/>
          <w:szCs w:val="32"/>
        </w:rPr>
        <w:t>（一）“一个”定位</w:t>
      </w:r>
      <w:bookmarkEnd w:id="19"/>
    </w:p>
    <w:p>
      <w:pPr>
        <w:spacing w:line="360" w:lineRule="auto"/>
        <w:ind w:firstLine="640" w:firstLineChars="200"/>
        <w:textAlignment w:val="baseline"/>
        <w:rPr>
          <w:rFonts w:ascii="Times New Roman" w:hAnsi="Times New Roman" w:eastAsia="方正仿宋_GBK"/>
          <w:b/>
          <w:sz w:val="32"/>
          <w:szCs w:val="32"/>
        </w:rPr>
      </w:pPr>
      <w:r>
        <w:rPr>
          <w:rFonts w:ascii="Times New Roman" w:hAnsi="Times New Roman" w:eastAsia="方正仿宋_GBK"/>
          <w:sz w:val="32"/>
          <w:szCs w:val="32"/>
        </w:rPr>
        <w:t>以重庆市建设国际购物名城、国际美食名城、国际会展名城、国际旅游名城、国际文化名城“五大名城”为牵引，全面提升江北区国际知名度、消费繁荣度、商业活跃度、到达便利度、政策引领度。到2025年，</w:t>
      </w:r>
      <w:r>
        <w:rPr>
          <w:rFonts w:ascii="Times New Roman" w:hAnsi="Times New Roman" w:eastAsia="方正仿宋_GBK"/>
          <w:b/>
          <w:sz w:val="32"/>
          <w:szCs w:val="32"/>
        </w:rPr>
        <w:t>江北区建设成为重庆市国际消费中心城市首选区。</w:t>
      </w:r>
    </w:p>
    <w:p>
      <w:pPr>
        <w:pStyle w:val="2"/>
        <w:ind w:firstLine="640"/>
        <w:textAlignment w:val="baseline"/>
        <w:rPr>
          <w:rFonts w:ascii="Times New Roman" w:hAnsi="Times New Roman"/>
          <w:sz w:val="32"/>
          <w:szCs w:val="32"/>
        </w:rPr>
      </w:pPr>
      <w:r>
        <w:rPr>
          <w:rFonts w:ascii="Times New Roman" w:hAnsi="Times New Roman" w:eastAsia="方正仿宋_GBK"/>
          <w:sz w:val="32"/>
          <w:szCs w:val="32"/>
        </w:rPr>
        <w:t>到2030年，在全球范围内配置消费资源的能力大幅增强，对外开放程度和国际化水平全国领先，建成中国制造的“世界橱窗”、世界品牌的“展示窗口”，成为具有全球影响力、竞争力、美誉度的国际消费核心区。</w:t>
      </w:r>
    </w:p>
    <w:p>
      <w:pPr>
        <w:spacing w:line="360" w:lineRule="auto"/>
        <w:ind w:firstLine="640" w:firstLineChars="200"/>
        <w:textAlignment w:val="baseline"/>
        <w:outlineLvl w:val="1"/>
        <w:rPr>
          <w:rFonts w:ascii="Times New Roman" w:hAnsi="Times New Roman" w:eastAsia="方正楷体_GBK"/>
          <w:sz w:val="32"/>
          <w:szCs w:val="32"/>
        </w:rPr>
      </w:pPr>
      <w:bookmarkStart w:id="20" w:name="_Toc91625588"/>
      <w:r>
        <w:rPr>
          <w:rFonts w:ascii="Times New Roman" w:hAnsi="Times New Roman" w:eastAsia="方正楷体_GBK"/>
          <w:sz w:val="32"/>
          <w:szCs w:val="32"/>
        </w:rPr>
        <w:t>（二）“五大”目标</w:t>
      </w:r>
      <w:bookmarkEnd w:id="20"/>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1.建成国际都市旅游目的地。</w:t>
      </w:r>
      <w:r>
        <w:rPr>
          <w:rFonts w:ascii="Times New Roman" w:hAnsi="Times New Roman" w:eastAsia="方正仿宋_GBK"/>
          <w:sz w:val="32"/>
          <w:szCs w:val="32"/>
        </w:rPr>
        <w:t>依托江北区丰富的文化、旅游资源，通过空间升级、消费升级、产业升级、品牌升级等举措，大力推进江北区全域旅游发展。加快培育一批具有国际影响力的文旅产品和品牌，推出文旅消费新场景、新业态，促进文旅资源与产业、城市、乡村融合发展，全面提升旅游服务水平，建设成为国际都市旅游目的地。</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2.建成国际购物消费聚集地。</w:t>
      </w:r>
      <w:r>
        <w:rPr>
          <w:rFonts w:ascii="Times New Roman" w:hAnsi="Times New Roman" w:eastAsia="方正仿宋_GBK"/>
          <w:sz w:val="32"/>
          <w:szCs w:val="32"/>
        </w:rPr>
        <w:t>结合城市更新和新城建设，规划打造国际化、引领性、沉浸式、智慧化的高品质购物消费载体，加快集聚国际知名消费品牌，创新购物消费场景，引领国际消费需求，增强“渝货精品”影响力，积极拓展多元消费类型，提升国际消费服务水平，营造一流消费环境，将江北区建成名品汇集、环境舒适、辐射全国、享誉世界的国际购物消费聚集地。</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3.建成国际夜间消费领跑地。</w:t>
      </w:r>
      <w:r>
        <w:rPr>
          <w:rFonts w:ascii="Times New Roman" w:hAnsi="Times New Roman" w:eastAsia="方正仿宋_GBK"/>
          <w:sz w:val="32"/>
          <w:szCs w:val="32"/>
        </w:rPr>
        <w:t>充分发挥主城都市区“两江四岸”核心区历史文化和景观资源优势，扩大观音桥文娱区作为首批国家夜间文化旅游消费集聚区的影响力，聚焦江北嘴、观音桥商圈、大九街、北滨路等全市夜间经济核心区，围绕“夜味、夜养、夜赏、夜玩、夜购”大力发展“夜间经济”，重点打造一批夜间消费商圈、特色夜市街区等多元夜间消费场所，建成国际夜间消费领跑地。</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4.建成国际时尚消费新高地。</w:t>
      </w:r>
      <w:r>
        <w:rPr>
          <w:rFonts w:ascii="Times New Roman" w:hAnsi="Times New Roman" w:eastAsia="方正仿宋_GBK"/>
          <w:sz w:val="32"/>
          <w:szCs w:val="32"/>
        </w:rPr>
        <w:t>围绕服装设计、时尚生活用品、美容美发、珠宝首饰等时尚优势产业，加快集聚国际知名品牌，引进和培育总部机构，构建高质量时尚产业体系。积极发展首店经济，通过知名品牌首秀、首发等活动，吸引设计师、艺术家、时尚消费者汇聚江北，提升时尚影响力。促进全区消费领域技术、业态不断创新，新兴消费市场规模持续扩大，建设成为国际时尚消费新高地。</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5.建成国际美食消费必选地。</w:t>
      </w:r>
      <w:r>
        <w:rPr>
          <w:rFonts w:ascii="Times New Roman" w:hAnsi="Times New Roman" w:eastAsia="方正仿宋_GBK"/>
          <w:sz w:val="32"/>
          <w:szCs w:val="32"/>
        </w:rPr>
        <w:t>依托观音桥好吃街、大九街、三洞桥风情街、</w:t>
      </w:r>
      <w:r>
        <w:rPr>
          <w:rFonts w:hint="eastAsia" w:ascii="Times New Roman" w:hAnsi="Times New Roman" w:eastAsia="方正仿宋_GBK"/>
          <w:sz w:val="32"/>
          <w:szCs w:val="32"/>
        </w:rPr>
        <w:t>陶然居大观园</w:t>
      </w:r>
      <w:r>
        <w:rPr>
          <w:rFonts w:hint="eastAsia" w:ascii="宋体" w:hAnsi="宋体" w:cs="宋体"/>
          <w:sz w:val="32"/>
          <w:szCs w:val="32"/>
        </w:rPr>
        <w:t>•</w:t>
      </w:r>
      <w:r>
        <w:rPr>
          <w:rFonts w:hint="eastAsia" w:ascii="方正仿宋_GBK" w:hAnsi="方正仿宋_GBK" w:eastAsia="方正仿宋_GBK" w:cs="方正仿宋_GBK"/>
          <w:sz w:val="32"/>
          <w:szCs w:val="32"/>
        </w:rPr>
        <w:t>新国潮坊</w:t>
      </w:r>
      <w:r>
        <w:rPr>
          <w:rFonts w:ascii="Times New Roman" w:hAnsi="Times New Roman" w:eastAsia="方正仿宋_GBK"/>
          <w:sz w:val="32"/>
          <w:szCs w:val="32"/>
        </w:rPr>
        <w:t>等建设兼具国际化、地方特色的美食文化街区。加快国际美食品牌集聚，吸引国内外知名美食品牌在江北设立旗舰店、示范店，打造多元化国际美食消费场景，扩大本地渝派美食国际知名度，策划国际美食展会活动，引进和培育一批知名烹饪大师、美食家，多举措多角度把江北建设成为国际美食体验必选地。</w:t>
      </w:r>
    </w:p>
    <w:p>
      <w:pPr>
        <w:spacing w:line="360" w:lineRule="auto"/>
        <w:jc w:val="center"/>
        <w:textAlignment w:val="baseline"/>
        <w:rPr>
          <w:rFonts w:ascii="Times New Roman" w:hAnsi="Times New Roman"/>
          <w:b/>
          <w:bCs/>
          <w:sz w:val="20"/>
          <w:szCs w:val="32"/>
        </w:rPr>
      </w:pPr>
      <w:r>
        <w:rPr>
          <w:rFonts w:ascii="Times New Roman" w:hAnsi="Times New Roman"/>
          <w:b/>
          <w:bCs/>
          <w:szCs w:val="32"/>
        </w:rPr>
        <w:t>表3-1 江北区建设国际消费中心城市“十四五”主要指标表</w:t>
      </w:r>
    </w:p>
    <w:tbl>
      <w:tblPr>
        <w:tblStyle w:val="22"/>
        <w:tblW w:w="9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81"/>
        <w:gridCol w:w="2980"/>
        <w:gridCol w:w="1276"/>
        <w:gridCol w:w="1276"/>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blHeader/>
          <w:jc w:val="center"/>
        </w:trPr>
        <w:tc>
          <w:tcPr>
            <w:tcW w:w="704" w:type="dxa"/>
            <w:tcMar>
              <w:top w:w="15" w:type="dxa"/>
              <w:bottom w:w="15" w:type="dxa"/>
            </w:tcMar>
            <w:vAlign w:val="center"/>
          </w:tcPr>
          <w:p>
            <w:pPr>
              <w:widowControl/>
              <w:snapToGrid w:val="0"/>
              <w:jc w:val="center"/>
              <w:textAlignment w:val="baseline"/>
              <w:rPr>
                <w:rFonts w:ascii="Times New Roman" w:hAnsi="Times New Roman"/>
                <w:b/>
                <w:bCs/>
                <w:kern w:val="0"/>
                <w:sz w:val="24"/>
              </w:rPr>
            </w:pPr>
            <w:r>
              <w:rPr>
                <w:rFonts w:ascii="Times New Roman" w:hAnsi="Times New Roman"/>
                <w:b/>
                <w:bCs/>
                <w:kern w:val="0"/>
                <w:sz w:val="24"/>
              </w:rPr>
              <w:t>序号</w:t>
            </w:r>
          </w:p>
        </w:tc>
        <w:tc>
          <w:tcPr>
            <w:tcW w:w="1981" w:type="dxa"/>
            <w:tcMar>
              <w:top w:w="15" w:type="dxa"/>
              <w:bottom w:w="15" w:type="dxa"/>
            </w:tcMar>
            <w:vAlign w:val="center"/>
          </w:tcPr>
          <w:p>
            <w:pPr>
              <w:widowControl/>
              <w:snapToGrid w:val="0"/>
              <w:jc w:val="center"/>
              <w:textAlignment w:val="baseline"/>
              <w:rPr>
                <w:rFonts w:ascii="Times New Roman" w:hAnsi="Times New Roman"/>
                <w:b/>
                <w:bCs/>
                <w:kern w:val="0"/>
                <w:sz w:val="24"/>
              </w:rPr>
            </w:pPr>
            <w:r>
              <w:rPr>
                <w:rFonts w:ascii="Times New Roman" w:hAnsi="Times New Roman"/>
                <w:b/>
                <w:bCs/>
                <w:kern w:val="0"/>
                <w:sz w:val="24"/>
              </w:rPr>
              <w:t>维度</w:t>
            </w:r>
          </w:p>
        </w:tc>
        <w:tc>
          <w:tcPr>
            <w:tcW w:w="2980" w:type="dxa"/>
            <w:tcMar>
              <w:top w:w="15" w:type="dxa"/>
              <w:bottom w:w="15" w:type="dxa"/>
            </w:tcMar>
            <w:vAlign w:val="center"/>
          </w:tcPr>
          <w:p>
            <w:pPr>
              <w:widowControl/>
              <w:snapToGrid w:val="0"/>
              <w:jc w:val="center"/>
              <w:textAlignment w:val="baseline"/>
              <w:rPr>
                <w:rFonts w:ascii="Times New Roman" w:hAnsi="Times New Roman"/>
                <w:b/>
                <w:bCs/>
                <w:kern w:val="0"/>
                <w:sz w:val="24"/>
              </w:rPr>
            </w:pPr>
            <w:r>
              <w:rPr>
                <w:rFonts w:ascii="Times New Roman" w:hAnsi="Times New Roman"/>
                <w:b/>
                <w:bCs/>
                <w:kern w:val="0"/>
                <w:sz w:val="24"/>
              </w:rPr>
              <w:t>具体指标</w:t>
            </w:r>
          </w:p>
        </w:tc>
        <w:tc>
          <w:tcPr>
            <w:tcW w:w="1276" w:type="dxa"/>
            <w:vAlign w:val="center"/>
          </w:tcPr>
          <w:p>
            <w:pPr>
              <w:widowControl/>
              <w:snapToGrid w:val="0"/>
              <w:jc w:val="center"/>
              <w:textAlignment w:val="baseline"/>
              <w:rPr>
                <w:rFonts w:ascii="Times New Roman" w:hAnsi="Times New Roman"/>
                <w:b/>
                <w:bCs/>
                <w:kern w:val="0"/>
                <w:sz w:val="24"/>
              </w:rPr>
            </w:pPr>
            <w:r>
              <w:rPr>
                <w:rFonts w:ascii="Times New Roman" w:hAnsi="Times New Roman"/>
                <w:b/>
                <w:bCs/>
                <w:kern w:val="0"/>
                <w:sz w:val="24"/>
              </w:rPr>
              <w:t>单位</w:t>
            </w:r>
          </w:p>
        </w:tc>
        <w:tc>
          <w:tcPr>
            <w:tcW w:w="1276" w:type="dxa"/>
            <w:vAlign w:val="center"/>
          </w:tcPr>
          <w:p>
            <w:pPr>
              <w:widowControl/>
              <w:snapToGrid w:val="0"/>
              <w:jc w:val="center"/>
              <w:textAlignment w:val="baseline"/>
              <w:rPr>
                <w:rFonts w:ascii="Times New Roman" w:hAnsi="Times New Roman"/>
                <w:b/>
                <w:bCs/>
                <w:kern w:val="0"/>
                <w:sz w:val="24"/>
              </w:rPr>
            </w:pPr>
            <w:r>
              <w:rPr>
                <w:rFonts w:ascii="Times New Roman" w:hAnsi="Times New Roman"/>
                <w:b/>
                <w:bCs/>
                <w:kern w:val="0"/>
                <w:sz w:val="24"/>
              </w:rPr>
              <w:t>2020</w:t>
            </w:r>
          </w:p>
        </w:tc>
        <w:tc>
          <w:tcPr>
            <w:tcW w:w="1272" w:type="dxa"/>
            <w:vAlign w:val="center"/>
          </w:tcPr>
          <w:p>
            <w:pPr>
              <w:widowControl/>
              <w:snapToGrid w:val="0"/>
              <w:jc w:val="center"/>
              <w:textAlignment w:val="baseline"/>
              <w:rPr>
                <w:rFonts w:ascii="Times New Roman" w:hAnsi="Times New Roman"/>
                <w:b/>
                <w:bCs/>
                <w:kern w:val="0"/>
                <w:sz w:val="24"/>
              </w:rPr>
            </w:pPr>
            <w:r>
              <w:rPr>
                <w:rFonts w:ascii="Times New Roman" w:hAnsi="Times New Roman"/>
                <w:b/>
                <w:bCs/>
                <w:kern w:val="0"/>
                <w:sz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1</w:t>
            </w:r>
          </w:p>
        </w:tc>
        <w:tc>
          <w:tcPr>
            <w:tcW w:w="1981" w:type="dxa"/>
            <w:vMerge w:val="restart"/>
            <w:tcMar>
              <w:top w:w="15" w:type="dxa"/>
              <w:bottom w:w="15" w:type="dxa"/>
            </w:tcMar>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国际知名度</w:t>
            </w:r>
          </w:p>
        </w:tc>
        <w:tc>
          <w:tcPr>
            <w:tcW w:w="2980" w:type="dxa"/>
            <w:tcMar>
              <w:top w:w="15" w:type="dxa"/>
              <w:bottom w:w="15" w:type="dxa"/>
            </w:tcMar>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全球城市竞争力排名</w:t>
            </w:r>
          </w:p>
          <w:p>
            <w:pPr>
              <w:widowControl/>
              <w:snapToGrid w:val="0"/>
              <w:jc w:val="center"/>
              <w:textAlignment w:val="baseline"/>
              <w:rPr>
                <w:rFonts w:ascii="Times New Roman" w:hAnsi="Times New Roman"/>
              </w:rPr>
            </w:pPr>
            <w:r>
              <w:rPr>
                <w:rFonts w:ascii="Times New Roman" w:hAnsi="Times New Roman"/>
              </w:rPr>
              <w:t>（引用市级指标）</w:t>
            </w:r>
          </w:p>
        </w:tc>
        <w:tc>
          <w:tcPr>
            <w:tcW w:w="1276" w:type="dxa"/>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81</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2</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接待国外游客数量</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万人次</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2</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3</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世界500强企业进驻数量</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个</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64</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4</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百亿规模商业综合体</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个</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0</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5</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国际国内重大活动和展会数量</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场</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5</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6</w:t>
            </w:r>
          </w:p>
        </w:tc>
        <w:tc>
          <w:tcPr>
            <w:tcW w:w="1981" w:type="dxa"/>
            <w:vMerge w:val="restart"/>
            <w:tcMar>
              <w:top w:w="15" w:type="dxa"/>
              <w:bottom w:w="15" w:type="dxa"/>
            </w:tcMar>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消费繁荣度</w:t>
            </w: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社会消费品零售总额</w:t>
            </w:r>
          </w:p>
        </w:tc>
        <w:tc>
          <w:tcPr>
            <w:tcW w:w="1276" w:type="dxa"/>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亿元</w:t>
            </w:r>
          </w:p>
        </w:tc>
        <w:tc>
          <w:tcPr>
            <w:tcW w:w="1276" w:type="dxa"/>
            <w:vAlign w:val="center"/>
          </w:tcPr>
          <w:p>
            <w:pPr>
              <w:jc w:val="center"/>
              <w:textAlignment w:val="baseline"/>
              <w:rPr>
                <w:rFonts w:ascii="Times New Roman" w:hAnsi="Times New Roman"/>
                <w:sz w:val="24"/>
              </w:rPr>
            </w:pPr>
            <w:r>
              <w:rPr>
                <w:rFonts w:ascii="Times New Roman" w:hAnsi="Times New Roman"/>
                <w:sz w:val="24"/>
              </w:rPr>
              <w:t>687.1</w:t>
            </w:r>
          </w:p>
        </w:tc>
        <w:tc>
          <w:tcPr>
            <w:tcW w:w="1272" w:type="dxa"/>
            <w:vAlign w:val="center"/>
          </w:tcPr>
          <w:p>
            <w:pPr>
              <w:jc w:val="center"/>
              <w:textAlignment w:val="baseline"/>
              <w:rPr>
                <w:rFonts w:ascii="Times New Roman" w:hAnsi="Times New Roman"/>
                <w:sz w:val="24"/>
              </w:rPr>
            </w:pPr>
            <w:r>
              <w:rPr>
                <w:rFonts w:ascii="Times New Roman" w:hAnsi="Times New Roman"/>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7</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批发零售业商品销售总额</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sz w:val="24"/>
              </w:rPr>
              <w:t>亿</w:t>
            </w:r>
            <w:r>
              <w:rPr>
                <w:rFonts w:ascii="Times New Roman" w:hAnsi="Times New Roman"/>
                <w:kern w:val="0"/>
                <w:sz w:val="24"/>
              </w:rPr>
              <w:t>元</w:t>
            </w:r>
          </w:p>
        </w:tc>
        <w:tc>
          <w:tcPr>
            <w:tcW w:w="1276" w:type="dxa"/>
            <w:vAlign w:val="center"/>
          </w:tcPr>
          <w:p>
            <w:pPr>
              <w:jc w:val="center"/>
              <w:textAlignment w:val="baseline"/>
              <w:rPr>
                <w:rFonts w:ascii="Times New Roman" w:hAnsi="Times New Roman"/>
                <w:sz w:val="24"/>
              </w:rPr>
            </w:pPr>
            <w:r>
              <w:rPr>
                <w:rFonts w:ascii="Times New Roman" w:hAnsi="Times New Roman"/>
                <w:sz w:val="24"/>
              </w:rPr>
              <w:t>4692.4</w:t>
            </w:r>
          </w:p>
        </w:tc>
        <w:tc>
          <w:tcPr>
            <w:tcW w:w="1272" w:type="dxa"/>
            <w:vAlign w:val="center"/>
          </w:tcPr>
          <w:p>
            <w:pPr>
              <w:jc w:val="center"/>
              <w:textAlignment w:val="baseline"/>
              <w:rPr>
                <w:rFonts w:ascii="Times New Roman" w:hAnsi="Times New Roman"/>
                <w:sz w:val="24"/>
              </w:rPr>
            </w:pPr>
            <w:r>
              <w:rPr>
                <w:rFonts w:ascii="Times New Roman" w:hAnsi="Times New Roman"/>
                <w:sz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8</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住宿餐饮营业额</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sz w:val="24"/>
              </w:rPr>
              <w:t>亿</w:t>
            </w:r>
            <w:r>
              <w:rPr>
                <w:rFonts w:ascii="Times New Roman" w:hAnsi="Times New Roman"/>
                <w:kern w:val="0"/>
                <w:sz w:val="24"/>
              </w:rPr>
              <w:t>元</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99.1</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9</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商贸业增加值</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sz w:val="24"/>
              </w:rPr>
              <w:t>亿</w:t>
            </w:r>
            <w:r>
              <w:rPr>
                <w:rFonts w:ascii="Times New Roman" w:hAnsi="Times New Roman"/>
                <w:kern w:val="0"/>
                <w:sz w:val="24"/>
              </w:rPr>
              <w:t>元</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306.5</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10</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 xml:space="preserve">服务业增加值 </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亿元</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954</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11</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外贸进出口总额</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亿元</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379.7</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12</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国内旅游总收入</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亿元</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67.5</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13</w:t>
            </w:r>
          </w:p>
        </w:tc>
        <w:tc>
          <w:tcPr>
            <w:tcW w:w="1981" w:type="dxa"/>
            <w:vMerge w:val="restart"/>
            <w:tcMar>
              <w:top w:w="15" w:type="dxa"/>
              <w:bottom w:w="15" w:type="dxa"/>
            </w:tcMar>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商业活跃度</w:t>
            </w: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特色商业街</w:t>
            </w:r>
          </w:p>
        </w:tc>
        <w:tc>
          <w:tcPr>
            <w:tcW w:w="1276" w:type="dxa"/>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条</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4</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14</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 xml:space="preserve">国际知名品牌/“重庆老字号”数量 </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个</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130/7</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200/15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15</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 xml:space="preserve">离境退税店数量     </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个</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10</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16</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免税店</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个</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0</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17</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首店数量</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个</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215</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18</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五星级标准酒店数量</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家</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9</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19</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夜市街区总面积</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万平方米</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210</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20</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国内旅游人数</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万人次</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3721.9</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21</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天台经济</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处</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4</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22</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绿色饭店（商场）</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家</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4</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23</w:t>
            </w:r>
          </w:p>
        </w:tc>
        <w:tc>
          <w:tcPr>
            <w:tcW w:w="1981" w:type="dxa"/>
            <w:vMerge w:val="restart"/>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达到便利度</w:t>
            </w:r>
          </w:p>
          <w:p>
            <w:pPr>
              <w:pStyle w:val="2"/>
              <w:jc w:val="center"/>
              <w:textAlignment w:val="baseline"/>
              <w:rPr>
                <w:rFonts w:ascii="Times New Roman" w:hAnsi="Times New Roman"/>
              </w:rPr>
            </w:pPr>
            <w:r>
              <w:rPr>
                <w:rFonts w:ascii="Times New Roman" w:hAnsi="Times New Roman"/>
              </w:rPr>
              <w:t>（引用市级指标）</w:t>
            </w:r>
          </w:p>
        </w:tc>
        <w:tc>
          <w:tcPr>
            <w:tcW w:w="2980" w:type="dxa"/>
            <w:tcMar>
              <w:top w:w="15" w:type="dxa"/>
              <w:bottom w:w="15" w:type="dxa"/>
            </w:tcMar>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国际国内航线班次数量</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条</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364</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24</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高铁/动车车次数量</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万班</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7.6</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25</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地铁运营总里程</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公里</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343.3</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&gt;600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26</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高速公路途经条数</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条</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12</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27</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网约车数量</w:t>
            </w:r>
          </w:p>
        </w:tc>
        <w:tc>
          <w:tcPr>
            <w:tcW w:w="1276" w:type="dxa"/>
            <w:vAlign w:val="center"/>
          </w:tcPr>
          <w:p>
            <w:pPr>
              <w:widowControl/>
              <w:snapToGrid w:val="0"/>
              <w:jc w:val="center"/>
              <w:textAlignment w:val="center"/>
              <w:rPr>
                <w:rFonts w:ascii="Times New Roman" w:hAnsi="Times New Roman"/>
                <w:kern w:val="0"/>
                <w:sz w:val="24"/>
              </w:rPr>
            </w:pPr>
            <w:r>
              <w:rPr>
                <w:rFonts w:ascii="Times New Roman" w:hAnsi="Times New Roman"/>
                <w:kern w:val="0"/>
                <w:sz w:val="24"/>
              </w:rPr>
              <w:t>万辆</w:t>
            </w:r>
          </w:p>
        </w:tc>
        <w:tc>
          <w:tcPr>
            <w:tcW w:w="1276"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6.78</w:t>
            </w:r>
          </w:p>
        </w:tc>
        <w:tc>
          <w:tcPr>
            <w:tcW w:w="1272" w:type="dxa"/>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28</w:t>
            </w:r>
          </w:p>
        </w:tc>
        <w:tc>
          <w:tcPr>
            <w:tcW w:w="1981" w:type="dxa"/>
            <w:vMerge w:val="restart"/>
            <w:tcMar>
              <w:top w:w="15" w:type="dxa"/>
              <w:bottom w:w="15" w:type="dxa"/>
            </w:tcMar>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政策引领度</w:t>
            </w:r>
          </w:p>
          <w:p>
            <w:pPr>
              <w:pStyle w:val="2"/>
              <w:textAlignment w:val="baseline"/>
              <w:rPr>
                <w:rFonts w:ascii="Times New Roman" w:hAnsi="Times New Roman"/>
              </w:rPr>
            </w:pPr>
            <w:r>
              <w:rPr>
                <w:rFonts w:ascii="Times New Roman" w:hAnsi="Times New Roman"/>
              </w:rPr>
              <w:t>（引用市级指标）</w:t>
            </w:r>
          </w:p>
        </w:tc>
        <w:tc>
          <w:tcPr>
            <w:tcW w:w="2980" w:type="dxa"/>
            <w:tcMar>
              <w:top w:w="15" w:type="dxa"/>
              <w:bottom w:w="15" w:type="dxa"/>
            </w:tcMar>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领导组织和部门协调机制</w:t>
            </w:r>
          </w:p>
        </w:tc>
        <w:tc>
          <w:tcPr>
            <w:tcW w:w="1276" w:type="dxa"/>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w:t>
            </w:r>
          </w:p>
        </w:tc>
        <w:tc>
          <w:tcPr>
            <w:tcW w:w="1276" w:type="dxa"/>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有</w:t>
            </w:r>
          </w:p>
        </w:tc>
        <w:tc>
          <w:tcPr>
            <w:tcW w:w="1272" w:type="dxa"/>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sz w:val="24"/>
              </w:rPr>
            </w:pPr>
            <w:r>
              <w:rPr>
                <w:rFonts w:ascii="Times New Roman" w:hAnsi="Times New Roman"/>
                <w:kern w:val="0"/>
                <w:sz w:val="24"/>
              </w:rPr>
              <w:t>29</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规划、目标、实施方案</w:t>
            </w:r>
          </w:p>
        </w:tc>
        <w:tc>
          <w:tcPr>
            <w:tcW w:w="1276" w:type="dxa"/>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w:t>
            </w:r>
          </w:p>
        </w:tc>
        <w:tc>
          <w:tcPr>
            <w:tcW w:w="1276" w:type="dxa"/>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有</w:t>
            </w:r>
          </w:p>
        </w:tc>
        <w:tc>
          <w:tcPr>
            <w:tcW w:w="1272" w:type="dxa"/>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04" w:type="dxa"/>
            <w:tcMar>
              <w:top w:w="15" w:type="dxa"/>
              <w:bottom w:w="15" w:type="dxa"/>
            </w:tcMar>
            <w:vAlign w:val="center"/>
          </w:tcPr>
          <w:p>
            <w:pPr>
              <w:widowControl/>
              <w:spacing w:line="460" w:lineRule="exact"/>
              <w:jc w:val="center"/>
              <w:textAlignment w:val="center"/>
              <w:rPr>
                <w:rFonts w:ascii="Times New Roman" w:hAnsi="Times New Roman"/>
                <w:kern w:val="0"/>
                <w:sz w:val="24"/>
              </w:rPr>
            </w:pPr>
            <w:r>
              <w:rPr>
                <w:rFonts w:ascii="Times New Roman" w:hAnsi="Times New Roman"/>
                <w:kern w:val="0"/>
                <w:sz w:val="24"/>
              </w:rPr>
              <w:t>30</w:t>
            </w:r>
          </w:p>
        </w:tc>
        <w:tc>
          <w:tcPr>
            <w:tcW w:w="1981" w:type="dxa"/>
            <w:vMerge w:val="continue"/>
            <w:vAlign w:val="center"/>
          </w:tcPr>
          <w:p>
            <w:pPr>
              <w:textAlignment w:val="baseline"/>
              <w:rPr>
                <w:rFonts w:ascii="Times New Roman" w:hAnsi="Times New Roman"/>
                <w:sz w:val="20"/>
              </w:rPr>
            </w:pPr>
          </w:p>
        </w:tc>
        <w:tc>
          <w:tcPr>
            <w:tcW w:w="2980" w:type="dxa"/>
            <w:tcMar>
              <w:top w:w="15" w:type="dxa"/>
              <w:bottom w:w="15" w:type="dxa"/>
            </w:tcMar>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 xml:space="preserve">政策创新和配套措施 </w:t>
            </w:r>
          </w:p>
        </w:tc>
        <w:tc>
          <w:tcPr>
            <w:tcW w:w="1276" w:type="dxa"/>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w:t>
            </w:r>
          </w:p>
        </w:tc>
        <w:tc>
          <w:tcPr>
            <w:tcW w:w="1276" w:type="dxa"/>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有</w:t>
            </w:r>
          </w:p>
        </w:tc>
        <w:tc>
          <w:tcPr>
            <w:tcW w:w="1272" w:type="dxa"/>
            <w:vAlign w:val="center"/>
          </w:tcPr>
          <w:p>
            <w:pPr>
              <w:widowControl/>
              <w:snapToGrid w:val="0"/>
              <w:jc w:val="center"/>
              <w:textAlignment w:val="baseline"/>
              <w:rPr>
                <w:rFonts w:ascii="Times New Roman" w:hAnsi="Times New Roman"/>
                <w:kern w:val="0"/>
                <w:sz w:val="24"/>
              </w:rPr>
            </w:pPr>
            <w:r>
              <w:rPr>
                <w:rFonts w:ascii="Times New Roman" w:hAnsi="Times New Roman"/>
                <w:kern w:val="0"/>
                <w:sz w:val="24"/>
              </w:rPr>
              <w:t>优化</w:t>
            </w:r>
          </w:p>
        </w:tc>
      </w:tr>
    </w:tbl>
    <w:p>
      <w:pPr>
        <w:ind w:firstLine="480" w:firstLineChars="200"/>
        <w:textAlignment w:val="baseline"/>
        <w:rPr>
          <w:rFonts w:ascii="Times New Roman" w:hAnsi="Times New Roman" w:eastAsia="方正楷体_GBK"/>
          <w:sz w:val="24"/>
        </w:rPr>
      </w:pPr>
      <w:r>
        <w:rPr>
          <w:rFonts w:ascii="Times New Roman" w:hAnsi="Times New Roman"/>
          <w:kern w:val="0"/>
          <w:sz w:val="24"/>
        </w:rPr>
        <w:t>注：指标体系参照《商务部 国家发展改革委 住房和城乡建设部关于印发〈培育国际消费中心城市总体方案〉的通知》（商消费函〔2021〕395号）、《重庆市国际消费中心城市培育建设试点实施方案》、《重庆市培育建设国际消费中心城市实施方案》（渝府发〔2021〕33号）等政策文件制定。</w:t>
      </w:r>
    </w:p>
    <w:p>
      <w:pPr>
        <w:spacing w:line="360" w:lineRule="auto"/>
        <w:ind w:firstLine="640" w:firstLineChars="200"/>
        <w:textAlignment w:val="baseline"/>
        <w:outlineLvl w:val="1"/>
        <w:rPr>
          <w:rFonts w:ascii="Times New Roman" w:hAnsi="Times New Roman" w:eastAsia="方正楷体_GBK"/>
          <w:sz w:val="32"/>
          <w:szCs w:val="32"/>
        </w:rPr>
      </w:pPr>
      <w:bookmarkStart w:id="21" w:name="_Toc91625589"/>
      <w:r>
        <w:rPr>
          <w:rFonts w:ascii="Times New Roman" w:hAnsi="Times New Roman" w:eastAsia="方正楷体_GBK"/>
          <w:sz w:val="32"/>
          <w:szCs w:val="32"/>
        </w:rPr>
        <w:t>（三）“五大”产业</w:t>
      </w:r>
      <w:bookmarkEnd w:id="21"/>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1.做大做强商贸产业。</w:t>
      </w:r>
      <w:r>
        <w:rPr>
          <w:rFonts w:ascii="Times New Roman" w:hAnsi="Times New Roman" w:eastAsia="方正仿宋_GBK"/>
          <w:sz w:val="32"/>
          <w:szCs w:val="32"/>
        </w:rPr>
        <w:t>着力打造观音桥商圈、江北嘴、寸滩国际新城等区域的消费载体，加快全球知名品牌聚集，大力发展“四首”经济，培育和引进一批商贸总部企业，合理布局智慧商店、无人店以及免税商店等，加快推动传统商贸企业利用信息技术创新转型。全面提升会展经济能级，积极拓展国际消费合作。</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2.大力发展旅游产业。</w:t>
      </w:r>
      <w:r>
        <w:rPr>
          <w:rFonts w:ascii="Times New Roman" w:hAnsi="Times New Roman" w:eastAsia="方正仿宋_GBK"/>
          <w:sz w:val="32"/>
          <w:szCs w:val="32"/>
        </w:rPr>
        <w:t>整合大九街、鸿恩寺、江北嘴、鎏嘉码头、五宝镇、铁山坪森林公园等旅游资源，开发体验式、互动性、定制化旅游项目，推出更具国际化的旅游产品。积极培育旅游龙头企业，扶持文旅中小微企业，加快优质旅游项目落地，推动旅游企业发展壮大。完善旅游配套基础设施和服务体系，打造高品质旅游环境。</w:t>
      </w:r>
    </w:p>
    <w:p>
      <w:pPr>
        <w:spacing w:line="360" w:lineRule="auto"/>
        <w:ind w:firstLine="640" w:firstLineChars="200"/>
        <w:textAlignment w:val="baseline"/>
        <w:rPr>
          <w:rFonts w:ascii="Times New Roman" w:hAnsi="Times New Roman"/>
          <w:sz w:val="32"/>
          <w:szCs w:val="32"/>
        </w:rPr>
      </w:pPr>
      <w:r>
        <w:rPr>
          <w:rFonts w:ascii="Times New Roman" w:hAnsi="Times New Roman" w:eastAsia="方正楷体_GBK"/>
          <w:sz w:val="32"/>
          <w:szCs w:val="32"/>
        </w:rPr>
        <w:t>3.培育壮大文体产业。</w:t>
      </w:r>
      <w:r>
        <w:rPr>
          <w:rFonts w:ascii="Times New Roman" w:hAnsi="Times New Roman" w:eastAsia="方正仿宋_GBK"/>
          <w:sz w:val="32"/>
          <w:szCs w:val="32"/>
        </w:rPr>
        <w:t>依托北仓文创街区、洋炮局·1862文创园、唐家沱老街等文化资源，培育一批具有国际影响力的文化品牌，充分挖掘江北区文化新内涵，积极创建“国家文化旅游消费示范城市”。提档升级现有体育场馆，大力引进体育总部经济，发展国际性体育赛事，集聚人气、提升热度，形成文体消费新高地。</w:t>
      </w:r>
    </w:p>
    <w:p>
      <w:pPr>
        <w:pStyle w:val="2"/>
        <w:ind w:firstLine="640"/>
        <w:textAlignment w:val="baseline"/>
        <w:rPr>
          <w:rFonts w:ascii="Times New Roman" w:hAnsi="Times New Roman" w:eastAsia="方正仿宋_GBK"/>
          <w:sz w:val="32"/>
          <w:szCs w:val="32"/>
        </w:rPr>
      </w:pPr>
      <w:r>
        <w:rPr>
          <w:rFonts w:ascii="Times New Roman" w:hAnsi="Times New Roman" w:eastAsia="方正楷体_GBK"/>
          <w:sz w:val="32"/>
          <w:szCs w:val="32"/>
        </w:rPr>
        <w:t>4.积极拓展医美产业。</w:t>
      </w:r>
      <w:r>
        <w:rPr>
          <w:rFonts w:ascii="Times New Roman" w:hAnsi="Times New Roman" w:eastAsia="方正仿宋_GBK"/>
          <w:sz w:val="32"/>
          <w:szCs w:val="32"/>
        </w:rPr>
        <w:t>积极引进和培育国际知名医美机构，规划建设医美核心集聚区。促进“互联网+医美”融合发展，推动大数据分析技术、人脸识别技术、4D模拟等技术和应用融入医美体系，积极发展新模式、新业态。完善医美行业产业链，引进医美行业信息化服务商、医美APP、医美保险等配套服务企业。支持医美企业不断增强研发能力，引进专业人才，提高产品质量。</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5.加快发展娱乐产业。</w:t>
      </w:r>
      <w:r>
        <w:rPr>
          <w:rFonts w:ascii="Times New Roman" w:hAnsi="Times New Roman" w:eastAsia="方正仿宋_GBK"/>
          <w:sz w:val="32"/>
          <w:szCs w:val="32"/>
        </w:rPr>
        <w:t>依托小苑、电测村片区开发建设，发挥大九街对年轻消费群体的吸引力，加快布局电子竞技，积极举办区域性、全国性游戏竞技赛事。鼓励娱乐场所应用新设备、改造服务环境、创新经营模式，大力引进电影观影、文艺演出、室内冲浪、蹦床轰趴、漂浮体验等娱乐项目，打造年轻化、个性化、场景化娱乐产业集群。</w:t>
      </w:r>
    </w:p>
    <w:p>
      <w:pPr>
        <w:spacing w:line="360" w:lineRule="auto"/>
        <w:ind w:firstLine="640" w:firstLineChars="200"/>
        <w:textAlignment w:val="baseline"/>
        <w:outlineLvl w:val="1"/>
        <w:rPr>
          <w:rFonts w:ascii="Times New Roman" w:hAnsi="Times New Roman" w:eastAsia="方正楷体_GBK"/>
          <w:sz w:val="32"/>
          <w:szCs w:val="32"/>
        </w:rPr>
      </w:pPr>
      <w:bookmarkStart w:id="22" w:name="_Toc91625590"/>
      <w:r>
        <w:rPr>
          <w:rFonts w:ascii="Times New Roman" w:hAnsi="Times New Roman" w:eastAsia="方正楷体_GBK"/>
          <w:sz w:val="32"/>
          <w:szCs w:val="32"/>
        </w:rPr>
        <w:t>（四）“六大”聚集区</w:t>
      </w:r>
      <w:bookmarkEnd w:id="22"/>
    </w:p>
    <w:p>
      <w:pPr>
        <w:pStyle w:val="2"/>
        <w:ind w:firstLine="640"/>
        <w:textAlignment w:val="baseline"/>
        <w:rPr>
          <w:rFonts w:ascii="Times New Roman" w:hAnsi="Times New Roman" w:eastAsia="方正仿宋_GBK"/>
          <w:sz w:val="32"/>
          <w:szCs w:val="32"/>
        </w:rPr>
      </w:pPr>
      <w:r>
        <w:rPr>
          <w:rFonts w:ascii="Times New Roman" w:hAnsi="Times New Roman" w:eastAsia="方正楷体_GBK"/>
          <w:sz w:val="32"/>
          <w:szCs w:val="32"/>
        </w:rPr>
        <w:t>1.观音桥商圈，打造国际知名商圈。</w:t>
      </w:r>
      <w:r>
        <w:rPr>
          <w:rFonts w:ascii="Times New Roman" w:hAnsi="Times New Roman" w:eastAsia="方正仿宋_GBK"/>
          <w:sz w:val="32"/>
          <w:szCs w:val="32"/>
        </w:rPr>
        <w:t>围绕国际化、品质化、场景化、特色化全面提质观音桥商圈，大力发展时尚经济、体验经济、夜间经济等业态，对标国际国内知名商圈、商街，加快提升商圈景观风貌，完善商圈智能管理服务系统，打造引领潮流、日夜联动的国际知名商圈。</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2.江北嘴CBD，打造国际高端购物目的地。</w:t>
      </w:r>
      <w:r>
        <w:rPr>
          <w:rFonts w:ascii="Times New Roman" w:hAnsi="Times New Roman" w:eastAsia="方正仿宋_GBK"/>
          <w:sz w:val="32"/>
          <w:szCs w:val="32"/>
        </w:rPr>
        <w:t>提升江北嘴金融发展能级，优化布局综合商业体、高端酒店、特色商业街，以重庆国金中心为引领，加快集聚高端商贸资源，全面融入“长嘉汇”大景区建设，丰富精品都市文旅产品，打造产商融合的高端购物消费目的地。</w:t>
      </w:r>
    </w:p>
    <w:p>
      <w:pPr>
        <w:pStyle w:val="2"/>
        <w:ind w:firstLine="640"/>
        <w:textAlignment w:val="baseline"/>
        <w:rPr>
          <w:rFonts w:ascii="Times New Roman" w:hAnsi="Times New Roman" w:eastAsia="方正仿宋_GBK"/>
          <w:sz w:val="32"/>
          <w:szCs w:val="32"/>
        </w:rPr>
      </w:pPr>
      <w:r>
        <w:rPr>
          <w:rFonts w:ascii="Times New Roman" w:hAnsi="Times New Roman" w:eastAsia="方正楷体_GBK"/>
          <w:sz w:val="32"/>
          <w:szCs w:val="32"/>
        </w:rPr>
        <w:t>3.寸滩国际新城，打造国际消费新地标。</w:t>
      </w:r>
      <w:r>
        <w:rPr>
          <w:rFonts w:ascii="Times New Roman" w:hAnsi="Times New Roman" w:eastAsia="方正仿宋_GBK"/>
          <w:sz w:val="32"/>
          <w:szCs w:val="32"/>
        </w:rPr>
        <w:t>高质量、高标准建设邮轮母港片区、保税经济区以及双溪河—东风船厂功能联动区，重点发展游轮经济、保税经济等，充分展现贸易、旅游、国际交往等功能，打造重庆国际消费中心城市核心承载地、城市形态展示新高地和对外开放新窗口。</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4.果园港，打造多式联运国际物流枢纽。</w:t>
      </w:r>
      <w:r>
        <w:rPr>
          <w:rFonts w:ascii="Times New Roman" w:hAnsi="Times New Roman" w:eastAsia="方正仿宋_GBK"/>
          <w:bCs/>
          <w:sz w:val="32"/>
          <w:szCs w:val="32"/>
        </w:rPr>
        <w:t>积极构建大宗生产资料交易平台，促进钢材、有色金属等大宗商品交易，围绕国际物流、创新研发、现期货交易、检验检测等大力发展“保税+”产业，全面升级港口物流基础设施，加快智慧港口建设，打造铁公水多式联运综合交通枢纽。</w:t>
      </w:r>
    </w:p>
    <w:p>
      <w:pPr>
        <w:pStyle w:val="2"/>
        <w:ind w:firstLine="640"/>
        <w:textAlignment w:val="baseline"/>
        <w:rPr>
          <w:rFonts w:ascii="Times New Roman" w:hAnsi="Times New Roman" w:eastAsia="方正仿宋_GBK"/>
          <w:bCs/>
          <w:sz w:val="32"/>
          <w:szCs w:val="32"/>
        </w:rPr>
      </w:pPr>
      <w:r>
        <w:rPr>
          <w:rFonts w:ascii="Times New Roman" w:hAnsi="Times New Roman" w:eastAsia="方正楷体_GBK"/>
          <w:sz w:val="32"/>
          <w:szCs w:val="32"/>
        </w:rPr>
        <w:t>5.北滨路，打造国际“慢生活”经济带。</w:t>
      </w:r>
      <w:r>
        <w:rPr>
          <w:rFonts w:ascii="Times New Roman" w:hAnsi="Times New Roman" w:eastAsia="方正仿宋_GBK"/>
          <w:bCs/>
          <w:sz w:val="32"/>
          <w:szCs w:val="32"/>
        </w:rPr>
        <w:t>按照山水都市、消费引擎发展要求，打好北滨路景观牌和特色牌，依托洋炮局·1862文创园、相国寺码头、龙湖星悦荟等沿线优质资源，大力培育体验式、文化创意、休闲娱乐式产业业态，建成功能完善、环境优美、产业高端的滨江经济带。</w:t>
      </w:r>
    </w:p>
    <w:p>
      <w:pPr>
        <w:pStyle w:val="3"/>
        <w:ind w:left="0" w:firstLine="640" w:firstLineChars="200"/>
        <w:textAlignment w:val="baseline"/>
        <w:rPr>
          <w:rFonts w:ascii="Times New Roman" w:hAnsi="Times New Roman" w:eastAsia="方正仿宋_GBK"/>
          <w:sz w:val="32"/>
          <w:szCs w:val="32"/>
        </w:rPr>
      </w:pPr>
      <w:r>
        <w:rPr>
          <w:rFonts w:ascii="Times New Roman" w:hAnsi="Times New Roman" w:eastAsia="方正楷体_GBK"/>
          <w:bCs/>
          <w:sz w:val="32"/>
          <w:szCs w:val="32"/>
        </w:rPr>
        <w:t>6.</w:t>
      </w:r>
      <w:r>
        <w:rPr>
          <w:rFonts w:ascii="Times New Roman" w:hAnsi="Times New Roman" w:eastAsia="方正楷体_GBK"/>
          <w:sz w:val="32"/>
          <w:szCs w:val="32"/>
        </w:rPr>
        <w:t>五宝镇，打造国际时尚运动城。</w:t>
      </w:r>
      <w:r>
        <w:rPr>
          <w:rFonts w:ascii="Times New Roman" w:hAnsi="Times New Roman" w:eastAsia="方正仿宋_GBK"/>
          <w:sz w:val="32"/>
          <w:szCs w:val="32"/>
        </w:rPr>
        <w:t>实施“全民体育+全域旅游”发展战略，依托明月山、长江、御临河及五宝全域，高标准建设多功能运动场馆群和多个功能各异的体育公园，引进高端酒店，构建运动赛事集散地、运动训练理想地、运动潮流引领地、运动器材交易地、运动人员必来地，着力打造全域运动、全类运动、全民运动的都市后花园、时尚运动城。</w:t>
      </w:r>
    </w:p>
    <w:p>
      <w:pPr>
        <w:spacing w:line="360" w:lineRule="auto"/>
        <w:ind w:firstLine="640" w:firstLineChars="200"/>
        <w:textAlignment w:val="baseline"/>
        <w:outlineLvl w:val="1"/>
        <w:rPr>
          <w:rFonts w:ascii="Times New Roman" w:hAnsi="Times New Roman" w:eastAsia="方正楷体_GBK"/>
          <w:sz w:val="32"/>
          <w:szCs w:val="32"/>
        </w:rPr>
      </w:pPr>
      <w:bookmarkStart w:id="23" w:name="_Toc91625591"/>
      <w:r>
        <w:rPr>
          <w:rFonts w:ascii="Times New Roman" w:hAnsi="Times New Roman" w:eastAsia="方正楷体_GBK"/>
          <w:sz w:val="32"/>
          <w:szCs w:val="32"/>
        </w:rPr>
        <w:t>（五）“六项”行动</w:t>
      </w:r>
      <w:bookmarkEnd w:id="23"/>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十四五”期间，江北区通过国际消费载体提质行动、国际消费资源集聚行动、国际消费潮流引领行动、国际国内合作推广行动、国际消费服务提升行动、国际消费环境优化行动6大行动的实施，承载重庆市建设国际消费中心城市的核心功能。</w:t>
      </w:r>
    </w:p>
    <w:p>
      <w:pPr>
        <w:keepLines/>
        <w:spacing w:before="156" w:after="156" w:line="360" w:lineRule="auto"/>
        <w:ind w:firstLine="640" w:firstLineChars="200"/>
        <w:textAlignment w:val="baseline"/>
        <w:outlineLvl w:val="0"/>
        <w:rPr>
          <w:rFonts w:ascii="Times New Roman" w:hAnsi="Times New Roman" w:eastAsia="方正黑体_GBK"/>
          <w:kern w:val="44"/>
          <w:sz w:val="32"/>
          <w:szCs w:val="32"/>
        </w:rPr>
      </w:pPr>
      <w:bookmarkStart w:id="24" w:name="_Toc91625592"/>
      <w:r>
        <w:rPr>
          <w:rFonts w:ascii="Times New Roman" w:hAnsi="Times New Roman" w:eastAsia="方正黑体_GBK"/>
          <w:kern w:val="44"/>
          <w:sz w:val="32"/>
          <w:szCs w:val="32"/>
        </w:rPr>
        <w:t>四、行动计划</w:t>
      </w:r>
      <w:bookmarkEnd w:id="24"/>
    </w:p>
    <w:p>
      <w:pPr>
        <w:spacing w:line="360" w:lineRule="auto"/>
        <w:ind w:firstLine="640" w:firstLineChars="200"/>
        <w:textAlignment w:val="baseline"/>
        <w:outlineLvl w:val="1"/>
        <w:rPr>
          <w:rFonts w:ascii="Times New Roman" w:hAnsi="Times New Roman" w:eastAsia="方正楷体_GBK"/>
          <w:sz w:val="32"/>
          <w:szCs w:val="32"/>
        </w:rPr>
      </w:pPr>
      <w:bookmarkStart w:id="25" w:name="_Toc91625593"/>
      <w:r>
        <w:rPr>
          <w:rFonts w:ascii="Times New Roman" w:hAnsi="Times New Roman" w:eastAsia="方正楷体_GBK"/>
          <w:sz w:val="32"/>
          <w:szCs w:val="32"/>
        </w:rPr>
        <w:t>（一）国际消费载体提质行动</w:t>
      </w:r>
      <w:bookmarkEnd w:id="25"/>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1.提能打造观音桥国际知名商圈</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全面升级观音桥商圈核心区。</w:t>
      </w:r>
      <w:r>
        <w:rPr>
          <w:rFonts w:ascii="Times New Roman" w:hAnsi="Times New Roman" w:eastAsia="方正仿宋_GBK"/>
          <w:sz w:val="32"/>
          <w:szCs w:val="32"/>
        </w:rPr>
        <w:t xml:space="preserve">对标世界一流商圈，着力打造全品类、全业态、全时段的国际消费极核，将观音桥商圈建设成为汇集全球优品、彰显国际时尚、引领夜间经济的世界知名商圈。依托重庆时代中心、星光68等高端载体，大力发展“四首”经济，加快引进国际知名品牌、设计师品牌和高端定制品牌，打造国际高端品牌一站式消费地。依托新华协信中心、天和国际中心等，加快招引国际商贸商务总部，重点发展总部经济。依托北城天街、大融城、融恒·盈嘉中心等时尚购物中心，加快培育沉浸式、体验式、互动式新型消费，大力引进潮玩、文创、亲子互动等体验项目，形成酷玩娱乐新地标。鼓励茂业、新世纪、新世界等传统百货商场业态优化，丰富体验型消费，由传统销售场所向社交体验、家庭消费、时尚消费、文化消费中心等转变。加大朗晴广场、新壹街等载体招商力度，鼓励社会资本回购散售产权进行集中经营，提升商场招商效率和运营品质。推进商圈商业街区与大九街、金源地下不夜城融合互动，打造日夜联动的“全时商圈”。 </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精心规划观音桥商圈拓展区。</w:t>
      </w:r>
      <w:r>
        <w:rPr>
          <w:rFonts w:ascii="Times New Roman" w:hAnsi="Times New Roman" w:eastAsia="方正仿宋_GBK"/>
          <w:sz w:val="32"/>
          <w:szCs w:val="32"/>
        </w:rPr>
        <w:t>打造重庆繁荣繁华新地标，拓展商圈发展新空间，培育百亿规模商业综合体，再造一个观音桥商圈。向南依托叶水坊城市更新，融合至北滨路经济带，以老城记忆为基底，打造影视文旅、巴渝文创体验消费。向东依托原长安三厂片区转型升级，构建以汽车文化、高端零售、时尚潮流、健康生活等为主体的体验式商业。向西南依托小苑片区开发建设，布局电子竞技、数字内容制作等为主体的数字经济产业。向西北以电测村片区开发为依托，打造百亿级高端商业综合体，推动国际商贸、商务高地建设。向东北以洋河片区更新改造为抓手，构建以国际体育赛事、演艺文化等为代表的体育文化消费新地标。</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品质塑造全球顶级商圈新风貌。</w:t>
      </w:r>
      <w:r>
        <w:rPr>
          <w:rFonts w:ascii="Times New Roman" w:hAnsi="Times New Roman" w:eastAsia="方正仿宋_GBK"/>
          <w:sz w:val="32"/>
          <w:szCs w:val="32"/>
        </w:rPr>
        <w:t>按照“国际街区、光影商都”定位，对标国际国内知名商业街，高品质实施城市靓丽工程。对阳光城、茂业百货等老旧楼宇开展外立面更新，对商圈全域店招广告风格、标准进行规范化提升，更加彰显商圈现代感和都市感。升级改造商圈重要节点以及步行街沿线夜景灯饰，打造璀璨绚烂、时尚灵动的不夜之城。融合商圈公园绿化生态优势，打造一批具有国际水准的园艺景观，形成独具特色的生态商圈。对商圈老旧基础设施进行全面升级改造，打造国际化标识标牌体系。着力完善商圈交通组织和停车诱导设施，畅通商圈“一环八横五纵”路网体系，构建“空中-地面-地下”三位一体交通模式。加快数字商圈建设，搭建商圈大数据平台中心，打造智能观音桥。</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2.加快构建江北嘴国际高端购物目的地</w:t>
      </w:r>
    </w:p>
    <w:p>
      <w:pPr>
        <w:spacing w:line="360" w:lineRule="auto"/>
        <w:ind w:firstLine="640" w:firstLineChars="200"/>
        <w:textAlignment w:val="baseline"/>
        <w:rPr>
          <w:rFonts w:ascii="Times New Roman" w:hAnsi="Times New Roman"/>
          <w:sz w:val="32"/>
          <w:szCs w:val="32"/>
        </w:rPr>
      </w:pPr>
      <w:r>
        <w:rPr>
          <w:rFonts w:ascii="Times New Roman" w:hAnsi="Times New Roman" w:eastAsia="方正楷体_GBK"/>
          <w:sz w:val="32"/>
          <w:szCs w:val="32"/>
        </w:rPr>
        <w:t>提升江北嘴金融发展能级。</w:t>
      </w:r>
      <w:r>
        <w:rPr>
          <w:rFonts w:ascii="Times New Roman" w:hAnsi="Times New Roman" w:eastAsia="方正仿宋_GBK"/>
          <w:sz w:val="32"/>
          <w:szCs w:val="32"/>
        </w:rPr>
        <w:t>抢抓成渝地区双城经济圈共建西部金融中心的发展机遇，进一步提升江北嘴金融发展能级，将江北嘴CBD建设成为立足西部、面向东盟、辐射“一带一路”沿线国家的内陆国际金融中心。依托金融城、平安财富中心、华夏银行大厦、力帆中心等核心商务载体，持续集聚各类金融机构设立全国性总部和区域总部，积极引进央企、大型互联网企业设立金融法人机构。推动江北嘴金融业态结构优化升级，夯实银行、保险、证券等传统金融主体地位，促进小贷、担保、融资租赁、互联网金融等新型业态多元化发展，推动会计事务所、法律事务所等中介服务机构配合发展。依托国家金融科技标准化认证中心，开展金融科技认证及金融标准化服务，加快金融科技前沿布局。大力发展跨境金融服务，加快引进具有国际知名度和影响力的外资银行、外资保险、外资股权投资基金、国际金融中介组织等入驻江北嘴，提升跨境金融服务功能。</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完善江北嘴高端商业体系。</w:t>
      </w:r>
      <w:r>
        <w:rPr>
          <w:rFonts w:ascii="Times New Roman" w:hAnsi="Times New Roman" w:eastAsia="方正仿宋_GBK"/>
          <w:sz w:val="32"/>
          <w:szCs w:val="32"/>
        </w:rPr>
        <w:t>聚焦高质量、国际化、前沿化发展，将江北嘴打造成为高端商业、国际金融、历史人文、都市风貌融合发展的国际高端购物消费目的地。着力推进江北嘴国际金融中心（A-one）等高端载体建设，打造集办公、住宅、酒店、商业、观光、城市会客厅等功能于一体的高端商贸综合体。以重庆国金中心为引领，加快集聚高端商贸资源，鼓励引进国内外知名品牌首店、旗舰店和体验店。打造聚贤街、大剧院、三洞桥三大商业轴线，引导紫御天地、金融城多彩商业街等商业街区业态升级。充分利用江北嘴滨江岸线，积极开发滨江休闲、文化项目，打造集“滨江+文化+休闲+购物”于一体的黄金商旅乐购滨江带。</w:t>
      </w:r>
    </w:p>
    <w:p>
      <w:pPr>
        <w:spacing w:line="360" w:lineRule="auto"/>
        <w:ind w:firstLine="640" w:firstLineChars="200"/>
        <w:textAlignment w:val="baseline"/>
        <w:rPr>
          <w:rFonts w:ascii="Times New Roman" w:hAnsi="Times New Roman"/>
          <w:sz w:val="32"/>
          <w:szCs w:val="32"/>
        </w:rPr>
      </w:pPr>
      <w:r>
        <w:rPr>
          <w:rFonts w:ascii="Times New Roman" w:hAnsi="Times New Roman" w:eastAsia="方正楷体_GBK"/>
          <w:sz w:val="32"/>
          <w:szCs w:val="32"/>
        </w:rPr>
        <w:t>丰富精品都市文旅产品。</w:t>
      </w:r>
      <w:r>
        <w:rPr>
          <w:rFonts w:ascii="Times New Roman" w:hAnsi="Times New Roman" w:eastAsia="方正仿宋_GBK"/>
          <w:sz w:val="32"/>
          <w:szCs w:val="32"/>
        </w:rPr>
        <w:t>践行生态城市公园理念，加快生态水岸治理，发展都市文化旅游。依托重庆科技馆、龙美术馆（重庆馆）、重庆金融博物馆、测候亭、保定门等文化旅游资源，构建精品旅游线路，突出全时休闲旅游。利用重庆大剧院演艺场馆资源，做优戏剧、歌舞、曲艺、杂技等演出，壮大文化演艺产业。打造聚贤岩公园、天空之境观景平台、</w:t>
      </w:r>
      <w:r>
        <w:rPr>
          <w:rFonts w:hint="eastAsia" w:ascii="Times New Roman" w:hAnsi="Times New Roman" w:eastAsia="方正仿宋_GBK"/>
          <w:sz w:val="32"/>
          <w:szCs w:val="32"/>
        </w:rPr>
        <w:t>重庆</w:t>
      </w:r>
      <w:r>
        <w:rPr>
          <w:rFonts w:ascii="Times New Roman" w:hAnsi="Times New Roman" w:eastAsia="方正仿宋_GBK"/>
          <w:sz w:val="32"/>
          <w:szCs w:val="32"/>
        </w:rPr>
        <w:t>大剧院广场山城阳台，完善江北嘴旅游服务设施、集散设施、夜游项目，提高全域、全时旅游服务水平。实施江北嘴大台阶生态化改造，加快建设江北嘴滩涂湿地公园，修复江岸生态，提升滨江环境品质。</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3.精心建设寸滩国际新城</w:t>
      </w:r>
    </w:p>
    <w:p>
      <w:pPr>
        <w:pStyle w:val="2"/>
        <w:spacing w:line="360" w:lineRule="auto"/>
        <w:ind w:firstLine="640"/>
        <w:textAlignment w:val="baseline"/>
        <w:rPr>
          <w:rFonts w:ascii="Times New Roman" w:hAnsi="Times New Roman" w:eastAsia="方正仿宋_GBK"/>
          <w:sz w:val="32"/>
          <w:szCs w:val="32"/>
        </w:rPr>
      </w:pPr>
      <w:r>
        <w:rPr>
          <w:rFonts w:ascii="Times New Roman" w:hAnsi="Times New Roman" w:eastAsia="方正楷体_GBK"/>
          <w:sz w:val="32"/>
          <w:szCs w:val="32"/>
        </w:rPr>
        <w:t>高水平打造邮轮母港片区。</w:t>
      </w:r>
      <w:r>
        <w:rPr>
          <w:rFonts w:ascii="Times New Roman" w:hAnsi="Times New Roman" w:eastAsia="方正仿宋_GBK"/>
          <w:sz w:val="32"/>
          <w:szCs w:val="32"/>
        </w:rPr>
        <w:t>坚持世界眼光、国际标准、重庆特色，建设成为国际消费、国际商务、国际交往核心功能区。加快工业码头岸桥提升改造，以世界一流水准建设国际邮轮母港，丰富游船旅游体验，打造重庆“两江四岸”游金字招牌。开发临港度假小镇，布局游船管理服务中心、度假酒店、滨江风情商业区等配套设施，融入邮轮主题场景和元素，布置滨江娱乐设施，构建新一代“船、港、城、游、购、娱”一体化发展的邮轮旅游度假区。</w:t>
      </w:r>
    </w:p>
    <w:p>
      <w:pPr>
        <w:pStyle w:val="2"/>
        <w:spacing w:line="360" w:lineRule="auto"/>
        <w:ind w:firstLine="640"/>
        <w:textAlignment w:val="baseline"/>
        <w:rPr>
          <w:rFonts w:ascii="Times New Roman" w:hAnsi="Times New Roman" w:eastAsia="方正仿宋_GBK"/>
          <w:sz w:val="32"/>
          <w:szCs w:val="32"/>
        </w:rPr>
      </w:pPr>
      <w:r>
        <w:rPr>
          <w:rFonts w:ascii="Times New Roman" w:hAnsi="Times New Roman" w:eastAsia="方正楷体_GBK"/>
          <w:sz w:val="32"/>
          <w:szCs w:val="32"/>
        </w:rPr>
        <w:t>高质量发展保税经济区。</w:t>
      </w:r>
      <w:r>
        <w:rPr>
          <w:rFonts w:ascii="Times New Roman" w:hAnsi="Times New Roman" w:eastAsia="方正仿宋_GBK"/>
          <w:sz w:val="32"/>
          <w:szCs w:val="32"/>
        </w:rPr>
        <w:t>聚焦“买全球卖全球”商业贸易功能和资源集聚功能，建设“一带一路”国际贸易、国际消费集聚的配套功能区。以“保税经济”为特色，全面推进产业结构优化和功能升级，重点依托丝路花街、“一带一路”商务中心和商品展示交易中心等载体，加快培育进口商品零售、“一带一路”商品展示交易、O2O 电商线下体验零售等消费业态。加快发展“一带一路”特色明显的国际总部商务、国际服务贸易，提升国内外各类名优商品供给和集散能力，强化片区国际交往功能。</w:t>
      </w:r>
    </w:p>
    <w:p>
      <w:pPr>
        <w:pStyle w:val="2"/>
        <w:spacing w:line="360" w:lineRule="auto"/>
        <w:ind w:firstLine="640"/>
        <w:textAlignment w:val="baseline"/>
        <w:rPr>
          <w:rFonts w:ascii="Times New Roman" w:hAnsi="Times New Roman" w:eastAsia="方正仿宋_GBK"/>
          <w:sz w:val="32"/>
          <w:szCs w:val="32"/>
        </w:rPr>
      </w:pPr>
      <w:r>
        <w:rPr>
          <w:rFonts w:ascii="Times New Roman" w:hAnsi="Times New Roman" w:eastAsia="方正楷体_GBK"/>
          <w:sz w:val="32"/>
          <w:szCs w:val="32"/>
        </w:rPr>
        <w:t>高标准建设双溪河—东风船厂功能联动区。</w:t>
      </w:r>
      <w:r>
        <w:rPr>
          <w:rFonts w:ascii="Times New Roman" w:hAnsi="Times New Roman" w:eastAsia="方正仿宋_GBK"/>
          <w:sz w:val="32"/>
          <w:szCs w:val="32"/>
        </w:rPr>
        <w:t>突出江岸生态空间和岸线资源优势，加快推进基础设施建设，推动片区产业链向高附加值延伸，建设创新科技引领的智慧港区和产城融合的生态示范区。推动片区产业迭代升级及战略转型，重点发展战略性新兴产业、现代服务业，引进培育新一代汽车研发设计、智慧家居研发、生物医药研发等企业。优化提升滨水业态，发展特色主题酒店，积极培育大健康产业，引进国际知名康养机构，打造国际化健康产业社区。</w:t>
      </w:r>
    </w:p>
    <w:p>
      <w:pPr>
        <w:spacing w:line="360" w:lineRule="auto"/>
        <w:ind w:firstLine="643" w:firstLineChars="200"/>
        <w:textAlignment w:val="baseline"/>
        <w:outlineLvl w:val="2"/>
        <w:rPr>
          <w:rFonts w:ascii="Times New Roman" w:hAnsi="Times New Roman"/>
          <w:b/>
          <w:sz w:val="32"/>
          <w:szCs w:val="32"/>
        </w:rPr>
      </w:pPr>
      <w:r>
        <w:rPr>
          <w:rFonts w:ascii="Times New Roman" w:hAnsi="Times New Roman" w:eastAsia="方正楷体_GBK"/>
          <w:b/>
          <w:sz w:val="32"/>
          <w:szCs w:val="32"/>
        </w:rPr>
        <w:t>4.着力发展果园港多式联运国际物流枢纽</w:t>
      </w:r>
    </w:p>
    <w:p>
      <w:pPr>
        <w:pStyle w:val="2"/>
        <w:spacing w:line="360" w:lineRule="auto"/>
        <w:ind w:firstLine="640"/>
        <w:textAlignment w:val="baseline"/>
        <w:rPr>
          <w:rFonts w:ascii="Times New Roman" w:hAnsi="Times New Roman" w:eastAsia="方正仿宋_GBK"/>
          <w:sz w:val="32"/>
          <w:szCs w:val="32"/>
        </w:rPr>
      </w:pPr>
      <w:r>
        <w:rPr>
          <w:rFonts w:ascii="Times New Roman" w:hAnsi="Times New Roman" w:eastAsia="方正楷体_GBK"/>
          <w:sz w:val="32"/>
          <w:szCs w:val="32"/>
        </w:rPr>
        <w:t>建设大宗商品交易平台。</w:t>
      </w:r>
      <w:r>
        <w:rPr>
          <w:rFonts w:ascii="Times New Roman" w:hAnsi="Times New Roman" w:eastAsia="方正仿宋_GBK"/>
          <w:sz w:val="32"/>
          <w:szCs w:val="32"/>
        </w:rPr>
        <w:t>按照“一园五区”推进园区建设，加快完善“通道带物流、物流带经贸、经贸带产业”发展路径。依托重庆国家中心城市地位和果园港内陆国际物流枢纽优势，构建大宗生产资料交易平台，实现钢材、有色金属、煤炭、塑胶颗粒、铁矿石等大宗商品交易。完善交易、结算、货物电子监管等功能，建设重庆大宗生产资料国际化资源配置和价格指数中心。促进大宗商品交易产业聚集，培育、引进商品数字智能贸易平台、知名大宗商品贸易龙头企业。建设跨境电商综合服务区，推进跨境电商与跨境物流融合发展。</w:t>
      </w:r>
    </w:p>
    <w:p>
      <w:pPr>
        <w:pStyle w:val="2"/>
        <w:spacing w:line="360" w:lineRule="auto"/>
        <w:ind w:firstLine="640"/>
        <w:textAlignment w:val="baseline"/>
        <w:rPr>
          <w:rFonts w:ascii="Times New Roman" w:hAnsi="Times New Roman" w:eastAsia="方正仿宋_GBK"/>
          <w:sz w:val="32"/>
          <w:szCs w:val="32"/>
        </w:rPr>
      </w:pPr>
      <w:r>
        <w:rPr>
          <w:rFonts w:ascii="Times New Roman" w:hAnsi="Times New Roman" w:eastAsia="方正楷体_GBK"/>
          <w:sz w:val="32"/>
          <w:szCs w:val="32"/>
        </w:rPr>
        <w:t>做实做优“保税+”产业。</w:t>
      </w:r>
      <w:r>
        <w:rPr>
          <w:rFonts w:ascii="Times New Roman" w:hAnsi="Times New Roman" w:eastAsia="方正仿宋_GBK"/>
          <w:sz w:val="32"/>
          <w:szCs w:val="32"/>
        </w:rPr>
        <w:t>打造“保税+国际物流分拨”中心，构建以国际生鲜冷链、医疗供应链为特色的国际商品流通、国际大宗商品交易分拨体系，深化供应链金融、保税仓储等服务，完善水果、肉类等“指定监管场地+集散中心”模式。设立汽车、电子信息、生物医药等专业性研发平台，促进“保税+创新研发”发展。以大宗生产资料交易平台为依托，发展“保税+现期货交易”经济，设立保税交割监管仓，开展保税现货交易、期货保税交易业务。搭建面向“一带一路”的国际检测维修服务平台，开展高技术、高附加值、符合环保要求的保税检测和全球维修业务。</w:t>
      </w:r>
    </w:p>
    <w:p>
      <w:pPr>
        <w:pStyle w:val="2"/>
        <w:spacing w:line="360" w:lineRule="auto"/>
        <w:ind w:firstLine="640"/>
        <w:textAlignment w:val="baseline"/>
        <w:rPr>
          <w:rFonts w:ascii="Times New Roman" w:hAnsi="Times New Roman" w:eastAsia="方正仿宋_GBK"/>
          <w:sz w:val="32"/>
          <w:szCs w:val="32"/>
        </w:rPr>
      </w:pPr>
      <w:r>
        <w:rPr>
          <w:rFonts w:ascii="Times New Roman" w:hAnsi="Times New Roman" w:eastAsia="方正楷体_GBK"/>
          <w:sz w:val="32"/>
          <w:szCs w:val="32"/>
        </w:rPr>
        <w:t>升级港口物流基础设施。</w:t>
      </w:r>
      <w:r>
        <w:rPr>
          <w:rFonts w:ascii="Times New Roman" w:hAnsi="Times New Roman" w:eastAsia="方正仿宋_GBK"/>
          <w:sz w:val="32"/>
          <w:szCs w:val="32"/>
        </w:rPr>
        <w:t>全面完善港口集疏运体系，加快实施智慧港口示范工程，打造覆盖西南、辐射全国、面向国际的智慧物流枢纽。推进铁水、铁公联运通道以及集聚分拨平台等基础设施建设，建设国家级铁公水多式联运综合交通枢纽。依托大数据、区块链和人工智能等技术，加快完善港口智慧物流、智慧口岸、智慧通关、智慧政务、智慧招商、智慧生活等功能模块，构建先进智慧体系，支持场桥无人化远程操控改造，打造全市多式联运信息运营平台，实现港口运作智能化、港航管理智慧化、通关模式高效化。</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5.融合提升北滨路国际“慢生活”经济带</w:t>
      </w:r>
    </w:p>
    <w:p>
      <w:pPr>
        <w:pStyle w:val="2"/>
        <w:spacing w:line="360" w:lineRule="auto"/>
        <w:ind w:firstLine="640"/>
        <w:textAlignment w:val="baseline"/>
        <w:rPr>
          <w:rFonts w:ascii="Times New Roman" w:hAnsi="Times New Roman"/>
          <w:sz w:val="32"/>
          <w:szCs w:val="32"/>
        </w:rPr>
      </w:pPr>
      <w:r>
        <w:rPr>
          <w:rFonts w:ascii="Times New Roman" w:hAnsi="Times New Roman" w:eastAsia="方正楷体_GBK"/>
          <w:sz w:val="32"/>
          <w:szCs w:val="32"/>
        </w:rPr>
        <w:t>构筑高品质滨江商业业态。</w:t>
      </w:r>
      <w:r>
        <w:rPr>
          <w:rFonts w:ascii="Times New Roman" w:hAnsi="Times New Roman" w:eastAsia="方正仿宋_GBK"/>
          <w:sz w:val="32"/>
          <w:szCs w:val="32"/>
        </w:rPr>
        <w:t>积极承接“长嘉汇”大景区建设辐射效应，联手观音桥商圈、江北嘴以及南滨路、长滨路协同打造，发展以观光旅游、休闲娱乐、住宿餐饮为主的“江岸经济”，将北滨路建设成为集吃、喝、玩、住、娱、购于一体的“慢生活”休闲体验生态经济带。依托龙湖星悦荟等，布局中高端商贸、科技创新、旅游休闲、餐饮娱乐等业态，引入远程驾驶、AR试妆、网联无人机等5G商业应用场景，加快区域内餐饮及娱乐供给推陈出新。加快建设“莺花三弄”、洋炮局·1862文创园等项目，提档升级相国寺码头、渔人湾码头等，培育一批有影响力的文旅设施。发挥珠江豪生酒店、花筑酒店等沿线大型商业酒店集聚效应，大力引进特色酒店。</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楷体_GBK"/>
          <w:sz w:val="32"/>
          <w:szCs w:val="32"/>
        </w:rPr>
        <w:t>塑造“两江四岸”山水都市风貌。</w:t>
      </w:r>
      <w:r>
        <w:rPr>
          <w:rFonts w:ascii="Times New Roman" w:hAnsi="Times New Roman" w:eastAsia="方正仿宋_GBK"/>
          <w:sz w:val="32"/>
          <w:szCs w:val="32"/>
        </w:rPr>
        <w:t>系统升级滨江沿线载体景观，体现山水都市“高低错落有致、山水辉映相照、日夜流光溢彩”特征。根据滨江不同区段特色，规划不同类型和尺度的活动空间场所，引入多元滨水活动。打通沿江步道与周边住宅的步行微循环系统，构建符合滨江商务人群集聚、休闲人群集散、活力人群高效流动诉求的滨江交通通道网络体系。因水制宜推进湿地公园、观水廊道、空中观江塔、亲水栈道、绿地广场、亲水码头等近水公共空间平台建设。</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6.生态打造五宝国际时尚运动城</w:t>
      </w:r>
    </w:p>
    <w:p>
      <w:pPr>
        <w:spacing w:line="360" w:lineRule="auto"/>
        <w:ind w:firstLine="640" w:firstLineChars="200"/>
        <w:textAlignment w:val="baseline"/>
        <w:rPr>
          <w:rFonts w:ascii="Times New Roman" w:hAnsi="Times New Roman" w:eastAsia="方正仿宋_GBK"/>
          <w:sz w:val="32"/>
          <w:szCs w:val="32"/>
          <w:u w:val="single"/>
        </w:rPr>
      </w:pPr>
      <w:r>
        <w:rPr>
          <w:rFonts w:ascii="Times New Roman" w:hAnsi="Times New Roman" w:eastAsia="方正楷体_GBK"/>
          <w:sz w:val="32"/>
          <w:szCs w:val="32"/>
        </w:rPr>
        <w:t>开发高端生态体育产业。</w:t>
      </w:r>
      <w:r>
        <w:rPr>
          <w:rFonts w:ascii="Times New Roman" w:hAnsi="Times New Roman" w:eastAsia="方正仿宋_GBK"/>
          <w:sz w:val="32"/>
          <w:szCs w:val="32"/>
        </w:rPr>
        <w:t>按照产业振兴要求，大力发展更加新颖、更加特色、更加享受的“体育+旅游”产品。支持现有自行车骑行赛、滨江彩妆跑、乡村篝火晚会等大众娱乐运动项目向运动多元化发展，注入文化内涵、推出体验项目。加快发展马术（马球）、赛车、电竞、击剑等国际高端体育项目，吸引国内外高端客源，打造国际高端体育运动聚集地。支持明月山发展户外健身，完善小微体育广场、健身步道、公共文体场所、全域观景平台等设施，支持明月湖景区整体开发，推出御临河水上项目。以马万路为中轴，在规划区内高标准建设多功能运动场馆群，大力引进体育产业总部经济，打造一批风格各异的体育运动公园，引进湖上体育、环湖骑行、环湖慢跑等项目。全面提升五宝体育赛事影响力，积极承接国际马拉松、国际马术FEI世界骑手十强赛、FIA F4锦标赛、英雄联盟总决赛等具有强大磁场效应的精品体育赛事。</w:t>
      </w:r>
    </w:p>
    <w:p>
      <w:pPr>
        <w:pStyle w:val="2"/>
        <w:ind w:firstLine="640"/>
        <w:textAlignment w:val="baseline"/>
        <w:rPr>
          <w:rFonts w:ascii="Times New Roman" w:hAnsi="Times New Roman" w:eastAsia="方正仿宋_GBK"/>
          <w:sz w:val="32"/>
          <w:szCs w:val="32"/>
        </w:rPr>
      </w:pPr>
      <w:r>
        <w:rPr>
          <w:rFonts w:ascii="Times New Roman" w:hAnsi="Times New Roman" w:eastAsia="方正楷体_GBK"/>
          <w:sz w:val="32"/>
          <w:szCs w:val="32"/>
        </w:rPr>
        <w:t>完善基础配套服务设施。</w:t>
      </w:r>
      <w:r>
        <w:rPr>
          <w:rFonts w:ascii="Times New Roman" w:hAnsi="Times New Roman" w:eastAsia="方正仿宋_GBK"/>
          <w:sz w:val="32"/>
          <w:szCs w:val="32"/>
        </w:rPr>
        <w:t>提升交通服务水平，实施公路改扩宽工程，打通断头路，增加停车位和充电服务设施。加快智能化电力、通信网络和5G项目建设，实现重点区域重要节点全覆盖。加强金融网点、现代物流服务网点、综合服务网点、医疗机构、教育机构等布局建设，优化公交线路和班次，提高公共服务水平。建设高品质景观形象，改造农房风貌，打造标志性地标建筑。完善商业业态，提升消费层次，围绕民俗文创、餐饮美食、娱乐休闲、研学培训等，培育一批品质商业街区，加快引进星级酒店、精品民宿等。升级休闲旅游基础设施，提高旅游服务水平，积极发展智慧旅游，完善智慧交通、智能停车、景区标识、产品推介、网上结算等功能。</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7.提档升级特色名街名镇名区</w:t>
      </w:r>
    </w:p>
    <w:p>
      <w:pPr>
        <w:spacing w:line="360" w:lineRule="auto"/>
        <w:ind w:firstLine="640" w:firstLineChars="200"/>
        <w:textAlignment w:val="baseline"/>
        <w:rPr>
          <w:rFonts w:ascii="Times New Roman" w:hAnsi="Times New Roman"/>
          <w:sz w:val="32"/>
          <w:szCs w:val="32"/>
        </w:rPr>
      </w:pPr>
      <w:r>
        <w:rPr>
          <w:rFonts w:ascii="Times New Roman" w:hAnsi="Times New Roman" w:eastAsia="方正仿宋_GBK"/>
          <w:sz w:val="32"/>
          <w:szCs w:val="32"/>
        </w:rPr>
        <w:t>以石子山、玉带新城、大石坝等消费升级为依托，与观音桥地区融合互动，培育新消费场景和设施，大力发展智慧产业、体验购物、文化创意等。依托铁山坪、郭家沱片区的森林、文化资源，促进文化、康体休闲、生态旅游等融合发展，打造国际休闲康养圣地。强化复盛铁路TOD引领作用，推进鱼复片区商业发展，形成购物、酒店、休闲、娱乐、文化、餐饮一体化区域购物中心。推动唐家沱老街、寸滩老街、塔坪记忆老街等深挖历史人文资源，升级发展文旅精品项目。</w:t>
      </w:r>
    </w:p>
    <w:tbl>
      <w:tblPr>
        <w:tblStyle w:val="22"/>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Borders>
              <w:top w:val="single" w:color="auto" w:sz="4" w:space="0"/>
              <w:left w:val="single" w:color="auto" w:sz="4" w:space="0"/>
              <w:bottom w:val="single" w:color="auto" w:sz="4" w:space="0"/>
              <w:right w:val="single" w:color="auto" w:sz="4" w:space="0"/>
              <w:tl2br w:val="nil"/>
              <w:tr2bl w:val="nil"/>
            </w:tcBorders>
          </w:tcPr>
          <w:p>
            <w:pPr>
              <w:widowControl/>
              <w:snapToGrid w:val="0"/>
              <w:jc w:val="center"/>
              <w:textAlignment w:val="baseline"/>
              <w:rPr>
                <w:rFonts w:ascii="Times New Roman" w:hAnsi="Times New Roman"/>
                <w:sz w:val="24"/>
              </w:rPr>
            </w:pPr>
            <w:r>
              <w:rPr>
                <w:rFonts w:ascii="Times New Roman" w:hAnsi="Times New Roman"/>
                <w:b/>
                <w:bCs/>
                <w:kern w:val="0"/>
                <w:sz w:val="24"/>
              </w:rPr>
              <w:t>专栏1 江北区“十四五”国际消费载体建设重点工程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l2br w:val="nil"/>
              <w:tr2bl w:val="nil"/>
            </w:tcBorders>
          </w:tcPr>
          <w:p>
            <w:pPr>
              <w:snapToGrid w:val="0"/>
              <w:spacing w:line="320" w:lineRule="exact"/>
              <w:ind w:firstLine="482" w:firstLineChars="200"/>
              <w:textAlignment w:val="baseline"/>
              <w:rPr>
                <w:rFonts w:ascii="Times New Roman" w:hAnsi="Times New Roman"/>
                <w:b/>
                <w:sz w:val="24"/>
              </w:rPr>
            </w:pPr>
            <w:r>
              <w:rPr>
                <w:rFonts w:ascii="Times New Roman" w:hAnsi="Times New Roman"/>
                <w:b/>
                <w:sz w:val="24"/>
              </w:rPr>
              <w:t>1.观音桥国际知名商圈</w:t>
            </w:r>
          </w:p>
          <w:p>
            <w:pPr>
              <w:snapToGrid w:val="0"/>
              <w:spacing w:line="320" w:lineRule="exact"/>
              <w:ind w:firstLine="480" w:firstLineChars="200"/>
              <w:textAlignment w:val="baseline"/>
              <w:rPr>
                <w:rFonts w:ascii="Times New Roman" w:hAnsi="Times New Roman"/>
                <w:sz w:val="24"/>
              </w:rPr>
            </w:pPr>
            <w:r>
              <w:rPr>
                <w:rFonts w:ascii="Times New Roman" w:hAnsi="Times New Roman"/>
                <w:sz w:val="24"/>
              </w:rPr>
              <w:t>完成新华协信中心、长安三厂、重庆时代中心、电测村项目、香港置地商业项目等重点载体建设，完成大九街升级改造、龙湖北城天街提档升级等工程建设，完成观音桥智慧交通、智慧城管等智慧设施建设。加快推进九街万汇中心观景平台、九街高屋47楼、欧街九二等地标性高楼天台消费场所的建设提升，丰富天台消费业态。</w:t>
            </w:r>
          </w:p>
          <w:p>
            <w:pPr>
              <w:snapToGrid w:val="0"/>
              <w:spacing w:line="320" w:lineRule="exact"/>
              <w:ind w:firstLine="482" w:firstLineChars="200"/>
              <w:textAlignment w:val="baseline"/>
              <w:rPr>
                <w:rFonts w:ascii="Times New Roman" w:hAnsi="Times New Roman"/>
                <w:b/>
                <w:sz w:val="24"/>
              </w:rPr>
            </w:pPr>
            <w:r>
              <w:rPr>
                <w:rFonts w:ascii="Times New Roman" w:hAnsi="Times New Roman"/>
                <w:b/>
                <w:sz w:val="24"/>
              </w:rPr>
              <w:t>2.江北嘴国际高端购物目的地</w:t>
            </w:r>
          </w:p>
          <w:p>
            <w:pPr>
              <w:snapToGrid w:val="0"/>
              <w:spacing w:line="320" w:lineRule="exact"/>
              <w:ind w:firstLine="480" w:firstLineChars="200"/>
              <w:textAlignment w:val="baseline"/>
              <w:rPr>
                <w:rFonts w:ascii="Times New Roman" w:hAnsi="Times New Roman"/>
                <w:sz w:val="24"/>
              </w:rPr>
            </w:pPr>
            <w:r>
              <w:rPr>
                <w:rFonts w:ascii="Times New Roman" w:hAnsi="Times New Roman"/>
                <w:sz w:val="24"/>
              </w:rPr>
              <w:t>完成江北嘴国际金融中心（A-one）、世贸城市之门等重点载体建设，完成江滩公园、中央公园提升工程建设，配套完善江北嘴片区道路提档升级、大剧院—江北城大街山城步道提升工程、三洞桥风情街—江北城西大街山城步道工程等重要基础设施建设。依托江北嘴国际金融中心（A-one）、尼依格罗62楼打造滨江观景台。</w:t>
            </w:r>
          </w:p>
          <w:p>
            <w:pPr>
              <w:snapToGrid w:val="0"/>
              <w:spacing w:line="320" w:lineRule="exact"/>
              <w:ind w:firstLine="482" w:firstLineChars="200"/>
              <w:textAlignment w:val="baseline"/>
              <w:rPr>
                <w:rFonts w:ascii="Times New Roman" w:hAnsi="Times New Roman"/>
                <w:b/>
                <w:sz w:val="24"/>
              </w:rPr>
            </w:pPr>
            <w:r>
              <w:rPr>
                <w:rFonts w:ascii="Times New Roman" w:hAnsi="Times New Roman"/>
                <w:b/>
                <w:sz w:val="24"/>
              </w:rPr>
              <w:t>3.寸滩国际新城</w:t>
            </w:r>
          </w:p>
          <w:p>
            <w:pPr>
              <w:snapToGrid w:val="0"/>
              <w:spacing w:line="320" w:lineRule="exact"/>
              <w:ind w:firstLine="480" w:firstLineChars="200"/>
              <w:textAlignment w:val="baseline"/>
              <w:rPr>
                <w:rFonts w:ascii="Times New Roman" w:hAnsi="Times New Roman"/>
                <w:bCs/>
                <w:sz w:val="24"/>
              </w:rPr>
            </w:pPr>
            <w:r>
              <w:rPr>
                <w:rFonts w:ascii="Times New Roman" w:hAnsi="Times New Roman"/>
                <w:sz w:val="24"/>
              </w:rPr>
              <w:t>重点完成寸滩邮轮旅游度假区和国际风情街建设，打造一个集邮轮旅游、文化休闲、保税服务贸易以及商务办公等为一体的综合体。</w:t>
            </w:r>
          </w:p>
          <w:p>
            <w:pPr>
              <w:snapToGrid w:val="0"/>
              <w:spacing w:line="320" w:lineRule="exact"/>
              <w:ind w:firstLine="482" w:firstLineChars="200"/>
              <w:textAlignment w:val="baseline"/>
              <w:rPr>
                <w:rFonts w:ascii="Times New Roman" w:hAnsi="Times New Roman"/>
                <w:b/>
                <w:bCs/>
                <w:sz w:val="24"/>
              </w:rPr>
            </w:pPr>
            <w:r>
              <w:rPr>
                <w:rFonts w:ascii="Times New Roman" w:hAnsi="Times New Roman"/>
                <w:b/>
                <w:bCs/>
                <w:sz w:val="24"/>
              </w:rPr>
              <w:t>4.果园港多式联运国际物流枢纽</w:t>
            </w:r>
          </w:p>
          <w:p>
            <w:pPr>
              <w:snapToGrid w:val="0"/>
              <w:spacing w:line="320" w:lineRule="exact"/>
              <w:ind w:firstLine="480" w:firstLineChars="200"/>
              <w:textAlignment w:val="baseline"/>
              <w:rPr>
                <w:rFonts w:ascii="Times New Roman" w:hAnsi="Times New Roman"/>
                <w:bCs/>
                <w:sz w:val="24"/>
              </w:rPr>
            </w:pPr>
            <w:r>
              <w:rPr>
                <w:rFonts w:ascii="Times New Roman" w:hAnsi="Times New Roman"/>
                <w:bCs/>
                <w:sz w:val="24"/>
              </w:rPr>
              <w:t>推进果园港大宗生产资料交易平台项目、果园港保税仓库建设项目、果园港物流枢纽经济总部基地二期等重点工程项目建设。</w:t>
            </w:r>
          </w:p>
          <w:p>
            <w:pPr>
              <w:snapToGrid w:val="0"/>
              <w:spacing w:line="320" w:lineRule="exact"/>
              <w:ind w:firstLine="482" w:firstLineChars="200"/>
              <w:textAlignment w:val="baseline"/>
              <w:rPr>
                <w:rFonts w:ascii="Times New Roman" w:hAnsi="Times New Roman"/>
                <w:b/>
                <w:bCs/>
                <w:sz w:val="24"/>
              </w:rPr>
            </w:pPr>
            <w:r>
              <w:rPr>
                <w:rFonts w:ascii="Times New Roman" w:hAnsi="Times New Roman"/>
                <w:b/>
                <w:bCs/>
                <w:sz w:val="24"/>
              </w:rPr>
              <w:t>5.北滨路国际“慢生活”经济带</w:t>
            </w:r>
          </w:p>
          <w:p>
            <w:pPr>
              <w:snapToGrid w:val="0"/>
              <w:spacing w:line="320" w:lineRule="exact"/>
              <w:ind w:firstLine="480" w:firstLineChars="200"/>
              <w:textAlignment w:val="baseline"/>
              <w:rPr>
                <w:rFonts w:ascii="Times New Roman" w:hAnsi="Times New Roman"/>
                <w:sz w:val="24"/>
              </w:rPr>
            </w:pPr>
            <w:r>
              <w:rPr>
                <w:rFonts w:ascii="Times New Roman" w:hAnsi="Times New Roman"/>
                <w:sz w:val="24"/>
              </w:rPr>
              <w:t>完成洋炮局·1862文创园、渔人湾码头、盘溪河滨江段“两江四岸”治理提升工程、相国寺码头滨江段“两江四岸”治理提升工程、北滨路洋炮局段“两江四岸”治理提升贯通工程、北滨路长安码头段“两江四岸”治理提升贯通工程等重点工程建设。</w:t>
            </w:r>
          </w:p>
          <w:p>
            <w:pPr>
              <w:pStyle w:val="2"/>
              <w:snapToGrid w:val="0"/>
              <w:spacing w:line="320" w:lineRule="exact"/>
              <w:ind w:firstLine="482"/>
              <w:textAlignment w:val="baseline"/>
              <w:rPr>
                <w:rFonts w:ascii="Times New Roman" w:hAnsi="Times New Roman"/>
                <w:b/>
                <w:bCs/>
                <w:sz w:val="24"/>
              </w:rPr>
            </w:pPr>
            <w:r>
              <w:rPr>
                <w:rFonts w:ascii="Times New Roman" w:hAnsi="Times New Roman"/>
                <w:b/>
                <w:bCs/>
                <w:sz w:val="24"/>
              </w:rPr>
              <w:t>6.五宝国际时尚运动城</w:t>
            </w:r>
          </w:p>
          <w:p>
            <w:pPr>
              <w:snapToGrid w:val="0"/>
              <w:spacing w:line="320" w:lineRule="exact"/>
              <w:ind w:firstLine="480" w:firstLineChars="200"/>
              <w:textAlignment w:val="baseline"/>
              <w:rPr>
                <w:rFonts w:ascii="Times New Roman" w:hAnsi="Times New Roman"/>
                <w:sz w:val="24"/>
              </w:rPr>
            </w:pPr>
            <w:r>
              <w:rPr>
                <w:rFonts w:ascii="Times New Roman" w:hAnsi="Times New Roman"/>
                <w:sz w:val="24"/>
              </w:rPr>
              <w:t>发展马术（马球）、赛车、电竞等高端体育项目，打造国际性体育赛事场馆，推进体育综合体、社区体育设施建设。加强与国际体育组织和国家体育主管部门的联系合作，积极申办国际国内高水平综合运动会和单项顶级赛事。升级本土体育赛事，鼓励社会力量投资组建体育赛事公司，创建自主品牌赛事。推动国家级运动项目训练基地落户五宝，吸引国内外高水平运动队来江北训练、竞赛和表演。引导体育用品企业规模化、品牌化发展，构建运动器材产业集群。</w:t>
            </w:r>
          </w:p>
          <w:p>
            <w:pPr>
              <w:snapToGrid w:val="0"/>
              <w:spacing w:line="320" w:lineRule="exact"/>
              <w:ind w:firstLine="482" w:firstLineChars="200"/>
              <w:textAlignment w:val="baseline"/>
              <w:rPr>
                <w:rFonts w:ascii="Times New Roman" w:hAnsi="Times New Roman"/>
                <w:b/>
                <w:bCs/>
                <w:sz w:val="24"/>
              </w:rPr>
            </w:pPr>
            <w:r>
              <w:rPr>
                <w:rFonts w:ascii="Times New Roman" w:hAnsi="Times New Roman"/>
                <w:b/>
                <w:bCs/>
                <w:sz w:val="24"/>
              </w:rPr>
              <w:t>7.国际消费特色名街名镇名区</w:t>
            </w:r>
          </w:p>
          <w:p>
            <w:pPr>
              <w:snapToGrid w:val="0"/>
              <w:spacing w:line="320" w:lineRule="exact"/>
              <w:ind w:firstLine="480" w:firstLineChars="200"/>
              <w:textAlignment w:val="baseline"/>
              <w:rPr>
                <w:rFonts w:ascii="Times New Roman" w:hAnsi="Times New Roman"/>
                <w:bCs/>
                <w:sz w:val="24"/>
              </w:rPr>
            </w:pPr>
            <w:r>
              <w:rPr>
                <w:rFonts w:ascii="Times New Roman" w:hAnsi="Times New Roman"/>
                <w:bCs/>
                <w:sz w:val="24"/>
              </w:rPr>
              <w:t>两石特色商贸文旅消费片区重点推动玉带特色商城项目建设，挖掘片区内徐悲鸿旧居、蜀都中学旧址等文化艺术资源，打造盘溪文化艺术珍珠链；提升龙湖源著天街、东原</w:t>
            </w:r>
            <w:r>
              <w:rPr>
                <w:rFonts w:hint="eastAsia" w:ascii="Times New Roman" w:hAnsi="Times New Roman"/>
                <w:bCs/>
                <w:sz w:val="24"/>
              </w:rPr>
              <w:t>悦荟新新Park</w:t>
            </w:r>
            <w:r>
              <w:rPr>
                <w:rFonts w:ascii="Times New Roman" w:hAnsi="Times New Roman"/>
                <w:bCs/>
                <w:sz w:val="24"/>
              </w:rPr>
              <w:t>等高端商贸综合体人气。铁山坪以升级“铁山十景”为抓手，充分挖掘历史文化元素，集聚发展文旅康养业态，依托中冶国际会议中心、美利亚酒店和风情商业街等设施，引入高品质企业品牌、美食体验及生活配套业态，促进消费升级。郭家沱片区以打造望江主题小镇为目标，形成绿色生活、智能生活、文化生活的样板。鱼复片区积极发展工业旅游，支持建设工业旅游示范园、创意产业园、企业文化一条街和DIY体验园等融合项目，开发工业参观新型旅游路线。</w:t>
            </w:r>
          </w:p>
          <w:p>
            <w:pPr>
              <w:snapToGrid w:val="0"/>
              <w:spacing w:line="320" w:lineRule="exact"/>
              <w:ind w:firstLine="482" w:firstLineChars="200"/>
              <w:textAlignment w:val="baseline"/>
              <w:rPr>
                <w:rFonts w:ascii="Times New Roman" w:hAnsi="Times New Roman"/>
                <w:b/>
                <w:sz w:val="24"/>
              </w:rPr>
            </w:pPr>
            <w:r>
              <w:rPr>
                <w:rFonts w:ascii="Times New Roman" w:hAnsi="Times New Roman"/>
                <w:b/>
                <w:sz w:val="24"/>
              </w:rPr>
              <w:t>8.老街、后街治理提升</w:t>
            </w:r>
          </w:p>
          <w:p>
            <w:pPr>
              <w:snapToGrid w:val="0"/>
              <w:spacing w:line="320" w:lineRule="exact"/>
              <w:ind w:firstLine="480" w:firstLineChars="200"/>
              <w:textAlignment w:val="baseline"/>
              <w:rPr>
                <w:rFonts w:ascii="Times New Roman" w:hAnsi="Times New Roman"/>
                <w:sz w:val="24"/>
              </w:rPr>
            </w:pPr>
            <w:r>
              <w:rPr>
                <w:rFonts w:ascii="Times New Roman" w:hAnsi="Times New Roman"/>
                <w:sz w:val="24"/>
              </w:rPr>
              <w:t>推进唐家沱老街、寸滩老街等老街建筑修缮，加快推进文化街区品牌招商、环境品质、管理水平和配套设施建设，开发文化演艺产品，构建江北区文化旅游产品体系。聚焦观音桥、华新街、五里店等区域的背街小巷治理，完善后街基础设施，深挖后街历史人文资源，重点发展艺术手作、跨界创意、民俗体验等业态，打造一批“小而美”的后街。</w:t>
            </w:r>
          </w:p>
        </w:tc>
      </w:tr>
    </w:tbl>
    <w:p>
      <w:pPr>
        <w:spacing w:line="360" w:lineRule="auto"/>
        <w:ind w:firstLine="640" w:firstLineChars="200"/>
        <w:textAlignment w:val="baseline"/>
        <w:outlineLvl w:val="1"/>
        <w:rPr>
          <w:rFonts w:ascii="Times New Roman" w:hAnsi="Times New Roman" w:eastAsia="方正楷体_GBK"/>
          <w:sz w:val="32"/>
          <w:szCs w:val="32"/>
        </w:rPr>
      </w:pPr>
      <w:bookmarkStart w:id="26" w:name="_Toc91625594"/>
      <w:r>
        <w:rPr>
          <w:rFonts w:ascii="Times New Roman" w:hAnsi="Times New Roman" w:eastAsia="方正楷体_GBK"/>
          <w:sz w:val="32"/>
          <w:szCs w:val="32"/>
        </w:rPr>
        <w:t>（二）国际消费资源集聚行动</w:t>
      </w:r>
      <w:bookmarkEnd w:id="26"/>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1.汇聚国际知名品牌</w:t>
      </w:r>
    </w:p>
    <w:p>
      <w:pPr>
        <w:tabs>
          <w:tab w:val="left" w:pos="1560"/>
        </w:tabs>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瞄准国际高端品牌和知名设计师品牌等，优化全区存量商业载体品牌结构，加强新增商业载体品牌策划，持续提升重点商业街区的国际知名品牌比例，打造全球名品名牌名店集聚地。升级发展总部经济，加快引进一批全球总部、区域性总部和研发设计中心、产品定制中心、采购结算中心、仓储物流中心、运营管理中心等功能性总部。充分发挥江北区口岸和黄金水道优势，做大做强“一带一路”商品展示交易中心，依托跨境电商产业园发展壮大跨境电商，多渠道扩大全球特色优质商品进口。</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2.丰富全球美食体验</w:t>
      </w:r>
    </w:p>
    <w:p>
      <w:pPr>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以重庆市建设国际美食名城为契机，围绕国际特色美食、餐饮文化、餐酒搭配等，培育一批具有国际水准的餐饮美食街、美食集聚区、特色市集等，建设具有全球吸引力的国际美食体验必选地。加速全球知名美食品牌集聚，引入国际餐饮企业、米其林星级餐厅、主题餐厅等高端餐饮主体入驻，构建中西合璧、南北交融的多元化餐饮发展格局。支持</w:t>
      </w:r>
      <w:r>
        <w:rPr>
          <w:rFonts w:hint="eastAsia" w:ascii="Times New Roman" w:hAnsi="Times New Roman" w:eastAsia="方正仿宋_GBK"/>
          <w:sz w:val="32"/>
          <w:szCs w:val="32"/>
        </w:rPr>
        <w:t>陶然居大观园</w:t>
      </w:r>
      <w:r>
        <w:rPr>
          <w:rFonts w:hint="eastAsia" w:ascii="宋体" w:hAnsi="宋体" w:cs="宋体"/>
          <w:sz w:val="32"/>
          <w:szCs w:val="32"/>
        </w:rPr>
        <w:t>•</w:t>
      </w:r>
      <w:r>
        <w:rPr>
          <w:rFonts w:hint="eastAsia" w:ascii="方正仿宋_GBK" w:hAnsi="方正仿宋_GBK" w:eastAsia="方正仿宋_GBK" w:cs="方正仿宋_GBK"/>
          <w:sz w:val="32"/>
          <w:szCs w:val="32"/>
        </w:rPr>
        <w:t>新国潮坊</w:t>
      </w:r>
      <w:r>
        <w:rPr>
          <w:rFonts w:ascii="Times New Roman" w:hAnsi="Times New Roman" w:eastAsia="方正仿宋_GBK"/>
          <w:sz w:val="32"/>
          <w:szCs w:val="32"/>
        </w:rPr>
        <w:t>、观音桥好吃街、三洞桥风情街等引入国际一线餐饮品牌，探索构建“声光电”融合的美食消费场景，打造具有重庆韵味的国际美食街区。引导江北区餐饮企业参加境内外行业展会、论坛等交流活动，策划更多国际美食赛事、美食节庆等活动，扩大“渝派川菜”“重庆火锅”“重庆江湖菜”等渝派美食国际知名度和影响力。</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3.振兴江北区老字号</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鼓励“人道美”“熊鸭子”“登康”等区内“中华老字号”“重庆老字号”企业深挖巴渝文化内涵，传承精湛传统技艺，提升产品附加值和品牌影响力。推动老字号企业运用互联网、大数据等信息技术，改造升级传统产品，加快研发、设计、生产、品牌营销等各环节的模式创新。推动老字号传统店铺向旗舰店、体验店、定制中心转型。规划建设老字号集聚区，定期举办老字号文化节，加大江北区老字号宣传力度，推动更多老字号品牌走向国内外市场。</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4.提升“江北智造”影响力</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立足全市“制造重镇”“智慧名城”建设要求，推动港城园区升级转型，加快鱼复工业开发区产能释放，持续提升“江北智造”影响力，增强优质消费产品供给能力。聚焦电子电器、汽车零部件、纺织服装、清洁用品等优势领域，依托重庆海尔、平伟科技、塔山皮革等优质企业，发展一批国际知名的中高端消费品牌。以大数据智能化赋能传统制造业，依托鱼复智能制造装备园、海尔智能装备产业园等园区探索C2M反向定制等新发展模式，培育一批网货生产基地、产地直播基地。鼓励工业企业通过开放生产车间、设立用户体验中心等形式发展“工业+旅游”“工业+文创”等新业态，挖掘跨界融合消费新潜力。</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5.挖掘江北文创新内涵</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支持“江北蜀绣”“竹壳雕刻技艺”“江北竹雕”“江北剪纸”“江北泥塑”等本地原创资源与国际一流设计大师、工艺大师、策划大师合作，加快释放品牌市场活力，推动石雕、蜀绣、剪纸等产业品牌化、个性化升级，打造世界精品级的“重庆手信”“重庆礼物”。支持“梅派古琴演奏艺术”“一木长嘴壶表演”等非遗项目，发展文创消费品产业。鼓励本地文创品牌与景区景点、美术空间、创意空间和演艺节目、赛事活动等融合发展，构建本土原创文化生态。引导企业积极申报市级、国家级非物质文化遗产。</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6.拓展多元消费类型</w:t>
      </w:r>
    </w:p>
    <w:p>
      <w:pPr>
        <w:spacing w:line="360" w:lineRule="auto"/>
        <w:ind w:firstLine="640" w:firstLineChars="200"/>
        <w:textAlignment w:val="baseline"/>
        <w:rPr>
          <w:rFonts w:ascii="Times New Roman" w:hAnsi="Times New Roman"/>
          <w:sz w:val="32"/>
          <w:szCs w:val="32"/>
        </w:rPr>
      </w:pPr>
      <w:r>
        <w:rPr>
          <w:rFonts w:ascii="Times New Roman" w:hAnsi="Times New Roman" w:eastAsia="方正仿宋_GBK"/>
          <w:sz w:val="32"/>
          <w:szCs w:val="32"/>
        </w:rPr>
        <w:t>丰富医疗服务消费，积极引入国际医疗资源，培育一批具有国际竞争力的医疗服务品牌和项目，重点发展智慧精准医疗、中医药、心理健康服务等。提升健康养老消费，推动石马河养老服务中心、郭家沱养老服务中心等养老机构提质增效，发展定制化健康体检、私人健康管理等健康服务，完善养老服务信息化平台。发展特色教育消费，推进教育培训信息化建设，丰富智慧教育体验新场景，发展多形式成人教育培训，强化国际化教育人才培养。促进体育消费，高品质打造五宝国际运动城，加快干坝子生活区大型体育场馆建设，升级洋河体育场、江北石子山体育公园等大型体育场馆，开发高端生态体育产业，积极承接国际性体育赛事，促进“国际赛事+高端场馆+产业”发展。扩大专业化家政服务，支持家政行业规模化、品牌化、国际化发展，培育一批具有引领和示范效应的家政服务龙头企业。拓展新兴文娱服务消费，建设一批高水平电竞场馆，丰富文艺演出活动，培育动漫产业集群，丰富桌游、蹦床轰趴、室内冲浪、漂浮体验、DIY手工体验等玩乐新业态。</w:t>
      </w:r>
    </w:p>
    <w:p>
      <w:pPr>
        <w:spacing w:line="360" w:lineRule="auto"/>
        <w:ind w:firstLine="640" w:firstLineChars="200"/>
        <w:textAlignment w:val="baseline"/>
        <w:outlineLvl w:val="1"/>
        <w:rPr>
          <w:rFonts w:ascii="Times New Roman" w:hAnsi="Times New Roman" w:eastAsia="方正楷体_GBK"/>
          <w:sz w:val="32"/>
          <w:szCs w:val="32"/>
        </w:rPr>
      </w:pPr>
      <w:bookmarkStart w:id="27" w:name="_Toc91625595"/>
      <w:r>
        <w:rPr>
          <w:rFonts w:ascii="Times New Roman" w:hAnsi="Times New Roman" w:eastAsia="方正楷体_GBK"/>
          <w:sz w:val="32"/>
          <w:szCs w:val="32"/>
        </w:rPr>
        <w:t>（三）国际消费潮流引领行动</w:t>
      </w:r>
      <w:bookmarkEnd w:id="27"/>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1.聚力打造全球新品首发地</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围绕新零售、品质餐饮、休闲娱乐、体育运动、文创时尚等，大力发展“首店、首牌、首秀、首发”“四首”经济。加快实施首店品牌引进培育计划，招引符合时下消费趋势品牌首店，提供国际化、品质化消费体验。聚焦新消费、新场景，培育一批具有国际影响力的本土品牌首店，巩固扩大</w:t>
      </w:r>
      <w:r>
        <w:rPr>
          <w:rFonts w:hint="eastAsia" w:ascii="Times New Roman" w:hAnsi="Times New Roman" w:eastAsia="方正仿宋_GBK"/>
          <w:sz w:val="32"/>
          <w:szCs w:val="32"/>
        </w:rPr>
        <w:t>全区</w:t>
      </w:r>
      <w:r>
        <w:rPr>
          <w:rFonts w:ascii="Times New Roman" w:hAnsi="Times New Roman" w:eastAsia="方正仿宋_GBK"/>
          <w:sz w:val="32"/>
          <w:szCs w:val="32"/>
        </w:rPr>
        <w:t>知名品牌首店集聚优势。结合北滨路、全区高层楼宇、</w:t>
      </w:r>
      <w:r>
        <w:rPr>
          <w:rFonts w:hint="eastAsia" w:ascii="Times New Roman" w:hAnsi="Times New Roman" w:eastAsia="方正仿宋_GBK"/>
          <w:sz w:val="32"/>
          <w:szCs w:val="32"/>
        </w:rPr>
        <w:t>重庆</w:t>
      </w:r>
      <w:r>
        <w:rPr>
          <w:rFonts w:ascii="Times New Roman" w:hAnsi="Times New Roman" w:eastAsia="方正仿宋_GBK"/>
          <w:sz w:val="32"/>
          <w:szCs w:val="32"/>
        </w:rPr>
        <w:t>大剧院等特色资源，打造一批江岸秀场、天台秀场，承接国际品牌首发、首秀活动。完善江北区“首店”扶持政策，围绕“首店”经济，建立首店库、政策库和地段库。</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2.擦亮“不夜江北”特色名片</w:t>
      </w:r>
    </w:p>
    <w:p>
      <w:pPr>
        <w:pStyle w:val="2"/>
        <w:spacing w:line="360" w:lineRule="auto"/>
        <w:ind w:firstLine="640"/>
        <w:textAlignment w:val="baseline"/>
        <w:rPr>
          <w:rFonts w:ascii="Times New Roman" w:hAnsi="Times New Roman" w:eastAsia="方正仿宋_GBK"/>
          <w:sz w:val="32"/>
          <w:szCs w:val="32"/>
        </w:rPr>
      </w:pPr>
      <w:r>
        <w:rPr>
          <w:rFonts w:ascii="Times New Roman" w:hAnsi="Times New Roman" w:eastAsia="方正仿宋_GBK"/>
          <w:sz w:val="32"/>
          <w:szCs w:val="32"/>
        </w:rPr>
        <w:t>发挥观音桥商圈、大九街、北滨路等作为重庆市夜间经济核心区的优势，以业态创新为引领、消费品牌提升为重点、配套设施完善为保障，建设全国夜间经济领跑地。围绕“夜味、夜养、夜赏、夜玩、夜购”主题，引导上下游企业加强协作，推动夜间经济产业补链延链强链。引进国内外夜间文化艺术、娱乐时尚、体育竞技、休闲康养等项目，促进多业态融合发展。加快夜市街区升级改造，提升夜市街区照明档次，打造主题鲜明、个性彰显、特色突出的都市夜景。完善通讯、治安、交通、外币金融服务等配套设施，提升夜间消费公共服务配套水平。支持不夜九街建设成为以酒吧、美食、特色购物等业态为主的重庆夜间经济特色名片，依托鎏嘉码头打造更具有文旅融合特色的夜间经济圈，支持观音桥商圈、鸿恩寺等通过夜景打造、特色活动、商街夜市等多种形式，丰富夜间游览内容，开发富有创意的夜间文旅产品。</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3.构建美丽时尚产业增长极</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大力发展颜值经济，积极引进和培育国际知名美容医疗机构，通过信息技术赋能医美行业，推动医美行业线上化、平台化、规范化、专业化发展。依托观音桥等全区年轻群体、时尚潮人汇集地，定期举办时装走秀、互动展览、时尚体验、美妆培训等时尚活动，传播最新最潮时尚前沿讯息，吸引国内外知名设计师、时尚博主、时尚买手、艺术家汇聚江北，扩大江北时尚影响力。引进国际知名时装、珠宝、彩妆、美容美发等时尚品牌，支持跨国公司、知名品牌在江北区设立总部，构建完整时尚产业体系。支持美妆、时装等企业引进研发设计、品牌策划等领域国际高端人才，鼓励开展职业技能大赛。加强化妆品质量安全监管，引导企业创建化妆品经营示范单位。</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4.倡导绿色低碳消费新风尚</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鼓励商贸企业大力推广节能环保低碳产品，减少一次性用品的使用，引导消费者优先采购可循环、易回收、可再生的替代产品。在全区深入开展“光盘行动”，以“分类有积分、积分有优惠”方式试点餐饮行业绿色账户积分激励机制。加强塑料污染治理，推进再生资源回收和利用，提高资源综合利用率。积极引导企业建立节约长效机制，以资源高效和循环利用为导向，营造绿色环境、提供绿色服务、推广绿色产品，鼓励企业争创绿色饭店（商场）。拓展公众参与低碳发展渠道，围绕酒店、餐饮、商超、景区等消费场所，探索开发集低碳评价、低碳消费、碳积分获取兑换等线上融合服务平台。</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5.建设数字消费融合新高地</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加快新一代信息技术与终端消费领域的深度融合，推广云逛街、云购物等新模式，积极稳妥发展直播电商、社交电商等新业态，丰富数字化、体验式消费场景应用。加快新世纪百货、永辉超市等传统大型商超智慧化转型，将线下物流、服务、体验等优势与线上商流、数据流、信息流融合，利用人工智能、大数据等技术进行智能选品、精准营销、高效运营，拓展智能化、网络化的全渠道经营，提升实体零售行业运营效益。加快自助终端、智能机器人等智能设备的推广应用，推进无人便利店、无人售货机等“无接触”零售模式创新发展，支持京东电器超级体验店等发展沉浸式、体验式的智慧消费。</w:t>
      </w:r>
    </w:p>
    <w:p>
      <w:pPr>
        <w:spacing w:line="360" w:lineRule="auto"/>
        <w:ind w:firstLine="640" w:firstLineChars="200"/>
        <w:textAlignment w:val="baseline"/>
        <w:outlineLvl w:val="1"/>
        <w:rPr>
          <w:rFonts w:ascii="Times New Roman" w:hAnsi="Times New Roman" w:eastAsia="方正楷体_GBK"/>
          <w:sz w:val="32"/>
          <w:szCs w:val="32"/>
        </w:rPr>
      </w:pPr>
      <w:bookmarkStart w:id="28" w:name="_Toc91625596"/>
      <w:r>
        <w:rPr>
          <w:rFonts w:ascii="Times New Roman" w:hAnsi="Times New Roman" w:eastAsia="方正楷体_GBK"/>
          <w:sz w:val="32"/>
          <w:szCs w:val="32"/>
        </w:rPr>
        <w:t>（四）国际国内合作推广行动</w:t>
      </w:r>
      <w:bookmarkEnd w:id="28"/>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1.加强国际商务交往</w:t>
      </w:r>
    </w:p>
    <w:p>
      <w:pPr>
        <w:pStyle w:val="2"/>
        <w:spacing w:line="360" w:lineRule="auto"/>
        <w:ind w:firstLine="640"/>
        <w:textAlignment w:val="baseline"/>
        <w:rPr>
          <w:rFonts w:ascii="Times New Roman" w:hAnsi="Times New Roman" w:eastAsia="方正仿宋_GBK"/>
          <w:sz w:val="32"/>
          <w:szCs w:val="32"/>
        </w:rPr>
      </w:pPr>
      <w:r>
        <w:rPr>
          <w:rFonts w:ascii="Times New Roman" w:hAnsi="Times New Roman" w:eastAsia="方正仿宋_GBK"/>
          <w:sz w:val="32"/>
          <w:szCs w:val="32"/>
        </w:rPr>
        <w:t>以重庆市打造中西部国际交往中心为契机，充分发挥江北嘴外事资源和交往设施优势，构建多元的商务交流平台，支持专业国际组织和全球领先的经济、金融、贸易等机构入驻江北，建设特色化国际商务交往功能区。贯彻落实全面融入共建“一带一路”加快建设内陆开放高地行动计划，扩大与“一带一路”沿线国家和地区经贸往来。加快融入RCEP大市场，配合全市开展RCEP先行示范区建设，高标准实施中新（重庆）战略性互联互通示范项目。深化与意大利皮亚琴察市、美国北拉斯维加斯市等国际友好城市、友好交流城市在商贸、旅游等领域的合作交流。加强与新加坡商会、日本贸易振兴机构等境外商会机构合作，组织海外招商推介会等活动，提升江北区招商引资品质及效率。</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2.深化国内交流合作</w:t>
      </w:r>
    </w:p>
    <w:p>
      <w:pPr>
        <w:pStyle w:val="2"/>
        <w:spacing w:line="360" w:lineRule="auto"/>
        <w:ind w:firstLine="640"/>
        <w:textAlignment w:val="baseline"/>
        <w:rPr>
          <w:rFonts w:ascii="Times New Roman" w:hAnsi="Times New Roman" w:eastAsia="方正仿宋_GBK"/>
          <w:sz w:val="32"/>
          <w:szCs w:val="32"/>
        </w:rPr>
      </w:pPr>
      <w:r>
        <w:rPr>
          <w:rFonts w:ascii="Times New Roman" w:hAnsi="Times New Roman" w:eastAsia="方正仿宋_GBK"/>
          <w:sz w:val="32"/>
          <w:szCs w:val="32"/>
        </w:rPr>
        <w:t>深化成渝地区双城经济圈交流合作，共建富有巴蜀特色的国际消费目的地，增强与成都市青羊区等地的商贸合作，定期举办名优特新产品展销会，联合打造消费精品体验线路，联动开展消费促进活动，办好成渝消费展会、节会，共同打造活动品牌。积极融入西部地区与东部地区战略互动，进一步加强与京津冀、长三角、海南自贸港战略对接、政策对应和项目承接。深化与粤港澳大湾区的交流合作，拓展与香港在商贸、文化、金融服务等方面合作，推进与澳门在美食、会展、旅游等互补性产业方面对接，积极吸引大湾区优质企业入驻江北。深化与台湾地区的商贸往来，借助“重庆·台湾周”等特色活动，推动两岸经贸互促共进、企业互利共赢、人员互动交流。</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3.提升会展活动能级</w:t>
      </w:r>
    </w:p>
    <w:p>
      <w:pPr>
        <w:pStyle w:val="2"/>
        <w:spacing w:line="360" w:lineRule="auto"/>
        <w:ind w:firstLine="640"/>
        <w:textAlignment w:val="baseline"/>
        <w:rPr>
          <w:rFonts w:ascii="Times New Roman" w:hAnsi="Times New Roman" w:eastAsia="方正仿宋_GBK"/>
          <w:sz w:val="32"/>
          <w:szCs w:val="32"/>
        </w:rPr>
      </w:pPr>
      <w:r>
        <w:rPr>
          <w:rFonts w:ascii="Times New Roman" w:hAnsi="Times New Roman" w:eastAsia="方正仿宋_GBK"/>
          <w:sz w:val="32"/>
          <w:szCs w:val="32"/>
        </w:rPr>
        <w:t>加快补齐会展场馆设施短板，改造升级重庆（国际）时尚发布中心，推动现有文化体育设施、商业商务楼宇的更新改造，支持大型购物中心承办各类特色展览和主题活动，完善重庆大剧院、重庆科技馆等场馆设施周边的交通、住宿、餐饮、娱乐等消费功能，提升江北区的会展活动承载能力。积极承办西洽会、智博会等高端论坛，提升江北嘴新金融峰会、城市花博会的影响力，吸引前沿品牌展会、知名时尚秀展等时尚消费展会，打造西部时尚会展高地。培育精品本土会展品牌，发挥巴渝美食和文化等资源优势，创新办会方式，形成美食推介、时尚展示、文化输出平台，筹备举办好地区特色美食、汽车惠民、家居建材等一批特色品牌展会。</w:t>
      </w:r>
    </w:p>
    <w:tbl>
      <w:tblPr>
        <w:tblStyle w:val="22"/>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Borders>
              <w:top w:val="single" w:color="auto" w:sz="4" w:space="0"/>
              <w:left w:val="single" w:color="auto" w:sz="4" w:space="0"/>
              <w:bottom w:val="single" w:color="auto" w:sz="4" w:space="0"/>
              <w:right w:val="single" w:color="auto" w:sz="4" w:space="0"/>
              <w:tl2br w:val="nil"/>
              <w:tr2bl w:val="nil"/>
            </w:tcBorders>
          </w:tcPr>
          <w:p>
            <w:pPr>
              <w:widowControl/>
              <w:snapToGrid w:val="0"/>
              <w:jc w:val="center"/>
              <w:textAlignment w:val="baseline"/>
              <w:rPr>
                <w:rFonts w:ascii="Times New Roman" w:hAnsi="Times New Roman"/>
                <w:sz w:val="24"/>
              </w:rPr>
            </w:pPr>
            <w:r>
              <w:rPr>
                <w:rFonts w:ascii="Times New Roman" w:hAnsi="Times New Roman"/>
                <w:b/>
                <w:bCs/>
                <w:kern w:val="0"/>
                <w:sz w:val="24"/>
              </w:rPr>
              <w:t>专栏2 江北区“十四五”国际消费辐射重点工程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l2br w:val="nil"/>
              <w:tr2bl w:val="nil"/>
            </w:tcBorders>
          </w:tcPr>
          <w:p>
            <w:pPr>
              <w:snapToGrid w:val="0"/>
              <w:spacing w:line="300" w:lineRule="exact"/>
              <w:ind w:firstLine="482"/>
              <w:textAlignment w:val="baseline"/>
              <w:rPr>
                <w:rFonts w:ascii="Times New Roman" w:hAnsi="Times New Roman"/>
                <w:b/>
                <w:sz w:val="24"/>
              </w:rPr>
            </w:pPr>
            <w:r>
              <w:rPr>
                <w:rFonts w:ascii="Times New Roman" w:hAnsi="Times New Roman"/>
                <w:b/>
                <w:sz w:val="24"/>
              </w:rPr>
              <w:t>1.加强国际商务交往：</w:t>
            </w:r>
            <w:r>
              <w:rPr>
                <w:rFonts w:ascii="Times New Roman" w:hAnsi="Times New Roman"/>
                <w:bCs/>
                <w:sz w:val="24"/>
              </w:rPr>
              <w:t>深化与新加坡商会、日本贸易振兴机构、香港贸易发展局等境内外商会机构合作，支持专业国际组织和全球领先的经济、金融、贸易等机构入驻江北；积极参与共建“一带一路”科技创新合作区和国际技术转移中心。</w:t>
            </w:r>
          </w:p>
          <w:p>
            <w:pPr>
              <w:snapToGrid w:val="0"/>
              <w:spacing w:line="300" w:lineRule="exact"/>
              <w:ind w:firstLine="482" w:firstLineChars="200"/>
              <w:textAlignment w:val="baseline"/>
              <w:rPr>
                <w:rFonts w:ascii="Times New Roman" w:hAnsi="Times New Roman"/>
                <w:sz w:val="24"/>
              </w:rPr>
            </w:pPr>
            <w:r>
              <w:rPr>
                <w:rFonts w:ascii="Times New Roman" w:hAnsi="Times New Roman"/>
                <w:b/>
                <w:bCs/>
                <w:sz w:val="24"/>
              </w:rPr>
              <w:t>2.增强国内跨区域协作：</w:t>
            </w:r>
            <w:r>
              <w:rPr>
                <w:rFonts w:ascii="Times New Roman" w:hAnsi="Times New Roman"/>
                <w:bCs/>
                <w:sz w:val="24"/>
              </w:rPr>
              <w:t>强化成渝地区资源优势整合，协同打造特色产业集群、联动发展文化旅游等项目，带动区域消费发展。</w:t>
            </w:r>
            <w:r>
              <w:rPr>
                <w:rFonts w:ascii="Times New Roman" w:hAnsi="Times New Roman"/>
                <w:sz w:val="24"/>
              </w:rPr>
              <w:t>积极融入与粤港澳大湾区的交流合作，吸引更多高端零售品牌、重大商业项目入驻江北，积极参加“重庆·台湾周”等活动。持续加强与周边城市的交流合作，提升地区辐射能级。</w:t>
            </w:r>
          </w:p>
          <w:p>
            <w:pPr>
              <w:snapToGrid w:val="0"/>
              <w:spacing w:line="300" w:lineRule="exact"/>
              <w:ind w:firstLine="482"/>
              <w:textAlignment w:val="baseline"/>
              <w:rPr>
                <w:rFonts w:ascii="Times New Roman" w:hAnsi="Times New Roman"/>
                <w:sz w:val="24"/>
              </w:rPr>
            </w:pPr>
            <w:r>
              <w:rPr>
                <w:rFonts w:ascii="Times New Roman" w:hAnsi="Times New Roman"/>
                <w:b/>
                <w:sz w:val="24"/>
              </w:rPr>
              <w:t>3.提升会展活动承载能力：</w:t>
            </w:r>
            <w:r>
              <w:rPr>
                <w:rFonts w:ascii="Times New Roman" w:hAnsi="Times New Roman"/>
                <w:sz w:val="24"/>
              </w:rPr>
              <w:t>积极承办西洽会、智博会等高端论坛和江北嘴新金融峰会、城市花博会等展会活动，开展与国际会展组织机构合作，策划一批具有国际影响力的中高端论坛会议；创新举办夜市文化节、火锅美食节、时装周等活动。</w:t>
            </w:r>
          </w:p>
        </w:tc>
      </w:tr>
    </w:tbl>
    <w:p>
      <w:pPr>
        <w:spacing w:line="360" w:lineRule="auto"/>
        <w:ind w:firstLine="640" w:firstLineChars="200"/>
        <w:textAlignment w:val="baseline"/>
        <w:outlineLvl w:val="1"/>
        <w:rPr>
          <w:rFonts w:ascii="Times New Roman" w:hAnsi="Times New Roman" w:eastAsia="方正楷体_GBK"/>
          <w:sz w:val="32"/>
          <w:szCs w:val="32"/>
        </w:rPr>
      </w:pPr>
      <w:bookmarkStart w:id="29" w:name="_Toc91625597"/>
      <w:r>
        <w:rPr>
          <w:rFonts w:ascii="Times New Roman" w:hAnsi="Times New Roman" w:eastAsia="方正楷体_GBK"/>
          <w:sz w:val="32"/>
          <w:szCs w:val="32"/>
        </w:rPr>
        <w:t>（五）国际消费服务提升行动</w:t>
      </w:r>
      <w:bookmarkEnd w:id="29"/>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1.推进服务业扩大开放</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利用服务业扩大开放综合试点机遇，多领域差异化打造重庆服务业扩大开放综合试点的先行区，优化服务供给。开展服务业企业投资项目“区域评估+标准地+承诺制+政府配套服务”改革，优化服务业开放发展的体制机制。发挥江北嘴服务业开放发展主阵地作用，着眼金融、商贸服务等行业，大力发展金融科技、绿色金融等业态，支持建设中新金融科技产业示范基地。大力促进商贸、旅游、文化、教育等产业开放发展，努力形成市场更加开放、制度更加规范、监管更加有效、环境更加优良的服务业扩大开放新格局。</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2.完善国际化服务体系</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建立健全符合国际惯例、具有重庆特色、与江北功能定位相适应的标准化消费服务体系。鼓励平台企业、行业组织、研究机构等研究制定支撑新型消费的服务标准，健全市场监测、用户权益保护、重要产品追溯等机制。大力提升品牌服务软环境，支持行业协会、权威机构发布重点商业品牌、优质服务商店等各类榜单，建立重点行业领域优质服务企业名录库，树立一批管理先进、服务精良、消费者认可的服务品牌，打造国际化特色“江北服务”品牌。</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3.提升国际化服务水平</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提升涉外服务水平，完善公共场所国际化引导标识和便利化服务设施，推进国际化结算和货币兑换平台建设。优化退免税服务，积极引进中免、日上、王府井等企业在江北开设免税商场，支持本土企业申请免税品经营资质，合理规划全区免税商店、离境退税定点商店布局，扩大境外旅客购物离境退税“即买即退”实施范围，优化退税流程。</w:t>
      </w:r>
    </w:p>
    <w:tbl>
      <w:tblPr>
        <w:tblStyle w:val="22"/>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Borders>
              <w:top w:val="single" w:color="auto" w:sz="4" w:space="0"/>
              <w:left w:val="single" w:color="auto" w:sz="4" w:space="0"/>
              <w:bottom w:val="single" w:color="auto" w:sz="4" w:space="0"/>
              <w:right w:val="single" w:color="auto" w:sz="4" w:space="0"/>
              <w:tl2br w:val="nil"/>
              <w:tr2bl w:val="nil"/>
            </w:tcBorders>
          </w:tcPr>
          <w:p>
            <w:pPr>
              <w:widowControl/>
              <w:snapToGrid w:val="0"/>
              <w:jc w:val="center"/>
              <w:textAlignment w:val="baseline"/>
              <w:rPr>
                <w:rFonts w:ascii="Times New Roman" w:hAnsi="Times New Roman"/>
                <w:sz w:val="24"/>
              </w:rPr>
            </w:pPr>
            <w:r>
              <w:rPr>
                <w:rFonts w:ascii="Times New Roman" w:hAnsi="Times New Roman"/>
                <w:b/>
                <w:bCs/>
                <w:kern w:val="0"/>
                <w:sz w:val="24"/>
              </w:rPr>
              <w:t>专栏3 江北区“十四五”国际化消费服务重点工程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l2br w:val="nil"/>
              <w:tr2bl w:val="nil"/>
            </w:tcBorders>
          </w:tcPr>
          <w:p>
            <w:pPr>
              <w:snapToGrid w:val="0"/>
              <w:spacing w:line="300" w:lineRule="exact"/>
              <w:ind w:firstLine="482" w:firstLineChars="200"/>
              <w:textAlignment w:val="baseline"/>
              <w:rPr>
                <w:rFonts w:ascii="Times New Roman" w:hAnsi="Times New Roman"/>
                <w:sz w:val="24"/>
              </w:rPr>
            </w:pPr>
            <w:r>
              <w:rPr>
                <w:rFonts w:ascii="Times New Roman" w:hAnsi="Times New Roman"/>
                <w:b/>
                <w:bCs/>
                <w:sz w:val="24"/>
              </w:rPr>
              <w:t>1.推进服务业扩大开放：</w:t>
            </w:r>
            <w:r>
              <w:rPr>
                <w:rFonts w:ascii="Times New Roman" w:hAnsi="Times New Roman"/>
                <w:sz w:val="24"/>
              </w:rPr>
              <w:t xml:space="preserve">统筹推进重庆市江北区服务业扩大开放综合试点工作，支持依法开展金融科技创新活动，鼓励外商投资旅行社开展出境游（赴台湾地区除外）业务，支持港澳服务提供者设立独资医疗机构。 </w:t>
            </w:r>
          </w:p>
          <w:p>
            <w:pPr>
              <w:snapToGrid w:val="0"/>
              <w:spacing w:line="300" w:lineRule="exact"/>
              <w:ind w:firstLine="482" w:firstLineChars="200"/>
              <w:textAlignment w:val="baseline"/>
              <w:rPr>
                <w:rFonts w:ascii="Times New Roman" w:hAnsi="Times New Roman"/>
                <w:sz w:val="24"/>
              </w:rPr>
            </w:pPr>
            <w:r>
              <w:rPr>
                <w:rFonts w:ascii="Times New Roman" w:hAnsi="Times New Roman"/>
                <w:b/>
                <w:bCs/>
                <w:sz w:val="24"/>
              </w:rPr>
              <w:t>2.完善国际化服务体系：</w:t>
            </w:r>
            <w:r>
              <w:rPr>
                <w:rFonts w:ascii="Times New Roman" w:hAnsi="Times New Roman"/>
                <w:sz w:val="24"/>
              </w:rPr>
              <w:t>鼓励支持行业、企业制定、实施符合国际惯例的行业、企业标准；</w:t>
            </w:r>
            <w:r>
              <w:rPr>
                <w:rFonts w:ascii="Times New Roman" w:hAnsi="Times New Roman"/>
                <w:bCs/>
                <w:sz w:val="24"/>
              </w:rPr>
              <w:t>推进第三方服务监测评价、商贸企业标准化管理；开展企业服务质量达标创建活动</w:t>
            </w:r>
            <w:r>
              <w:rPr>
                <w:rFonts w:ascii="Times New Roman" w:hAnsi="Times New Roman"/>
                <w:sz w:val="24"/>
              </w:rPr>
              <w:t>；建立重点行业领域“优质服务企业名录库”；开展品牌培育服务月等活动。</w:t>
            </w:r>
          </w:p>
          <w:p>
            <w:pPr>
              <w:snapToGrid w:val="0"/>
              <w:spacing w:line="300" w:lineRule="exact"/>
              <w:ind w:firstLine="482" w:firstLineChars="200"/>
              <w:textAlignment w:val="baseline"/>
              <w:rPr>
                <w:rFonts w:ascii="Times New Roman" w:hAnsi="Times New Roman"/>
                <w:sz w:val="24"/>
              </w:rPr>
            </w:pPr>
            <w:r>
              <w:rPr>
                <w:rFonts w:ascii="Times New Roman" w:hAnsi="Times New Roman"/>
                <w:b/>
                <w:bCs/>
                <w:sz w:val="24"/>
              </w:rPr>
              <w:t>3.提升国际化服务水平：</w:t>
            </w:r>
            <w:r>
              <w:rPr>
                <w:rFonts w:ascii="Times New Roman" w:hAnsi="Times New Roman"/>
                <w:sz w:val="24"/>
              </w:rPr>
              <w:t>推进公共场所国际化引导标识改造，</w:t>
            </w:r>
            <w:r>
              <w:rPr>
                <w:rFonts w:ascii="Times New Roman" w:hAnsi="Times New Roman"/>
                <w:bCs/>
                <w:sz w:val="24"/>
              </w:rPr>
              <w:t>推动</w:t>
            </w:r>
            <w:r>
              <w:rPr>
                <w:rFonts w:ascii="Times New Roman" w:hAnsi="Times New Roman"/>
                <w:sz w:val="24"/>
              </w:rPr>
              <w:t>离境退税定点商店、货币兑换网点、国际酒店、国际医院和国际学校等项目建设；在江北区商圈、景区、车站等主要消费场所实现免费WIFI全覆盖；新建5G基站，实现5G信号全覆盖。</w:t>
            </w:r>
          </w:p>
        </w:tc>
      </w:tr>
    </w:tbl>
    <w:p>
      <w:pPr>
        <w:spacing w:line="360" w:lineRule="auto"/>
        <w:ind w:firstLine="640" w:firstLineChars="200"/>
        <w:textAlignment w:val="baseline"/>
        <w:outlineLvl w:val="1"/>
        <w:rPr>
          <w:rFonts w:ascii="Times New Roman" w:hAnsi="Times New Roman" w:eastAsia="方正楷体_GBK"/>
          <w:sz w:val="32"/>
          <w:szCs w:val="32"/>
        </w:rPr>
      </w:pPr>
      <w:bookmarkStart w:id="30" w:name="_Toc91625598"/>
      <w:r>
        <w:rPr>
          <w:rFonts w:ascii="Times New Roman" w:hAnsi="Times New Roman" w:eastAsia="方正楷体_GBK"/>
          <w:sz w:val="32"/>
          <w:szCs w:val="32"/>
        </w:rPr>
        <w:t>（六）国际消费环境优化行动</w:t>
      </w:r>
      <w:bookmarkEnd w:id="30"/>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1.优化城市交通供给</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增密城市轨道交通线路及站点，着力提升机场、高铁站等交通枢纽到江北区重点商业区、主要旅游景点的交通通达性和换乘便利性。加强观音桥、江北嘴等重点商业区的交通微循环治理，持续开展次支路网的提升改造。优化城市自行车及步行道建设，构建多层次、高品质的绿色出行体系。加强长江、嘉陵江沿江旅游港口、码头建设，设置游轮停靠点。实施智能交通建设工程，推动智慧交通诱导系统提升改造，加快布局智慧停车设施。</w:t>
      </w:r>
      <w:bookmarkStart w:id="31" w:name="_Hlk86075616"/>
      <w:r>
        <w:rPr>
          <w:rFonts w:ascii="Times New Roman" w:hAnsi="Times New Roman" w:eastAsia="方正仿宋_GBK"/>
          <w:sz w:val="32"/>
          <w:szCs w:val="32"/>
          <w:shd w:val="clear" w:color="auto" w:fill="FFFFFF"/>
        </w:rPr>
        <w:t>支持在观音桥商圈、江北嘴等区域开设城市候机厅，延伸机场候机空间服务。</w:t>
      </w:r>
      <w:bookmarkEnd w:id="31"/>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2.打造国际化新社区</w:t>
      </w:r>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依托江北区城市更新和老旧小区改造，因地制宜完善国际化商业服务设施，重点建设一批国际化餐饮、零售等连锁品牌店。对标国际标准，优化升级社区幼托、教育、娱乐、养老、医疗等公共服务功能，完善出入境服务站和外籍人士社区服务中心等配套设施，加快构建开放包容、功能完善、彰显活力的国际化新型社区。支持新建社区增设国际政务、国际商务及国际生活服务等配套功能，植入运动健身、酒吧餐吧等国际化元素，打造具有国际范的社区消费新场景。</w:t>
      </w:r>
    </w:p>
    <w:p>
      <w:pPr>
        <w:spacing w:line="360" w:lineRule="auto"/>
        <w:ind w:firstLine="643" w:firstLineChars="200"/>
        <w:textAlignment w:val="baseline"/>
        <w:outlineLvl w:val="2"/>
        <w:rPr>
          <w:rFonts w:ascii="Times New Roman" w:hAnsi="Times New Roman" w:eastAsia="方正楷体_GBK"/>
          <w:b/>
          <w:sz w:val="32"/>
          <w:szCs w:val="32"/>
        </w:rPr>
      </w:pPr>
      <w:r>
        <w:rPr>
          <w:rFonts w:ascii="Times New Roman" w:hAnsi="Times New Roman" w:eastAsia="方正楷体_GBK"/>
          <w:b/>
          <w:sz w:val="32"/>
          <w:szCs w:val="32"/>
        </w:rPr>
        <w:t>3.营造良好营商环境</w:t>
      </w:r>
    </w:p>
    <w:p>
      <w:pPr>
        <w:spacing w:line="360" w:lineRule="auto"/>
        <w:ind w:firstLine="640" w:firstLineChars="200"/>
        <w:textAlignment w:val="baseline"/>
        <w:rPr>
          <w:rFonts w:ascii="Times New Roman" w:hAnsi="Times New Roman" w:eastAsia="方正仿宋_GBK"/>
          <w:sz w:val="32"/>
          <w:szCs w:val="32"/>
        </w:rPr>
      </w:pPr>
      <w:bookmarkStart w:id="32" w:name="_Toc2156"/>
      <w:bookmarkStart w:id="33" w:name="_Toc57826072"/>
      <w:bookmarkStart w:id="34" w:name="_Toc13878"/>
      <w:bookmarkStart w:id="35" w:name="_Toc50467953"/>
      <w:bookmarkStart w:id="36" w:name="_Toc57826336"/>
      <w:r>
        <w:rPr>
          <w:rFonts w:ascii="Times New Roman" w:hAnsi="Times New Roman" w:eastAsia="方正仿宋_GBK"/>
          <w:sz w:val="32"/>
          <w:szCs w:val="32"/>
        </w:rPr>
        <w:t>对标市级营商环境评价标准，实施统一的市场准入负面清单制度，推动“非禁即入”普遍落实。健全外商投资促进和服务体系，落实外商投资准入前国民待遇加负面清单管理制度。试点开展“一企一证”改革，探索“一照通”登记许可服务新模式。落实经营者消费维权主体责任，探索建立跨境消费者权益保护机制，推动跨境消费争议解决。引导行业组织开展诚信自律等行业信用建设，健全信用约束和失信联合惩戒机制，完善市场监督。</w:t>
      </w:r>
    </w:p>
    <w:tbl>
      <w:tblPr>
        <w:tblStyle w:val="22"/>
        <w:tblW w:w="83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380" w:type="dxa"/>
            <w:tcBorders>
              <w:top w:val="single" w:color="auto" w:sz="4" w:space="0"/>
              <w:left w:val="single" w:color="auto" w:sz="4" w:space="0"/>
              <w:bottom w:val="single" w:color="auto" w:sz="4" w:space="0"/>
              <w:right w:val="single" w:color="auto" w:sz="4" w:space="0"/>
              <w:tl2br w:val="nil"/>
              <w:tr2bl w:val="nil"/>
            </w:tcBorders>
          </w:tcPr>
          <w:p>
            <w:pPr>
              <w:widowControl/>
              <w:snapToGrid w:val="0"/>
              <w:jc w:val="center"/>
              <w:textAlignment w:val="baseline"/>
              <w:rPr>
                <w:rFonts w:ascii="Times New Roman" w:hAnsi="Times New Roman"/>
                <w:sz w:val="24"/>
              </w:rPr>
            </w:pPr>
            <w:r>
              <w:rPr>
                <w:rFonts w:ascii="Times New Roman" w:hAnsi="Times New Roman"/>
                <w:b/>
                <w:bCs/>
                <w:kern w:val="0"/>
                <w:sz w:val="24"/>
              </w:rPr>
              <w:t>专栏4 江北区“十四五”国际化消费环境重点工程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8380" w:type="dxa"/>
            <w:tcBorders>
              <w:top w:val="single" w:color="auto" w:sz="4" w:space="0"/>
              <w:left w:val="single" w:color="auto" w:sz="4" w:space="0"/>
              <w:bottom w:val="single" w:color="auto" w:sz="4" w:space="0"/>
              <w:right w:val="single" w:color="auto" w:sz="4" w:space="0"/>
              <w:tl2br w:val="nil"/>
              <w:tr2bl w:val="nil"/>
            </w:tcBorders>
          </w:tcPr>
          <w:p>
            <w:pPr>
              <w:snapToGrid w:val="0"/>
              <w:spacing w:line="300" w:lineRule="exact"/>
              <w:ind w:firstLine="482" w:firstLineChars="200"/>
              <w:textAlignment w:val="baseline"/>
              <w:rPr>
                <w:rFonts w:ascii="Times New Roman" w:hAnsi="Times New Roman"/>
                <w:sz w:val="24"/>
              </w:rPr>
            </w:pPr>
            <w:r>
              <w:rPr>
                <w:rFonts w:ascii="Times New Roman" w:hAnsi="Times New Roman"/>
                <w:b/>
                <w:bCs/>
                <w:sz w:val="24"/>
              </w:rPr>
              <w:t>1.优化城市交通：</w:t>
            </w:r>
            <w:r>
              <w:rPr>
                <w:rFonts w:ascii="Times New Roman" w:hAnsi="Times New Roman"/>
                <w:bCs/>
                <w:sz w:val="24"/>
              </w:rPr>
              <w:t>在主要消费区域</w:t>
            </w:r>
            <w:r>
              <w:rPr>
                <w:rFonts w:ascii="Times New Roman" w:hAnsi="Times New Roman"/>
                <w:sz w:val="24"/>
              </w:rPr>
              <w:t>设置商场远程值机区；加快推进观音桥商圈缓堵改造；推进非接触式感应、停车诱导等应用，建设智慧停车管理平台。</w:t>
            </w:r>
          </w:p>
          <w:p>
            <w:pPr>
              <w:snapToGrid w:val="0"/>
              <w:spacing w:line="300" w:lineRule="exact"/>
              <w:ind w:firstLine="482" w:firstLineChars="200"/>
              <w:textAlignment w:val="baseline"/>
              <w:rPr>
                <w:rFonts w:ascii="Times New Roman" w:hAnsi="Times New Roman"/>
                <w:sz w:val="24"/>
              </w:rPr>
            </w:pPr>
            <w:r>
              <w:rPr>
                <w:rFonts w:ascii="Times New Roman" w:hAnsi="Times New Roman"/>
                <w:b/>
                <w:sz w:val="24"/>
              </w:rPr>
              <w:t>2.建设国际化社区：</w:t>
            </w:r>
            <w:r>
              <w:rPr>
                <w:rFonts w:ascii="Times New Roman" w:hAnsi="Times New Roman"/>
                <w:sz w:val="24"/>
              </w:rPr>
              <w:t>新增1-3个国际社区，完善重点社区国际化配套服务功能。</w:t>
            </w:r>
          </w:p>
          <w:p>
            <w:pPr>
              <w:snapToGrid w:val="0"/>
              <w:spacing w:line="300" w:lineRule="exact"/>
              <w:ind w:firstLine="482" w:firstLineChars="200"/>
              <w:textAlignment w:val="baseline"/>
              <w:rPr>
                <w:rFonts w:ascii="Times New Roman" w:hAnsi="Times New Roman"/>
                <w:sz w:val="24"/>
              </w:rPr>
            </w:pPr>
            <w:r>
              <w:rPr>
                <w:rFonts w:ascii="Times New Roman" w:hAnsi="Times New Roman"/>
                <w:b/>
                <w:bCs/>
                <w:sz w:val="24"/>
              </w:rPr>
              <w:t>3.营造</w:t>
            </w:r>
            <w:r>
              <w:rPr>
                <w:rFonts w:hint="eastAsia" w:ascii="Times New Roman" w:hAnsi="Times New Roman"/>
                <w:b/>
                <w:bCs/>
                <w:sz w:val="24"/>
              </w:rPr>
              <w:t>良好</w:t>
            </w:r>
            <w:r>
              <w:rPr>
                <w:rFonts w:ascii="Times New Roman" w:hAnsi="Times New Roman"/>
                <w:b/>
                <w:bCs/>
                <w:sz w:val="24"/>
              </w:rPr>
              <w:t>营商环境：</w:t>
            </w:r>
            <w:r>
              <w:rPr>
                <w:rFonts w:ascii="Times New Roman" w:hAnsi="Times New Roman"/>
                <w:sz w:val="24"/>
              </w:rPr>
              <w:t>推行“笑脸餐厅”“诚信商户”等公开标识制度；依法保护各类市场主体产权和合法权益，完善多元化纠纷解决机制，为市场主体提供高效、便捷的纠纷解决途径。</w:t>
            </w:r>
          </w:p>
        </w:tc>
      </w:tr>
    </w:tbl>
    <w:p>
      <w:pPr>
        <w:keepLines/>
        <w:spacing w:before="156" w:after="156" w:line="360" w:lineRule="auto"/>
        <w:ind w:firstLine="640" w:firstLineChars="200"/>
        <w:textAlignment w:val="baseline"/>
        <w:outlineLvl w:val="0"/>
        <w:rPr>
          <w:rFonts w:ascii="Times New Roman" w:hAnsi="Times New Roman" w:eastAsia="方正黑体_GBK"/>
          <w:kern w:val="44"/>
          <w:sz w:val="32"/>
          <w:szCs w:val="32"/>
        </w:rPr>
      </w:pPr>
      <w:bookmarkStart w:id="37" w:name="_Toc91625599"/>
      <w:r>
        <w:rPr>
          <w:rFonts w:ascii="Times New Roman" w:hAnsi="Times New Roman" w:eastAsia="方正黑体_GBK"/>
          <w:kern w:val="44"/>
          <w:sz w:val="32"/>
          <w:szCs w:val="32"/>
        </w:rPr>
        <w:t>五、保障措施</w:t>
      </w:r>
      <w:bookmarkEnd w:id="37"/>
    </w:p>
    <w:p>
      <w:pPr>
        <w:spacing w:line="360" w:lineRule="auto"/>
        <w:ind w:firstLine="640" w:firstLineChars="200"/>
        <w:textAlignment w:val="baseline"/>
        <w:outlineLvl w:val="1"/>
        <w:rPr>
          <w:rFonts w:ascii="Times New Roman" w:hAnsi="Times New Roman" w:eastAsia="方正楷体_GBK"/>
          <w:sz w:val="32"/>
          <w:szCs w:val="32"/>
        </w:rPr>
      </w:pPr>
      <w:bookmarkStart w:id="38" w:name="_Toc91625600"/>
      <w:bookmarkStart w:id="39" w:name="_Toc182"/>
      <w:r>
        <w:rPr>
          <w:rFonts w:ascii="Times New Roman" w:hAnsi="Times New Roman" w:eastAsia="方正楷体_GBK"/>
          <w:sz w:val="32"/>
          <w:szCs w:val="32"/>
        </w:rPr>
        <w:t>（一）强化组织机构保障</w:t>
      </w:r>
      <w:bookmarkEnd w:id="38"/>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加强组织领导和统筹协调，建立江北区国际消费中心城市建设工作机制，强化部门协同和上下联动，协调制定各项政策和重大规划，推进重大项目建设，开展典型示范、目标督导和绩效评估，部署年度工作任务，构建科学有效、落实有力的工作体系。</w:t>
      </w:r>
    </w:p>
    <w:p>
      <w:pPr>
        <w:spacing w:line="360" w:lineRule="auto"/>
        <w:ind w:firstLine="640" w:firstLineChars="200"/>
        <w:textAlignment w:val="baseline"/>
        <w:outlineLvl w:val="1"/>
        <w:rPr>
          <w:rFonts w:ascii="Times New Roman" w:hAnsi="Times New Roman" w:eastAsia="方正楷体_GBK"/>
          <w:sz w:val="32"/>
          <w:szCs w:val="32"/>
        </w:rPr>
      </w:pPr>
      <w:bookmarkStart w:id="40" w:name="_Toc91625601"/>
      <w:r>
        <w:rPr>
          <w:rFonts w:ascii="Times New Roman" w:hAnsi="Times New Roman" w:eastAsia="方正楷体_GBK"/>
          <w:sz w:val="32"/>
          <w:szCs w:val="32"/>
        </w:rPr>
        <w:t>（二）加强财税金融支持</w:t>
      </w:r>
      <w:bookmarkEnd w:id="40"/>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统筹整合市级、区级财政相关专项资金，注重消费领域重点项目、重点企业、重点品牌、重点活动的支持。引入市场机制，拓展多元化融资渠道，积极引导社会各方面资金投入。加强税收征管措施研究，积极贯彻落实国家及市级出台的各项减税降费政策。</w:t>
      </w:r>
    </w:p>
    <w:p>
      <w:pPr>
        <w:spacing w:line="360" w:lineRule="auto"/>
        <w:ind w:firstLine="640" w:firstLineChars="200"/>
        <w:textAlignment w:val="baseline"/>
        <w:outlineLvl w:val="1"/>
        <w:rPr>
          <w:rFonts w:ascii="Times New Roman" w:hAnsi="Times New Roman" w:eastAsia="方正楷体_GBK"/>
          <w:sz w:val="32"/>
          <w:szCs w:val="32"/>
        </w:rPr>
      </w:pPr>
      <w:bookmarkStart w:id="41" w:name="_Toc91625602"/>
      <w:r>
        <w:rPr>
          <w:rFonts w:ascii="Times New Roman" w:hAnsi="Times New Roman" w:eastAsia="方正楷体_GBK"/>
          <w:sz w:val="32"/>
          <w:szCs w:val="32"/>
        </w:rPr>
        <w:t>（三）落实土地保障措施</w:t>
      </w:r>
      <w:bookmarkEnd w:id="41"/>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坚持“政府引导、市场主导，统筹规划、因地制宜”，优化用地政策，强化消费载体、文旅</w:t>
      </w:r>
      <w:r>
        <w:rPr>
          <w:rFonts w:hint="eastAsia" w:ascii="Times New Roman" w:hAnsi="Times New Roman" w:eastAsia="方正仿宋_GBK"/>
          <w:sz w:val="32"/>
          <w:szCs w:val="32"/>
        </w:rPr>
        <w:t>设施</w:t>
      </w:r>
      <w:r>
        <w:rPr>
          <w:rFonts w:ascii="Times New Roman" w:hAnsi="Times New Roman" w:eastAsia="方正仿宋_GBK"/>
          <w:sz w:val="32"/>
          <w:szCs w:val="32"/>
        </w:rPr>
        <w:t>等重点项目用地保障，针对新产业、新业态用地执行差异化供地价格，引导新消费产业化重大项目在产业功能区、商圈、特色街区等重点区域精准布局。</w:t>
      </w:r>
    </w:p>
    <w:p>
      <w:pPr>
        <w:spacing w:line="360" w:lineRule="auto"/>
        <w:ind w:firstLine="640" w:firstLineChars="200"/>
        <w:textAlignment w:val="baseline"/>
        <w:outlineLvl w:val="1"/>
        <w:rPr>
          <w:rFonts w:ascii="Times New Roman" w:hAnsi="Times New Roman" w:eastAsia="方正楷体_GBK"/>
          <w:sz w:val="32"/>
          <w:szCs w:val="32"/>
        </w:rPr>
      </w:pPr>
      <w:bookmarkStart w:id="42" w:name="_Toc91625603"/>
      <w:r>
        <w:rPr>
          <w:rFonts w:ascii="Times New Roman" w:hAnsi="Times New Roman" w:eastAsia="方正楷体_GBK"/>
          <w:sz w:val="32"/>
          <w:szCs w:val="32"/>
        </w:rPr>
        <w:t>（四）强化人才支撑体系</w:t>
      </w:r>
      <w:bookmarkEnd w:id="42"/>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bCs/>
          <w:sz w:val="32"/>
          <w:szCs w:val="32"/>
        </w:rPr>
        <w:t>深入实施“重庆英才计划”和“江北英才计划”等</w:t>
      </w:r>
      <w:r>
        <w:rPr>
          <w:rFonts w:ascii="Times New Roman" w:hAnsi="Times New Roman" w:eastAsia="方正仿宋_GBK"/>
          <w:sz w:val="32"/>
          <w:szCs w:val="32"/>
        </w:rPr>
        <w:t>人才工程项目</w:t>
      </w:r>
      <w:r>
        <w:rPr>
          <w:rFonts w:ascii="Times New Roman" w:hAnsi="Times New Roman" w:eastAsia="方正仿宋_GBK"/>
          <w:bCs/>
          <w:sz w:val="32"/>
          <w:szCs w:val="32"/>
        </w:rPr>
        <w:t>，</w:t>
      </w:r>
      <w:r>
        <w:rPr>
          <w:rFonts w:ascii="Times New Roman" w:hAnsi="Times New Roman" w:eastAsia="方正仿宋_GBK"/>
          <w:sz w:val="32"/>
          <w:szCs w:val="32"/>
        </w:rPr>
        <w:t>加快培养高级技术技能人才。充分利用重庆共建“一带一路”教育行动等，引进国际化、消费服务等领域专业人才。为培育和引进的高端人才做好子女入学、配偶就业、住房补贴等服务。</w:t>
      </w:r>
    </w:p>
    <w:p>
      <w:pPr>
        <w:spacing w:line="360" w:lineRule="auto"/>
        <w:ind w:firstLine="640" w:firstLineChars="200"/>
        <w:textAlignment w:val="baseline"/>
        <w:outlineLvl w:val="1"/>
        <w:rPr>
          <w:rFonts w:ascii="Times New Roman" w:hAnsi="Times New Roman" w:eastAsia="方正楷体_GBK"/>
          <w:sz w:val="32"/>
          <w:szCs w:val="32"/>
        </w:rPr>
      </w:pPr>
      <w:bookmarkStart w:id="43" w:name="_Toc91625604"/>
      <w:r>
        <w:rPr>
          <w:rFonts w:ascii="Times New Roman" w:hAnsi="Times New Roman" w:eastAsia="方正楷体_GBK"/>
          <w:sz w:val="32"/>
          <w:szCs w:val="32"/>
        </w:rPr>
        <w:t>（五）实施包容审慎监管</w:t>
      </w:r>
      <w:bookmarkEnd w:id="43"/>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实行柔性执法，对新型消费业态预留容错试错空间，实施“观察期”管理和“触发式”监管，推行非现场监管。简化证照办理，推行“一照多址”，简化许可流程，进一步优化零售新业态新模式营商环境。</w:t>
      </w:r>
    </w:p>
    <w:p>
      <w:pPr>
        <w:spacing w:line="360" w:lineRule="auto"/>
        <w:ind w:firstLine="640" w:firstLineChars="200"/>
        <w:textAlignment w:val="baseline"/>
        <w:outlineLvl w:val="1"/>
        <w:rPr>
          <w:rFonts w:ascii="Times New Roman" w:hAnsi="Times New Roman" w:eastAsia="方正楷体_GBK"/>
          <w:sz w:val="32"/>
          <w:szCs w:val="32"/>
        </w:rPr>
      </w:pPr>
      <w:bookmarkStart w:id="44" w:name="_Toc91625605"/>
      <w:r>
        <w:rPr>
          <w:rFonts w:ascii="Times New Roman" w:hAnsi="Times New Roman" w:eastAsia="方正楷体_GBK"/>
          <w:sz w:val="32"/>
          <w:szCs w:val="32"/>
        </w:rPr>
        <w:t>（六）加强监测评估考核</w:t>
      </w:r>
      <w:bookmarkEnd w:id="44"/>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建立运行监测体系，整合区级各类平台企业消费数据资源，构建统计监测大数据平台。探索引入第三方评价方法，建立健全科学公正的综合考评机制。把规划任务纳入各街道、各有关部门年度综合考核评价内，定期通报各项工作落实情况。</w:t>
      </w:r>
    </w:p>
    <w:p>
      <w:pPr>
        <w:spacing w:line="360" w:lineRule="auto"/>
        <w:ind w:firstLine="640" w:firstLineChars="200"/>
        <w:textAlignment w:val="baseline"/>
        <w:outlineLvl w:val="1"/>
        <w:rPr>
          <w:rFonts w:ascii="Times New Roman" w:hAnsi="Times New Roman" w:eastAsia="方正楷体_GBK"/>
          <w:sz w:val="32"/>
          <w:szCs w:val="32"/>
        </w:rPr>
      </w:pPr>
      <w:bookmarkStart w:id="45" w:name="_Toc91625606"/>
      <w:r>
        <w:rPr>
          <w:rFonts w:ascii="Times New Roman" w:hAnsi="Times New Roman" w:eastAsia="方正楷体_GBK"/>
          <w:sz w:val="32"/>
          <w:szCs w:val="32"/>
        </w:rPr>
        <w:t>（七）重视整体宣传引导</w:t>
      </w:r>
      <w:bookmarkEnd w:id="45"/>
    </w:p>
    <w:p>
      <w:pPr>
        <w:spacing w:line="360" w:lineRule="auto"/>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加强主流媒体和新媒体的融合应用，及时、便捷地向公众提供相关资讯及服务，加大宣传推介力度，引导广大市民、社会组织和市场主体参与到建设中来，提高全区社会各界参与度和国内外知晓度，为江北区建设国际消费中心城市创造良好的舆论环境。</w:t>
      </w:r>
    </w:p>
    <w:bookmarkEnd w:id="32"/>
    <w:bookmarkEnd w:id="33"/>
    <w:bookmarkEnd w:id="34"/>
    <w:bookmarkEnd w:id="35"/>
    <w:bookmarkEnd w:id="36"/>
    <w:bookmarkEnd w:id="39"/>
    <w:p>
      <w:pPr>
        <w:spacing w:line="360" w:lineRule="auto"/>
        <w:ind w:firstLine="640" w:firstLineChars="200"/>
        <w:textAlignment w:val="baseline"/>
        <w:rPr>
          <w:rFonts w:ascii="Times New Roman" w:hAnsi="Times New Roman"/>
          <w:color w:val="000000" w:themeColor="text1"/>
          <w:sz w:val="32"/>
          <w:szCs w:val="32"/>
          <w14:textFill>
            <w14:solidFill>
              <w14:schemeClr w14:val="tx1"/>
            </w14:solidFill>
          </w14:textFill>
        </w:rPr>
        <w:sectPr>
          <w:footerReference r:id="rId5" w:type="default"/>
          <w:pgSz w:w="11906" w:h="16838"/>
          <w:pgMar w:top="1984" w:right="1446" w:bottom="1644" w:left="1446" w:header="851" w:footer="992" w:gutter="0"/>
          <w:pgNumType w:start="1"/>
          <w:cols w:space="720" w:num="1"/>
          <w:docGrid w:type="lines" w:linePitch="312" w:charSpace="0"/>
        </w:sectPr>
      </w:pPr>
    </w:p>
    <w:p>
      <w:pPr>
        <w:pStyle w:val="2"/>
        <w:spacing w:line="360" w:lineRule="auto"/>
        <w:jc w:val="center"/>
        <w:textAlignment w:val="baseline"/>
        <w:outlineLvl w:val="0"/>
        <w:rPr>
          <w:rFonts w:ascii="Times New Roman" w:hAnsi="Times New Roman"/>
          <w:b/>
          <w:sz w:val="32"/>
          <w:szCs w:val="32"/>
        </w:rPr>
      </w:pPr>
      <w:bookmarkStart w:id="46" w:name="_Toc68815744"/>
      <w:bookmarkStart w:id="47" w:name="_Toc91625607"/>
      <w:r>
        <w:rPr>
          <w:rFonts w:ascii="Times New Roman" w:hAnsi="Times New Roman"/>
          <w:b/>
          <w:sz w:val="32"/>
          <w:szCs w:val="32"/>
        </w:rPr>
        <w:t>附表 江北区建设国际消费中心城市“十四五”规划重点项目表</w:t>
      </w:r>
      <w:bookmarkEnd w:id="46"/>
      <w:bookmarkEnd w:id="47"/>
    </w:p>
    <w:tbl>
      <w:tblPr>
        <w:tblStyle w:val="22"/>
        <w:tblW w:w="13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640"/>
        <w:gridCol w:w="1285"/>
        <w:gridCol w:w="6835"/>
        <w:gridCol w:w="121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blHeader/>
        </w:trPr>
        <w:tc>
          <w:tcPr>
            <w:tcW w:w="715" w:type="dxa"/>
            <w:vMerge w:val="restart"/>
            <w:shd w:val="clear" w:color="auto" w:fill="auto"/>
            <w:vAlign w:val="center"/>
          </w:tcPr>
          <w:p>
            <w:pPr>
              <w:widowControl/>
              <w:jc w:val="center"/>
              <w:textAlignment w:val="baseline"/>
              <w:rPr>
                <w:rFonts w:ascii="Times New Roman" w:hAnsi="Times New Roman"/>
                <w:b/>
                <w:bCs/>
                <w:kern w:val="0"/>
                <w:sz w:val="20"/>
                <w:szCs w:val="20"/>
              </w:rPr>
            </w:pPr>
            <w:r>
              <w:rPr>
                <w:rFonts w:ascii="Times New Roman" w:hAnsi="Times New Roman"/>
                <w:b/>
                <w:bCs/>
                <w:kern w:val="0"/>
                <w:sz w:val="20"/>
                <w:szCs w:val="20"/>
              </w:rPr>
              <w:t>序号</w:t>
            </w:r>
          </w:p>
        </w:tc>
        <w:tc>
          <w:tcPr>
            <w:tcW w:w="2640" w:type="dxa"/>
            <w:vMerge w:val="restart"/>
            <w:shd w:val="clear" w:color="auto" w:fill="auto"/>
            <w:vAlign w:val="center"/>
          </w:tcPr>
          <w:p>
            <w:pPr>
              <w:widowControl/>
              <w:jc w:val="center"/>
              <w:textAlignment w:val="baseline"/>
              <w:rPr>
                <w:rFonts w:ascii="Times New Roman" w:hAnsi="Times New Roman"/>
                <w:b/>
                <w:bCs/>
                <w:kern w:val="0"/>
                <w:sz w:val="20"/>
                <w:szCs w:val="20"/>
              </w:rPr>
            </w:pPr>
            <w:r>
              <w:rPr>
                <w:rFonts w:ascii="Times New Roman" w:hAnsi="Times New Roman"/>
                <w:b/>
                <w:bCs/>
                <w:kern w:val="0"/>
                <w:sz w:val="20"/>
                <w:szCs w:val="20"/>
              </w:rPr>
              <w:t>项目名称</w:t>
            </w:r>
          </w:p>
        </w:tc>
        <w:tc>
          <w:tcPr>
            <w:tcW w:w="1285" w:type="dxa"/>
            <w:vMerge w:val="restart"/>
            <w:shd w:val="clear" w:color="auto" w:fill="auto"/>
            <w:vAlign w:val="center"/>
          </w:tcPr>
          <w:p>
            <w:pPr>
              <w:widowControl/>
              <w:jc w:val="center"/>
              <w:textAlignment w:val="baseline"/>
              <w:rPr>
                <w:rFonts w:ascii="Times New Roman" w:hAnsi="Times New Roman"/>
                <w:b/>
                <w:bCs/>
                <w:kern w:val="0"/>
                <w:sz w:val="20"/>
                <w:szCs w:val="20"/>
              </w:rPr>
            </w:pPr>
            <w:r>
              <w:rPr>
                <w:rFonts w:ascii="Times New Roman" w:hAnsi="Times New Roman"/>
                <w:b/>
                <w:bCs/>
                <w:kern w:val="0"/>
                <w:sz w:val="20"/>
                <w:szCs w:val="20"/>
              </w:rPr>
              <w:t>建设地址</w:t>
            </w:r>
          </w:p>
        </w:tc>
        <w:tc>
          <w:tcPr>
            <w:tcW w:w="6835" w:type="dxa"/>
            <w:vMerge w:val="restart"/>
            <w:shd w:val="clear" w:color="auto" w:fill="auto"/>
            <w:vAlign w:val="center"/>
          </w:tcPr>
          <w:p>
            <w:pPr>
              <w:widowControl/>
              <w:jc w:val="center"/>
              <w:textAlignment w:val="baseline"/>
              <w:rPr>
                <w:rFonts w:ascii="Times New Roman" w:hAnsi="Times New Roman"/>
                <w:b/>
                <w:bCs/>
                <w:kern w:val="0"/>
                <w:sz w:val="20"/>
                <w:szCs w:val="20"/>
              </w:rPr>
            </w:pPr>
            <w:r>
              <w:rPr>
                <w:rFonts w:ascii="Times New Roman" w:hAnsi="Times New Roman"/>
                <w:b/>
                <w:bCs/>
                <w:kern w:val="0"/>
                <w:sz w:val="20"/>
                <w:szCs w:val="20"/>
              </w:rPr>
              <w:t>建设规模及主要建设内容</w:t>
            </w:r>
          </w:p>
        </w:tc>
        <w:tc>
          <w:tcPr>
            <w:tcW w:w="1215" w:type="dxa"/>
            <w:vMerge w:val="restart"/>
            <w:shd w:val="clear" w:color="auto" w:fill="auto"/>
            <w:vAlign w:val="center"/>
          </w:tcPr>
          <w:p>
            <w:pPr>
              <w:widowControl/>
              <w:jc w:val="center"/>
              <w:textAlignment w:val="baseline"/>
              <w:rPr>
                <w:rFonts w:ascii="Times New Roman" w:hAnsi="Times New Roman"/>
                <w:b/>
                <w:bCs/>
                <w:kern w:val="0"/>
                <w:sz w:val="20"/>
                <w:szCs w:val="20"/>
              </w:rPr>
            </w:pPr>
            <w:r>
              <w:rPr>
                <w:rFonts w:ascii="Times New Roman" w:hAnsi="Times New Roman"/>
                <w:b/>
                <w:bCs/>
                <w:kern w:val="0"/>
                <w:sz w:val="20"/>
                <w:szCs w:val="20"/>
              </w:rPr>
              <w:t>总投资    （万元）</w:t>
            </w:r>
          </w:p>
        </w:tc>
        <w:tc>
          <w:tcPr>
            <w:tcW w:w="1277" w:type="dxa"/>
            <w:vMerge w:val="restart"/>
            <w:shd w:val="clear" w:color="auto" w:fill="auto"/>
            <w:vAlign w:val="center"/>
          </w:tcPr>
          <w:p>
            <w:pPr>
              <w:widowControl/>
              <w:jc w:val="center"/>
              <w:textAlignment w:val="baseline"/>
              <w:rPr>
                <w:rFonts w:ascii="Times New Roman" w:hAnsi="Times New Roman"/>
                <w:b/>
                <w:bCs/>
                <w:kern w:val="0"/>
                <w:sz w:val="20"/>
                <w:szCs w:val="20"/>
              </w:rPr>
            </w:pPr>
            <w:r>
              <w:rPr>
                <w:rFonts w:ascii="Times New Roman" w:hAnsi="Times New Roman"/>
                <w:b/>
                <w:bCs/>
                <w:kern w:val="0"/>
                <w:sz w:val="20"/>
                <w:szCs w:val="20"/>
              </w:rPr>
              <w:t>建设年限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blHeader/>
        </w:trPr>
        <w:tc>
          <w:tcPr>
            <w:tcW w:w="715" w:type="dxa"/>
            <w:vMerge w:val="continue"/>
            <w:vAlign w:val="center"/>
          </w:tcPr>
          <w:p>
            <w:pPr>
              <w:textAlignment w:val="baseline"/>
              <w:rPr>
                <w:rFonts w:ascii="Times New Roman" w:hAnsi="Times New Roman"/>
                <w:sz w:val="20"/>
              </w:rPr>
            </w:pPr>
          </w:p>
        </w:tc>
        <w:tc>
          <w:tcPr>
            <w:tcW w:w="2640" w:type="dxa"/>
            <w:vMerge w:val="continue"/>
            <w:vAlign w:val="center"/>
          </w:tcPr>
          <w:p>
            <w:pPr>
              <w:textAlignment w:val="baseline"/>
              <w:rPr>
                <w:rFonts w:ascii="Times New Roman" w:hAnsi="Times New Roman"/>
                <w:sz w:val="20"/>
              </w:rPr>
            </w:pPr>
          </w:p>
        </w:tc>
        <w:tc>
          <w:tcPr>
            <w:tcW w:w="1285" w:type="dxa"/>
            <w:vMerge w:val="continue"/>
            <w:vAlign w:val="center"/>
          </w:tcPr>
          <w:p>
            <w:pPr>
              <w:textAlignment w:val="baseline"/>
              <w:rPr>
                <w:rFonts w:ascii="Times New Roman" w:hAnsi="Times New Roman"/>
                <w:sz w:val="20"/>
              </w:rPr>
            </w:pPr>
          </w:p>
        </w:tc>
        <w:tc>
          <w:tcPr>
            <w:tcW w:w="6835" w:type="dxa"/>
            <w:vMerge w:val="continue"/>
            <w:vAlign w:val="center"/>
          </w:tcPr>
          <w:p>
            <w:pPr>
              <w:textAlignment w:val="baseline"/>
              <w:rPr>
                <w:rFonts w:ascii="Times New Roman" w:hAnsi="Times New Roman"/>
                <w:sz w:val="20"/>
              </w:rPr>
            </w:pPr>
          </w:p>
        </w:tc>
        <w:tc>
          <w:tcPr>
            <w:tcW w:w="1215" w:type="dxa"/>
            <w:vMerge w:val="continue"/>
            <w:vAlign w:val="center"/>
          </w:tcPr>
          <w:p>
            <w:pPr>
              <w:textAlignment w:val="baseline"/>
              <w:rPr>
                <w:rFonts w:ascii="Times New Roman" w:hAnsi="Times New Roman"/>
                <w:sz w:val="20"/>
              </w:rPr>
            </w:pPr>
          </w:p>
        </w:tc>
        <w:tc>
          <w:tcPr>
            <w:tcW w:w="1277" w:type="dxa"/>
            <w:vMerge w:val="continue"/>
            <w:vAlign w:val="center"/>
          </w:tcPr>
          <w:p>
            <w:pPr>
              <w:textAlignment w:val="baseline"/>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15" w:type="dxa"/>
            <w:shd w:val="clear" w:color="auto" w:fill="auto"/>
            <w:vAlign w:val="center"/>
          </w:tcPr>
          <w:p>
            <w:pPr>
              <w:widowControl/>
              <w:jc w:val="center"/>
              <w:textAlignment w:val="baseline"/>
              <w:rPr>
                <w:rFonts w:ascii="Times New Roman" w:hAnsi="Times New Roman"/>
                <w:b/>
                <w:bCs/>
                <w:kern w:val="0"/>
                <w:sz w:val="20"/>
                <w:szCs w:val="20"/>
              </w:rPr>
            </w:pPr>
            <w:r>
              <w:rPr>
                <w:rFonts w:ascii="Times New Roman" w:hAnsi="Times New Roman"/>
                <w:b/>
                <w:bCs/>
                <w:kern w:val="0"/>
                <w:sz w:val="20"/>
                <w:szCs w:val="20"/>
              </w:rPr>
              <w:t>一</w:t>
            </w:r>
          </w:p>
        </w:tc>
        <w:tc>
          <w:tcPr>
            <w:tcW w:w="13252" w:type="dxa"/>
            <w:gridSpan w:val="5"/>
            <w:shd w:val="clear" w:color="auto" w:fill="auto"/>
            <w:vAlign w:val="center"/>
          </w:tcPr>
          <w:p>
            <w:pPr>
              <w:widowControl/>
              <w:jc w:val="left"/>
              <w:textAlignment w:val="baseline"/>
              <w:rPr>
                <w:rFonts w:ascii="Times New Roman" w:hAnsi="Times New Roman"/>
                <w:b/>
                <w:bCs/>
                <w:kern w:val="0"/>
                <w:sz w:val="20"/>
                <w:szCs w:val="20"/>
              </w:rPr>
            </w:pPr>
            <w:r>
              <w:rPr>
                <w:rFonts w:ascii="Times New Roman" w:hAnsi="Times New Roman"/>
                <w:b/>
                <w:bCs/>
                <w:kern w:val="0"/>
                <w:sz w:val="20"/>
                <w:szCs w:val="20"/>
              </w:rPr>
              <w:t>消费载体项目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重庆时代中心（原隆鑫中心）</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观音桥街道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项目总建筑面积约38万平方米，包含南北商业裙楼、三栋塔楼及7层地下车库的商业综合体。</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450000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2013-2023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新华协信中心项目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观音桥街道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项目总建筑面积约18万平方米，主要建设内容为高端品牌购物中心、5A甲级写字楼、服务室精装公寓三大业态的商业综合体。</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298887</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2016-2021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龙湖北城天街提档升级项目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观音桥街道</w:t>
            </w:r>
          </w:p>
        </w:tc>
        <w:tc>
          <w:tcPr>
            <w:tcW w:w="6835"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项目总建筑面积约15万平方米，主要建设内容为北城天街外立面整体提档升级。</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12000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2020-2022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电测村项目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观音桥街道</w:t>
            </w:r>
          </w:p>
        </w:tc>
        <w:tc>
          <w:tcPr>
            <w:tcW w:w="6835"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总占地面积约1400亩，总投资额约1000亿元，目前处于征地拆迁阶段，未来将打造观音桥组团及周边地区高端城市综合体。</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10000000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香港置地商业项目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观音桥街道</w:t>
            </w:r>
          </w:p>
        </w:tc>
        <w:tc>
          <w:tcPr>
            <w:tcW w:w="6835"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位于观音桥商圈小苑板块，商业面积约6.2万平方米，定位于时尚特色文化综合购物中心。</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6</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大九街升级改造项目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观音桥街道</w:t>
            </w:r>
          </w:p>
        </w:tc>
        <w:tc>
          <w:tcPr>
            <w:tcW w:w="6835"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项目主要建设内容为整体项目改造升级，涉及九街、C星球等项目外立面改造、新建标志性建筑物、户外停车场改造、人行道树移栽、新增过街斑马线等。</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7500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7</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江北嘴国际金融中心（A-one）</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江北城街道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项目占地面积约2.91万平方米，总建筑面积约70.6万平方米。</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2000000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2018-2026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8</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世贸城市之门</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江北城街道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项目占地面积约3.47万平方米，总建筑规模约48.6万平方米，将打造成滨江商业综合体。</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450000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9</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江北嘴中央商务区三洞桥民俗风情街</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江北城街道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项目总建筑面积5.45万平方米，其中商业3.7万平方米（已建成0.6万平方米），车库1.75万平方米。</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41100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2019-2021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10</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渔人湾码头项目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石马河街道</w:t>
            </w:r>
          </w:p>
        </w:tc>
        <w:tc>
          <w:tcPr>
            <w:tcW w:w="6835"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项目占地30亩，整体建筑11.3万平方米，桥下空间约2.6万平方米，合计约14万平方米。将项目打造为特色商业综合体。</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80000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2020 -2022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11</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全球汇·食品展购中心</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石马河街道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项目总建筑面积43536平方米，主要建设内容为打造以全球进口食品为特色的全球汇·食品展购中心。</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12</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观农贸城市配送公共信息平台</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石马河街道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项目拟打造适合公司的线上交易平台。</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3200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2020-2022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13</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观农贸数字商贸交易平台</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石马河街道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项目拟打造线上线下相贯通的城市配送公共信息平台。</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2020-2022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14</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洋炮局·1862文创园</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大石坝街道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项目总占地面积323 亩，包含 29 处文保建筑和 1.3 公里嘉陵江岸线，现有建筑面积38310 平方米，首开区建筑面积 19026 平方米， 旨在打造国内知名兵工主题旅游目的地和文创园。</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2020-2023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15</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长安三厂项目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五里店街道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项目主要建设内容为拟打造开放式、低密度的街区形态购物中心。</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1000000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2020 -2025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16</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莺花渡、莺花巷、莺花厢项目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五里店街道</w:t>
            </w:r>
          </w:p>
        </w:tc>
        <w:tc>
          <w:tcPr>
            <w:tcW w:w="6835"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项目位于五里店建新东路至北滨二路区域。通过改造莺花厢、莺花渡、莺花巷，打造成为文创基地，夜间艺术街区、青年聚集地，夜间网红打卡地。</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17</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重庆数字科技产业基地（陆维创新中心）</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五里店街道</w:t>
            </w:r>
          </w:p>
        </w:tc>
        <w:tc>
          <w:tcPr>
            <w:tcW w:w="6835"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项目总规划面积12万平方米，依托圣博华康·米曼产城的在数字经济和科技创新领域的优势资源，以及全国20个产业园区的运营经验，集成以数字经济和科技创新为核心主导产业，重点培育和发展直播电商、网红经济、文化创意、硬科技、创新创业和乡村振兴等核心产业板块。全力打造重庆市产地直播示范基地（数字经济）和科技创新示范基地。并力争5年内创建具有鲜明特色和社会经济效益的国家级孵化器。</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120000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18</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丝路花街</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寸滩街道</w:t>
            </w:r>
          </w:p>
        </w:tc>
        <w:tc>
          <w:tcPr>
            <w:tcW w:w="6835"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丝路花街设计总长约1.5公里，景观提升面积约8.8公顷，总投资约2亿元。按照“一段一景一风情”的建设思路，“启、承、转、合”（包括中原文化、西域文化、波斯文化、世界文化）的空间布局，全面融入“一带一路”文化元素，布陈具有异域风情特色的“花”的创意艺术装置，沿街设置8个风格各异的景观小品，布置五彩缤纷的花卉园艺，以智慧景观灯、立面体感互动灯光、全息投影等灯饰系统作为营造氛围配套，布局智慧体验设施，具有“白天看花，晚上看灯”的两大亮点。</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19</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寸滩游轮母港项目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寸滩街道</w:t>
            </w:r>
          </w:p>
        </w:tc>
        <w:tc>
          <w:tcPr>
            <w:tcW w:w="6835"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该项目位于寸滩港，建设寸滩邮轮旅游度假区和国际风情街，拟打造一个集邮轮旅游、文化休闲、保税服务贸易以及商务办公等为一体的综合体。</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跨境电商产业园项目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寸滩街道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拟培育“保税自营+直采”、“海外品牌直供+国内保税仓备货”等跨境电子商务模式；推进跨境电子商务综合试验区和园区建设，积极构建跨境电子商务产业链，支持跨境电子商务零售出口企业加强与境外企业合作，通过规范的“海外仓”、体验店和配送网店等模式，融入境外零售体系。</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21</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海尔路二手城</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寸滩街道</w:t>
            </w:r>
          </w:p>
        </w:tc>
        <w:tc>
          <w:tcPr>
            <w:tcW w:w="6835"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项目总建筑面积20万平方米，主要建设内容为对现有场地按国家旧货市场规范改建。</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2020-2025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22</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果园港大宗生产资料交易平台项目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鱼嘴镇</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建设大宗生产资料交易中心3000平方米，金融监管仓60万平方米，以及交易软件、配套仪器设备购置。</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23</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果园港保税仓库建设项目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鱼嘴镇</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建设保税仓库18万平方米，配套设施建设，及仪器设备购置。</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120000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24</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果园港物流枢纽经济总部基地二期</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鱼嘴镇</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用地面积100亩，建设办公室、会议室、展示厅、档案室等及配套设施面积20万平方米。</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160000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2022-2025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25</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星汇龙盛国际贸易中心项目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鱼嘴镇</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项目总建筑面积约 24.6 万平方米，主要建设内容为拟打造“一带一路”商品展示交易区、多式联运指挥中心、物流龙头企业和货代公司办公区、高端酒店和公寓等。</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120000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2020-2025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26</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渝新欧新兴消费品全产业链园项目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鱼嘴镇</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项目总建筑面积93571.4平方米，为解决仓储、物流业务方面的短板，物流仓储用地的实施，推动观农贸的转型升级。</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54000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27</w:t>
            </w:r>
          </w:p>
        </w:tc>
        <w:tc>
          <w:tcPr>
            <w:tcW w:w="2640" w:type="dxa"/>
            <w:shd w:val="clear" w:color="000000" w:fill="FFFFFF"/>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唐家沱老街</w:t>
            </w:r>
          </w:p>
        </w:tc>
        <w:tc>
          <w:tcPr>
            <w:tcW w:w="1285" w:type="dxa"/>
            <w:shd w:val="clear" w:color="000000" w:fill="FFFFFF"/>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铁山坪街道</w:t>
            </w:r>
          </w:p>
        </w:tc>
        <w:tc>
          <w:tcPr>
            <w:tcW w:w="6835" w:type="dxa"/>
            <w:shd w:val="clear" w:color="000000" w:fill="FFFFFF"/>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位于唐桂新城西南角，依托独有的 “山、河、江、峡、湾” 自然景观，通过挖掘深厚的历史人文故事，定位打造城市休闲文旅新名片。</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15" w:type="dxa"/>
            <w:shd w:val="clear" w:color="auto" w:fill="auto"/>
            <w:vAlign w:val="center"/>
          </w:tcPr>
          <w:p>
            <w:pPr>
              <w:widowControl/>
              <w:jc w:val="center"/>
              <w:textAlignment w:val="baseline"/>
              <w:rPr>
                <w:rFonts w:ascii="Times New Roman" w:hAnsi="Times New Roman"/>
                <w:b/>
                <w:bCs/>
                <w:kern w:val="0"/>
                <w:sz w:val="20"/>
                <w:szCs w:val="20"/>
              </w:rPr>
            </w:pPr>
            <w:r>
              <w:rPr>
                <w:rFonts w:ascii="Times New Roman" w:hAnsi="Times New Roman"/>
                <w:b/>
                <w:bCs/>
                <w:kern w:val="0"/>
                <w:sz w:val="20"/>
                <w:szCs w:val="20"/>
              </w:rPr>
              <w:t>二</w:t>
            </w:r>
          </w:p>
        </w:tc>
        <w:tc>
          <w:tcPr>
            <w:tcW w:w="13252" w:type="dxa"/>
            <w:gridSpan w:val="5"/>
            <w:shd w:val="clear" w:color="auto" w:fill="auto"/>
            <w:vAlign w:val="center"/>
          </w:tcPr>
          <w:p>
            <w:pPr>
              <w:widowControl/>
              <w:jc w:val="left"/>
              <w:textAlignment w:val="baseline"/>
              <w:rPr>
                <w:rFonts w:ascii="Times New Roman" w:hAnsi="Times New Roman"/>
                <w:b/>
                <w:bCs/>
                <w:kern w:val="0"/>
                <w:sz w:val="20"/>
                <w:szCs w:val="20"/>
              </w:rPr>
            </w:pPr>
            <w:r>
              <w:rPr>
                <w:rFonts w:ascii="Times New Roman" w:hAnsi="Times New Roman"/>
                <w:b/>
                <w:bCs/>
                <w:kern w:val="0"/>
                <w:sz w:val="20"/>
                <w:szCs w:val="20"/>
              </w:rPr>
              <w:t>消费环境优化及配套设施建设项目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28</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观音桥步行街改造提升工程</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观音桥街道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项目拟对步行街景观、建筑、灯饰等进行改造提升。</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6000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29</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观音桥商圈缓堵二期工程</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观音桥街道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项目通过取消或更换区域物理隔离设施，增加信号灯等方式对环道沿线、建新南路匝道等区域交通组织进行进一步整治，较大程度缓解交通拥堵状况。</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30</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观音桥商圈一期步行街路灯改造工程</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观音桥街道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项目拟更换商圈一期步行街两侧约32盏景观灯，更换南端2盏高杆灯，对线路进行疏通，提升控制系统。</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350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31</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商圈环道景观改造工程</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观音桥街道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项目拟对观音桥环道人行道铺装、树池、灯饰等进行整体改造。</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32</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观音桥智慧交通项目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观音桥街道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 xml:space="preserve">项目的建设内容主要为应用服务系统、数据智能系统、路内泊位改造、停车场出入口架设摄像头等。         </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780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 xml:space="preserve">2022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33</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观音桥智慧城管项目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观音桥街道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项目的建设内容主要为商圈城市治理应用系统建设、视频智能分析系统，及系统依赖的硬件、平台软件、云资源服务等。</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550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34</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观音桥商圈环道路灯改造工程</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观音桥街道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项目拟更换商圈环道约100盏景观灯，对线路进行疏通，更换部分新电缆。</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35</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江北嘴中央公园提升工程</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江北城街道</w:t>
            </w:r>
          </w:p>
        </w:tc>
        <w:tc>
          <w:tcPr>
            <w:tcW w:w="6835"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项目拟对江北嘴公园进行改造提升建设。</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36</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江北嘴片区道路提档升级工程</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江北城街道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项目拟对对北滨一路、北滨二路及江北城片区沿线人行道进行整治，对金沙门路、聚贤街、东升门路、汇川门路及大剧院周边道路等人行路面砖进行提档升级工作，整治面积约5.4万平方米。</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1633</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37</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大剧院—江北城大街山城步道提升工程（大剧院轴线景观提升工程）</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江北城街道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项目拟对大剧院至江北城大街步道改造提升，长度约1公里。</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700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38</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三洞桥风情街—江北城西大街山城步道工程</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江北城街道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项目拟新建三洞桥风情街至江北城西大街步道，含部分路段改造提档</w:t>
            </w:r>
            <w:bookmarkStart w:id="48" w:name="突出显示"/>
            <w:r>
              <w:rPr>
                <w:rFonts w:ascii="Times New Roman" w:hAnsi="Times New Roman"/>
                <w:kern w:val="0"/>
                <w:sz w:val="20"/>
                <w:szCs w:val="20"/>
              </w:rPr>
              <w:t>升级</w:t>
            </w:r>
            <w:bookmarkEnd w:id="48"/>
            <w:r>
              <w:rPr>
                <w:rFonts w:ascii="Times New Roman" w:hAnsi="Times New Roman"/>
                <w:kern w:val="0"/>
                <w:sz w:val="20"/>
                <w:szCs w:val="20"/>
              </w:rPr>
              <w:t>，约1.2公里。</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39</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江北嘴江滩公园</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江北城街道</w:t>
            </w:r>
          </w:p>
        </w:tc>
        <w:tc>
          <w:tcPr>
            <w:tcW w:w="6835"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北滨路长安码头至塔子山观音寺，岸线长约6.1公里，其中核心区建设内容包括纵向贯通聚贤岩公园与滨江生态系统的联系，改造硬质及高边坡岸线，建设江北嘴滩涂湿地公园，实施江北嘴大台阶生态化改造、两江三桥步道建设和山城阳台改造提升等。重点打造“莺花古渡、金沙火井、三台九趣、故城觅踪、长嘉汇流”五大景区。</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56000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2020 -2023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40</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聚贤街北侧单项匝道建设工程</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江北城街道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项目拟在聚贤街北侧建设条单向匝道， 长约190米，宽约4米。建设内容涵盖道路工程、 管网工程及其他相关附属工程等。</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7500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41</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庆云路至五简路上跨匝道建设工程</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江北城街道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项目拟在聚贤街北侧建设一条上跨双向匝道，长约500米,宽约10米。建设内容涵盖道路工程、管网工程及其他相关附属工程等。</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7500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42</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聚贤街商街轴线建设</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江北城街道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聚贤街（聚贤金街）长约650米，拟种植天竺桂、西府海棠。建设内容涵盖植物种植、步行道辅装、建筑小品、市政服务设施、交通安全设施等。</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4500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43</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盘溪河滨江段“两江四岸”治理提升工程</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大石坝街道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起点始于北滨一路（南北走向段），终点止于高家花园大桥桥头，全长约1.9公里，总面积约55.46公顷，工程内容包含但不限于盘溪河口公园提升、桥下空间装饰、休闲驿站、景观廊架、极限运动场地、景观步道、绿化提升。</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55703</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2020 -2024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44</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相国寺码头滨江段“两江四岸”治理提升工程</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大石坝街道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项目位于江北区北滨一路滨水带，南面嘉陵江，东接嘉陵江大桥，西至金源路。全长约1.6公里，总面积约23公顷，工程内容包含但不限于消落区生态修复、景观步道、绿化提升、运动场地、污水口治理。</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37000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2020-2023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45</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北滨路洋炮局段“两江四岸”治理提升贯通工程（1862洋炮局文创生态滩段）</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大石坝街道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项目位于江北区北滨一路，东起金源路，西至石门码头，全长约5.2公里，面积约82.43公顷。工程内容包含但不限于消落区生态修复、景观步道、绿化提升、运动场地、休闲驿站</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70000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46</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北滨路长安码头段“两江四岸”治理提升贯通工程（星悦活力湾段）</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大石坝街道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项目位于江北区北滨一路，东起长安码头，西至嘉陵江大桥，全长约2.13公里，面积约20.2公顷。工程内容包含但不限于消落区生态修复、景观步道、绿化提升、运动场地、休闲驿站。</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18000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47</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朝天门大桥桥头公园项目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五里店街道</w:t>
            </w:r>
          </w:p>
        </w:tc>
        <w:tc>
          <w:tcPr>
            <w:tcW w:w="6835"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项目拟对朝天门大桥进入江北区的两侧用地进行公园景观打造，红线范围面积约107678平方米，建设内容主要包括公园各节点景观打造、地下停车场、植物梳理改造、管理用房及水电设施等建设。</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45000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48</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五江路人行系统</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五里店街道</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项目拟新建五江路人行系统，连接南方上格林与金融城五期。</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950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49</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果园港临港应用研发经济产业区</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鱼嘴镇</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建设企业区域应用型研发中心20万平方米，物流总部办公、生活等设施60万平方米，及其他配套设施。</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500000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50</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果园港金融科技信用平台项目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鱼嘴镇</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建设金融科技信用设施3000平方米，以及软件、仪器设备购置。</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51</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果园港国家物流枢纽智慧运营中心</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鱼嘴镇</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建筑面积2万平方米，信息软件购置，及配套仪器设备购置。</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52</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果园港综合保税区功能建设项目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鱼嘴镇</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用地面积700亩，建筑国际中转、配送、采购、转口贸易和出口加工等基础设施60万平方米。</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360000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53</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中新重庆多式联运示范基地项目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鱼嘴镇</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占地520亩，建设仓储、中转分拨等设施12万平方米，集装箱堆场25万平方米，及配套仪器设备购置。</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100000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54</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水港集装箱集疏运中心建设项目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鱼嘴镇</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占地128亩，建设仓储、分拨、集运等基础设施4.2万平方米，配套设施建设，及仪器设备购置。</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30000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55</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果园港空港虚拟货站项目</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鱼嘴镇</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建设空港虚拟货站10000平方米，购置软件系统，及配套仪器设备购置。</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56</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5G基站建设</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江北全区</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项目拟建设5G基站，实现城区5G信号基本全覆盖。</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9661</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57</w:t>
            </w:r>
          </w:p>
        </w:tc>
        <w:tc>
          <w:tcPr>
            <w:tcW w:w="2640" w:type="dxa"/>
            <w:shd w:val="clear" w:color="auto" w:fill="auto"/>
            <w:vAlign w:val="center"/>
          </w:tcPr>
          <w:p>
            <w:pPr>
              <w:widowControl/>
              <w:jc w:val="left"/>
              <w:textAlignment w:val="baseline"/>
              <w:rPr>
                <w:rFonts w:ascii="Times New Roman" w:hAnsi="Times New Roman"/>
                <w:kern w:val="0"/>
                <w:sz w:val="20"/>
                <w:szCs w:val="20"/>
              </w:rPr>
            </w:pPr>
            <w:r>
              <w:rPr>
                <w:rFonts w:ascii="Times New Roman" w:hAnsi="Times New Roman"/>
                <w:kern w:val="0"/>
                <w:sz w:val="20"/>
                <w:szCs w:val="20"/>
              </w:rPr>
              <w:t>旅游形象标识系统工程</w:t>
            </w:r>
          </w:p>
        </w:tc>
        <w:tc>
          <w:tcPr>
            <w:tcW w:w="128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江北全区</w:t>
            </w:r>
          </w:p>
        </w:tc>
        <w:tc>
          <w:tcPr>
            <w:tcW w:w="6835" w:type="dxa"/>
            <w:shd w:val="clear" w:color="auto" w:fill="auto"/>
            <w:vAlign w:val="center"/>
          </w:tcPr>
          <w:p>
            <w:pPr>
              <w:widowControl/>
              <w:textAlignment w:val="baseline"/>
              <w:rPr>
                <w:rFonts w:ascii="Times New Roman" w:hAnsi="Times New Roman"/>
                <w:kern w:val="0"/>
                <w:sz w:val="20"/>
                <w:szCs w:val="20"/>
              </w:rPr>
            </w:pPr>
            <w:r>
              <w:rPr>
                <w:rFonts w:ascii="Times New Roman" w:hAnsi="Times New Roman"/>
                <w:kern w:val="0"/>
                <w:sz w:val="20"/>
                <w:szCs w:val="20"/>
              </w:rPr>
              <w:t>项目拟实施景区城市家具、标识系统提升，按5A景区标准统一景区游览图、标识系统和功能给个信息图形符合。</w:t>
            </w:r>
          </w:p>
        </w:tc>
        <w:tc>
          <w:tcPr>
            <w:tcW w:w="1215"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5000</w:t>
            </w:r>
          </w:p>
        </w:tc>
        <w:tc>
          <w:tcPr>
            <w:tcW w:w="1277" w:type="dxa"/>
            <w:shd w:val="clear" w:color="auto" w:fill="auto"/>
            <w:vAlign w:val="center"/>
          </w:tcPr>
          <w:p>
            <w:pPr>
              <w:widowControl/>
              <w:jc w:val="center"/>
              <w:textAlignment w:val="baseline"/>
              <w:rPr>
                <w:rFonts w:ascii="Times New Roman" w:hAnsi="Times New Roman"/>
                <w:kern w:val="0"/>
                <w:sz w:val="20"/>
                <w:szCs w:val="20"/>
              </w:rPr>
            </w:pPr>
            <w:r>
              <w:rPr>
                <w:rFonts w:ascii="Times New Roman" w:hAnsi="Times New Roman"/>
                <w:kern w:val="0"/>
                <w:sz w:val="20"/>
                <w:szCs w:val="20"/>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15" w:type="dxa"/>
            <w:shd w:val="clear" w:color="auto" w:fill="auto"/>
            <w:vAlign w:val="center"/>
          </w:tcPr>
          <w:p>
            <w:pPr>
              <w:widowControl/>
              <w:jc w:val="center"/>
              <w:textAlignment w:val="baseline"/>
              <w:rPr>
                <w:rFonts w:ascii="Times New Roman" w:hAnsi="Times New Roman"/>
                <w:b/>
                <w:bCs/>
                <w:kern w:val="0"/>
                <w:sz w:val="20"/>
                <w:szCs w:val="20"/>
              </w:rPr>
            </w:pPr>
            <w:r>
              <w:rPr>
                <w:rFonts w:ascii="Times New Roman" w:hAnsi="Times New Roman"/>
                <w:b/>
                <w:bCs/>
                <w:kern w:val="0"/>
                <w:sz w:val="20"/>
                <w:szCs w:val="20"/>
              </w:rPr>
              <w:t>　</w:t>
            </w:r>
          </w:p>
        </w:tc>
        <w:tc>
          <w:tcPr>
            <w:tcW w:w="2640" w:type="dxa"/>
            <w:shd w:val="clear" w:color="auto" w:fill="auto"/>
            <w:vAlign w:val="center"/>
          </w:tcPr>
          <w:p>
            <w:pPr>
              <w:widowControl/>
              <w:jc w:val="center"/>
              <w:textAlignment w:val="baseline"/>
              <w:rPr>
                <w:rFonts w:ascii="Times New Roman" w:hAnsi="Times New Roman"/>
                <w:b/>
                <w:bCs/>
                <w:kern w:val="0"/>
                <w:sz w:val="20"/>
                <w:szCs w:val="20"/>
              </w:rPr>
            </w:pPr>
            <w:r>
              <w:rPr>
                <w:rFonts w:ascii="Times New Roman" w:hAnsi="Times New Roman"/>
                <w:b/>
                <w:bCs/>
                <w:kern w:val="0"/>
                <w:sz w:val="20"/>
                <w:szCs w:val="20"/>
              </w:rPr>
              <w:t>合计</w:t>
            </w:r>
          </w:p>
        </w:tc>
        <w:tc>
          <w:tcPr>
            <w:tcW w:w="1285" w:type="dxa"/>
            <w:shd w:val="clear" w:color="auto" w:fill="auto"/>
            <w:vAlign w:val="center"/>
          </w:tcPr>
          <w:p>
            <w:pPr>
              <w:widowControl/>
              <w:jc w:val="center"/>
              <w:textAlignment w:val="baseline"/>
              <w:rPr>
                <w:rFonts w:ascii="Times New Roman" w:hAnsi="Times New Roman"/>
                <w:b/>
                <w:bCs/>
                <w:kern w:val="0"/>
                <w:sz w:val="20"/>
                <w:szCs w:val="20"/>
              </w:rPr>
            </w:pPr>
            <w:r>
              <w:rPr>
                <w:rFonts w:ascii="Times New Roman" w:hAnsi="Times New Roman"/>
                <w:b/>
                <w:bCs/>
                <w:kern w:val="0"/>
                <w:sz w:val="20"/>
                <w:szCs w:val="20"/>
              </w:rPr>
              <w:t>　</w:t>
            </w:r>
          </w:p>
        </w:tc>
        <w:tc>
          <w:tcPr>
            <w:tcW w:w="6835" w:type="dxa"/>
            <w:shd w:val="clear" w:color="auto" w:fill="auto"/>
            <w:vAlign w:val="center"/>
          </w:tcPr>
          <w:p>
            <w:pPr>
              <w:widowControl/>
              <w:jc w:val="left"/>
              <w:textAlignment w:val="baseline"/>
              <w:rPr>
                <w:rFonts w:ascii="Times New Roman" w:hAnsi="Times New Roman"/>
                <w:b/>
                <w:bCs/>
                <w:kern w:val="0"/>
                <w:sz w:val="22"/>
              </w:rPr>
            </w:pPr>
            <w:r>
              <w:rPr>
                <w:rFonts w:ascii="Times New Roman" w:hAnsi="Times New Roman"/>
                <w:b/>
                <w:bCs/>
                <w:kern w:val="0"/>
                <w:sz w:val="22"/>
              </w:rPr>
              <w:t>　</w:t>
            </w:r>
          </w:p>
        </w:tc>
        <w:tc>
          <w:tcPr>
            <w:tcW w:w="1215" w:type="dxa"/>
            <w:shd w:val="clear" w:color="auto" w:fill="auto"/>
            <w:vAlign w:val="center"/>
          </w:tcPr>
          <w:p>
            <w:pPr>
              <w:widowControl/>
              <w:jc w:val="center"/>
              <w:textAlignment w:val="baseline"/>
              <w:rPr>
                <w:rFonts w:ascii="Times New Roman" w:hAnsi="Times New Roman"/>
                <w:b/>
                <w:bCs/>
                <w:kern w:val="0"/>
                <w:sz w:val="20"/>
                <w:szCs w:val="20"/>
              </w:rPr>
            </w:pPr>
            <w:r>
              <w:rPr>
                <w:rFonts w:ascii="Times New Roman" w:hAnsi="Times New Roman"/>
                <w:b/>
                <w:bCs/>
                <w:kern w:val="0"/>
                <w:sz w:val="20"/>
                <w:szCs w:val="20"/>
              </w:rPr>
              <w:t>16522214</w:t>
            </w:r>
          </w:p>
        </w:tc>
        <w:tc>
          <w:tcPr>
            <w:tcW w:w="1277" w:type="dxa"/>
            <w:shd w:val="clear" w:color="auto" w:fill="auto"/>
            <w:vAlign w:val="center"/>
          </w:tcPr>
          <w:p>
            <w:pPr>
              <w:widowControl/>
              <w:jc w:val="center"/>
              <w:textAlignment w:val="baseline"/>
              <w:rPr>
                <w:rFonts w:ascii="Times New Roman" w:hAnsi="Times New Roman"/>
                <w:b/>
                <w:bCs/>
                <w:kern w:val="0"/>
                <w:sz w:val="20"/>
                <w:szCs w:val="20"/>
              </w:rPr>
            </w:pPr>
            <w:r>
              <w:rPr>
                <w:rFonts w:ascii="Times New Roman" w:hAnsi="Times New Roman"/>
                <w:b/>
                <w:bCs/>
                <w:kern w:val="0"/>
                <w:sz w:val="20"/>
                <w:szCs w:val="20"/>
              </w:rPr>
              <w:t>　</w:t>
            </w:r>
          </w:p>
        </w:tc>
      </w:tr>
    </w:tbl>
    <w:p>
      <w:pPr>
        <w:spacing w:line="320" w:lineRule="exact"/>
        <w:textAlignment w:val="baseline"/>
        <w:rPr>
          <w:rFonts w:ascii="Times New Roman" w:hAnsi="Times New Roman"/>
          <w:sz w:val="20"/>
        </w:rPr>
      </w:pPr>
    </w:p>
    <w:sectPr>
      <w:footerReference r:id="rId6" w:type="default"/>
      <w:footerReference r:id="rId7" w:type="even"/>
      <w:pgSz w:w="16838" w:h="11906" w:orient="landscape"/>
      <w:pgMar w:top="1446" w:right="1984" w:bottom="1446" w:left="1644" w:header="851" w:footer="1247"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Blackadder ITC">
    <w:panose1 w:val="04020505051007020D02"/>
    <w:charset w:val="00"/>
    <w:family w:val="decorative"/>
    <w:pitch w:val="default"/>
    <w:sig w:usb0="00000003" w:usb1="00000000" w:usb2="00000000" w:usb3="00000000" w:csb0="20000001" w:csb1="00000000"/>
  </w:font>
  <w:font w:name="Calibri Light">
    <w:panose1 w:val="020F0302020204030204"/>
    <w:charset w:val="00"/>
    <w:family w:val="swiss"/>
    <w:pitch w:val="default"/>
    <w:sig w:usb0="A00002EF" w:usb1="4000207B" w:usb2="00000000" w:usb3="00000000" w:csb0="2000019F" w:csb1="0000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szCs w:val="21"/>
      </w:rPr>
    </w:pPr>
  </w:p>
  <w:p>
    <w:pPr>
      <w:pStyle w:val="12"/>
      <w:rPr>
        <w:rFonts w:ascii="Blackadder ITC" w:hAnsi="Blackadder ITC"/>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12"/>
      <w:rPr>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wordWrap w:val="0"/>
                            <w:jc w:val="right"/>
                          </w:pPr>
                          <w:r>
                            <w:rPr>
                              <w:rFonts w:hint="eastAsia" w:ascii="宋体" w:hAnsi="宋体"/>
                              <w:sz w:val="28"/>
                              <w:szCs w:val="28"/>
                            </w:rPr>
                            <w:t>—</w:t>
                          </w:r>
                          <w:r>
                            <w:rPr>
                              <w:rFonts w:ascii="宋体" w:hAnsi="宋体"/>
                              <w:sz w:val="28"/>
                              <w:szCs w:val="28"/>
                            </w:rPr>
                            <w:t xml:space="preserve"> </w:t>
                          </w:r>
                          <w:sdt>
                            <w:sdtPr>
                              <w:rPr>
                                <w:rFonts w:ascii="宋体" w:hAnsi="宋体"/>
                                <w:sz w:val="28"/>
                                <w:szCs w:val="28"/>
                              </w:rPr>
                              <w:id w:val="332962197"/>
                            </w:sdtPr>
                            <w:sdtEndPr>
                              <w:rPr>
                                <w:rFonts w:ascii="宋体" w:hAnsi="宋体"/>
                                <w:sz w:val="28"/>
                                <w:szCs w:val="28"/>
                              </w:rPr>
                            </w:sdtEndPr>
                            <w:sdtContent>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51</w:t>
                              </w:r>
                              <w:r>
                                <w:rPr>
                                  <w:rFonts w:ascii="宋体" w:hAnsi="宋体"/>
                                  <w:sz w:val="28"/>
                                  <w:szCs w:val="28"/>
                                </w:rPr>
                                <w:fldChar w:fldCharType="end"/>
                              </w:r>
                            </w:sdtContent>
                          </w:sdt>
                          <w:r>
                            <w:rPr>
                              <w:rFonts w:hint="eastAsia" w:ascii="宋体" w:hAnsi="宋体"/>
                              <w:sz w:val="28"/>
                              <w:szCs w:val="28"/>
                            </w:rPr>
                            <w:t xml:space="preserve"> — </w:t>
                          </w:r>
                          <w:r>
                            <w:rPr>
                              <w:rFonts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12"/>
                      <w:wordWrap w:val="0"/>
                      <w:jc w:val="right"/>
                    </w:pPr>
                    <w:r>
                      <w:rPr>
                        <w:rFonts w:hint="eastAsia" w:ascii="宋体" w:hAnsi="宋体"/>
                        <w:sz w:val="28"/>
                        <w:szCs w:val="28"/>
                      </w:rPr>
                      <w:t>—</w:t>
                    </w:r>
                    <w:r>
                      <w:rPr>
                        <w:rFonts w:ascii="宋体" w:hAnsi="宋体"/>
                        <w:sz w:val="28"/>
                        <w:szCs w:val="28"/>
                      </w:rPr>
                      <w:t xml:space="preserve"> </w:t>
                    </w:r>
                    <w:sdt>
                      <w:sdtPr>
                        <w:rPr>
                          <w:rFonts w:ascii="宋体" w:hAnsi="宋体"/>
                          <w:sz w:val="28"/>
                          <w:szCs w:val="28"/>
                        </w:rPr>
                        <w:id w:val="332962197"/>
                      </w:sdtPr>
                      <w:sdtEndPr>
                        <w:rPr>
                          <w:rFonts w:ascii="宋体" w:hAnsi="宋体"/>
                          <w:sz w:val="28"/>
                          <w:szCs w:val="28"/>
                        </w:rPr>
                      </w:sdtEndPr>
                      <w:sdtContent>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51</w:t>
                        </w:r>
                        <w:r>
                          <w:rPr>
                            <w:rFonts w:ascii="宋体" w:hAnsi="宋体"/>
                            <w:sz w:val="28"/>
                            <w:szCs w:val="28"/>
                          </w:rPr>
                          <w:fldChar w:fldCharType="end"/>
                        </w:r>
                      </w:sdtContent>
                    </w:sdt>
                    <w:r>
                      <w:rPr>
                        <w:rFonts w:hint="eastAsia" w:ascii="宋体" w:hAnsi="宋体"/>
                        <w:sz w:val="28"/>
                        <w:szCs w:val="28"/>
                      </w:rPr>
                      <w:t xml:space="preserve"> — </w:t>
                    </w:r>
                    <w:r>
                      <w:rPr>
                        <w:rFonts w:ascii="宋体" w:hAnsi="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C94254"/>
    <w:rsid w:val="000053DE"/>
    <w:rsid w:val="00007818"/>
    <w:rsid w:val="00012374"/>
    <w:rsid w:val="000233F5"/>
    <w:rsid w:val="000253A7"/>
    <w:rsid w:val="00034B26"/>
    <w:rsid w:val="00047BBE"/>
    <w:rsid w:val="0006707F"/>
    <w:rsid w:val="000925CC"/>
    <w:rsid w:val="0009479A"/>
    <w:rsid w:val="000A753C"/>
    <w:rsid w:val="000B0D27"/>
    <w:rsid w:val="000B5A6A"/>
    <w:rsid w:val="000B5E22"/>
    <w:rsid w:val="000C14F5"/>
    <w:rsid w:val="000C37A0"/>
    <w:rsid w:val="000C3AEA"/>
    <w:rsid w:val="000C779D"/>
    <w:rsid w:val="000D0D25"/>
    <w:rsid w:val="000D3566"/>
    <w:rsid w:val="000E5E20"/>
    <w:rsid w:val="000E6AA5"/>
    <w:rsid w:val="000F5EB4"/>
    <w:rsid w:val="00105B5E"/>
    <w:rsid w:val="00106486"/>
    <w:rsid w:val="00110194"/>
    <w:rsid w:val="00125961"/>
    <w:rsid w:val="00133AE0"/>
    <w:rsid w:val="00133D55"/>
    <w:rsid w:val="00141196"/>
    <w:rsid w:val="001900B9"/>
    <w:rsid w:val="001A0387"/>
    <w:rsid w:val="001C4E5E"/>
    <w:rsid w:val="001D2F7B"/>
    <w:rsid w:val="001E194A"/>
    <w:rsid w:val="001E6F80"/>
    <w:rsid w:val="001F0E09"/>
    <w:rsid w:val="001F6E0C"/>
    <w:rsid w:val="001F79E9"/>
    <w:rsid w:val="002073EC"/>
    <w:rsid w:val="00221457"/>
    <w:rsid w:val="002359A4"/>
    <w:rsid w:val="002428DF"/>
    <w:rsid w:val="00243D61"/>
    <w:rsid w:val="00253452"/>
    <w:rsid w:val="002568EA"/>
    <w:rsid w:val="00260CE3"/>
    <w:rsid w:val="00261B52"/>
    <w:rsid w:val="00263925"/>
    <w:rsid w:val="002852E0"/>
    <w:rsid w:val="002859EF"/>
    <w:rsid w:val="002874F8"/>
    <w:rsid w:val="0028750B"/>
    <w:rsid w:val="002D5DF0"/>
    <w:rsid w:val="002E03A5"/>
    <w:rsid w:val="002E59ED"/>
    <w:rsid w:val="002E6242"/>
    <w:rsid w:val="00315E74"/>
    <w:rsid w:val="00320CAF"/>
    <w:rsid w:val="00321CA4"/>
    <w:rsid w:val="00354B46"/>
    <w:rsid w:val="00366567"/>
    <w:rsid w:val="00373AE8"/>
    <w:rsid w:val="0038155B"/>
    <w:rsid w:val="00386903"/>
    <w:rsid w:val="00392CB4"/>
    <w:rsid w:val="0039772D"/>
    <w:rsid w:val="003A0013"/>
    <w:rsid w:val="003A089C"/>
    <w:rsid w:val="003B266C"/>
    <w:rsid w:val="003B386E"/>
    <w:rsid w:val="003B4F90"/>
    <w:rsid w:val="003C542D"/>
    <w:rsid w:val="003C5E5A"/>
    <w:rsid w:val="003D2053"/>
    <w:rsid w:val="003E4355"/>
    <w:rsid w:val="00401455"/>
    <w:rsid w:val="004019A9"/>
    <w:rsid w:val="00424F02"/>
    <w:rsid w:val="00437ADF"/>
    <w:rsid w:val="0045040C"/>
    <w:rsid w:val="00450E5C"/>
    <w:rsid w:val="00451968"/>
    <w:rsid w:val="00457FC2"/>
    <w:rsid w:val="0046624B"/>
    <w:rsid w:val="0047124E"/>
    <w:rsid w:val="00477074"/>
    <w:rsid w:val="004815C9"/>
    <w:rsid w:val="004874BF"/>
    <w:rsid w:val="0049180F"/>
    <w:rsid w:val="00497FFE"/>
    <w:rsid w:val="004B2B01"/>
    <w:rsid w:val="004B4395"/>
    <w:rsid w:val="004B483D"/>
    <w:rsid w:val="004D7659"/>
    <w:rsid w:val="004E657C"/>
    <w:rsid w:val="004E6A16"/>
    <w:rsid w:val="004E7DEE"/>
    <w:rsid w:val="004F4FFC"/>
    <w:rsid w:val="004F58F2"/>
    <w:rsid w:val="004F7C45"/>
    <w:rsid w:val="005048DE"/>
    <w:rsid w:val="0050608B"/>
    <w:rsid w:val="005111AC"/>
    <w:rsid w:val="00520DCB"/>
    <w:rsid w:val="00521170"/>
    <w:rsid w:val="00527450"/>
    <w:rsid w:val="00532823"/>
    <w:rsid w:val="00533B69"/>
    <w:rsid w:val="005427E3"/>
    <w:rsid w:val="00542ECC"/>
    <w:rsid w:val="00554CEC"/>
    <w:rsid w:val="005710DD"/>
    <w:rsid w:val="00585EF4"/>
    <w:rsid w:val="005879F4"/>
    <w:rsid w:val="0059715D"/>
    <w:rsid w:val="005C10DD"/>
    <w:rsid w:val="005E2D97"/>
    <w:rsid w:val="005F0DCC"/>
    <w:rsid w:val="006003EF"/>
    <w:rsid w:val="00626E53"/>
    <w:rsid w:val="00631BA7"/>
    <w:rsid w:val="006417B3"/>
    <w:rsid w:val="0066187A"/>
    <w:rsid w:val="00672F91"/>
    <w:rsid w:val="00696833"/>
    <w:rsid w:val="006B50F3"/>
    <w:rsid w:val="006B6C7C"/>
    <w:rsid w:val="006C2D20"/>
    <w:rsid w:val="006D3BC7"/>
    <w:rsid w:val="006E33C0"/>
    <w:rsid w:val="006E3AA4"/>
    <w:rsid w:val="006E6CD4"/>
    <w:rsid w:val="006E79B8"/>
    <w:rsid w:val="006F4406"/>
    <w:rsid w:val="006F5266"/>
    <w:rsid w:val="007030A6"/>
    <w:rsid w:val="00705210"/>
    <w:rsid w:val="00706E7B"/>
    <w:rsid w:val="007177E2"/>
    <w:rsid w:val="00720537"/>
    <w:rsid w:val="007227C3"/>
    <w:rsid w:val="0072329B"/>
    <w:rsid w:val="00723B2F"/>
    <w:rsid w:val="00723C99"/>
    <w:rsid w:val="00723FD3"/>
    <w:rsid w:val="007308BE"/>
    <w:rsid w:val="007340E5"/>
    <w:rsid w:val="00734C82"/>
    <w:rsid w:val="00741247"/>
    <w:rsid w:val="00763F64"/>
    <w:rsid w:val="007717EE"/>
    <w:rsid w:val="007773F9"/>
    <w:rsid w:val="00782D70"/>
    <w:rsid w:val="00791670"/>
    <w:rsid w:val="007B142E"/>
    <w:rsid w:val="007B3771"/>
    <w:rsid w:val="007B6ABC"/>
    <w:rsid w:val="007C1538"/>
    <w:rsid w:val="007D7350"/>
    <w:rsid w:val="007E3CC6"/>
    <w:rsid w:val="007E7925"/>
    <w:rsid w:val="007F4522"/>
    <w:rsid w:val="0080543D"/>
    <w:rsid w:val="00812FBA"/>
    <w:rsid w:val="00833FC3"/>
    <w:rsid w:val="00850649"/>
    <w:rsid w:val="0086174C"/>
    <w:rsid w:val="008657C4"/>
    <w:rsid w:val="00870714"/>
    <w:rsid w:val="008749F6"/>
    <w:rsid w:val="008A7385"/>
    <w:rsid w:val="008C29BA"/>
    <w:rsid w:val="008C70BA"/>
    <w:rsid w:val="008D3769"/>
    <w:rsid w:val="008E6672"/>
    <w:rsid w:val="008E7329"/>
    <w:rsid w:val="008F03F9"/>
    <w:rsid w:val="008F6CFB"/>
    <w:rsid w:val="00912954"/>
    <w:rsid w:val="00912BBA"/>
    <w:rsid w:val="00914041"/>
    <w:rsid w:val="009148E9"/>
    <w:rsid w:val="009223CA"/>
    <w:rsid w:val="00922ACA"/>
    <w:rsid w:val="00922CBE"/>
    <w:rsid w:val="00931AE0"/>
    <w:rsid w:val="00931C21"/>
    <w:rsid w:val="0094471A"/>
    <w:rsid w:val="00945E7F"/>
    <w:rsid w:val="00954236"/>
    <w:rsid w:val="00974C48"/>
    <w:rsid w:val="0097684A"/>
    <w:rsid w:val="009812E7"/>
    <w:rsid w:val="00981B68"/>
    <w:rsid w:val="009825CB"/>
    <w:rsid w:val="00997388"/>
    <w:rsid w:val="009A1A49"/>
    <w:rsid w:val="009A20CE"/>
    <w:rsid w:val="009A4D0A"/>
    <w:rsid w:val="009C6B91"/>
    <w:rsid w:val="009D1A0A"/>
    <w:rsid w:val="009E1DA8"/>
    <w:rsid w:val="009F0519"/>
    <w:rsid w:val="009F46C8"/>
    <w:rsid w:val="009F63E5"/>
    <w:rsid w:val="009F724F"/>
    <w:rsid w:val="00A24640"/>
    <w:rsid w:val="00A25BB4"/>
    <w:rsid w:val="00A27420"/>
    <w:rsid w:val="00A34DB2"/>
    <w:rsid w:val="00A64616"/>
    <w:rsid w:val="00A66E82"/>
    <w:rsid w:val="00A71041"/>
    <w:rsid w:val="00A728AD"/>
    <w:rsid w:val="00A9131F"/>
    <w:rsid w:val="00AA33E5"/>
    <w:rsid w:val="00AB0DEF"/>
    <w:rsid w:val="00AC494F"/>
    <w:rsid w:val="00AD15B7"/>
    <w:rsid w:val="00AD2042"/>
    <w:rsid w:val="00AD2CCD"/>
    <w:rsid w:val="00AD7FBA"/>
    <w:rsid w:val="00AE0B04"/>
    <w:rsid w:val="00AE4FFA"/>
    <w:rsid w:val="00AF5963"/>
    <w:rsid w:val="00AF794F"/>
    <w:rsid w:val="00B068C2"/>
    <w:rsid w:val="00B15729"/>
    <w:rsid w:val="00B26CE1"/>
    <w:rsid w:val="00B30EBB"/>
    <w:rsid w:val="00B34124"/>
    <w:rsid w:val="00B362CB"/>
    <w:rsid w:val="00B452CA"/>
    <w:rsid w:val="00B4795C"/>
    <w:rsid w:val="00B56BDF"/>
    <w:rsid w:val="00B57922"/>
    <w:rsid w:val="00B767CE"/>
    <w:rsid w:val="00B82C89"/>
    <w:rsid w:val="00B93D6E"/>
    <w:rsid w:val="00BA602D"/>
    <w:rsid w:val="00BB3732"/>
    <w:rsid w:val="00BD59B4"/>
    <w:rsid w:val="00BD7A52"/>
    <w:rsid w:val="00BF59E9"/>
    <w:rsid w:val="00C10F01"/>
    <w:rsid w:val="00C1115D"/>
    <w:rsid w:val="00C13703"/>
    <w:rsid w:val="00C16EEC"/>
    <w:rsid w:val="00C21444"/>
    <w:rsid w:val="00C50051"/>
    <w:rsid w:val="00C77DC3"/>
    <w:rsid w:val="00C8694A"/>
    <w:rsid w:val="00C938FB"/>
    <w:rsid w:val="00C96DC0"/>
    <w:rsid w:val="00CA7F50"/>
    <w:rsid w:val="00CA7F6F"/>
    <w:rsid w:val="00CB5E23"/>
    <w:rsid w:val="00CC3CAA"/>
    <w:rsid w:val="00CD0CB4"/>
    <w:rsid w:val="00CD469D"/>
    <w:rsid w:val="00CD5514"/>
    <w:rsid w:val="00CF2A71"/>
    <w:rsid w:val="00CF5BC3"/>
    <w:rsid w:val="00CF697C"/>
    <w:rsid w:val="00CF7312"/>
    <w:rsid w:val="00CF7BCB"/>
    <w:rsid w:val="00D122CA"/>
    <w:rsid w:val="00D32B8D"/>
    <w:rsid w:val="00D57F28"/>
    <w:rsid w:val="00D731B3"/>
    <w:rsid w:val="00D90094"/>
    <w:rsid w:val="00DA5110"/>
    <w:rsid w:val="00DC22A2"/>
    <w:rsid w:val="00DD2DED"/>
    <w:rsid w:val="00DD6116"/>
    <w:rsid w:val="00DE4ED1"/>
    <w:rsid w:val="00E00A9F"/>
    <w:rsid w:val="00E028C9"/>
    <w:rsid w:val="00E03B83"/>
    <w:rsid w:val="00E04F56"/>
    <w:rsid w:val="00E05EA0"/>
    <w:rsid w:val="00E250DA"/>
    <w:rsid w:val="00E27121"/>
    <w:rsid w:val="00E3614B"/>
    <w:rsid w:val="00E611F0"/>
    <w:rsid w:val="00E63EE9"/>
    <w:rsid w:val="00E65A9D"/>
    <w:rsid w:val="00E728F3"/>
    <w:rsid w:val="00E7669E"/>
    <w:rsid w:val="00E84B28"/>
    <w:rsid w:val="00E85D49"/>
    <w:rsid w:val="00E8675F"/>
    <w:rsid w:val="00E95C83"/>
    <w:rsid w:val="00EA1BFB"/>
    <w:rsid w:val="00EB0761"/>
    <w:rsid w:val="00EB7516"/>
    <w:rsid w:val="00EE23E1"/>
    <w:rsid w:val="00EF1995"/>
    <w:rsid w:val="00EF48A8"/>
    <w:rsid w:val="00EF722A"/>
    <w:rsid w:val="00EF7FDC"/>
    <w:rsid w:val="00F002D1"/>
    <w:rsid w:val="00F1283C"/>
    <w:rsid w:val="00F443A2"/>
    <w:rsid w:val="00F47DBB"/>
    <w:rsid w:val="00F51460"/>
    <w:rsid w:val="00F6026A"/>
    <w:rsid w:val="00F6718D"/>
    <w:rsid w:val="00F75116"/>
    <w:rsid w:val="00FB1223"/>
    <w:rsid w:val="00FB67F5"/>
    <w:rsid w:val="00FD1D31"/>
    <w:rsid w:val="00FD39B7"/>
    <w:rsid w:val="00FD4E37"/>
    <w:rsid w:val="00FE0324"/>
    <w:rsid w:val="02A91852"/>
    <w:rsid w:val="04C80E76"/>
    <w:rsid w:val="097563A7"/>
    <w:rsid w:val="0AF46A76"/>
    <w:rsid w:val="0B7E7CBF"/>
    <w:rsid w:val="0CC42761"/>
    <w:rsid w:val="0DF96991"/>
    <w:rsid w:val="101628DC"/>
    <w:rsid w:val="10BF1496"/>
    <w:rsid w:val="111E737F"/>
    <w:rsid w:val="11C94254"/>
    <w:rsid w:val="131101FD"/>
    <w:rsid w:val="138B7C1F"/>
    <w:rsid w:val="14354757"/>
    <w:rsid w:val="161F29E8"/>
    <w:rsid w:val="17670D8A"/>
    <w:rsid w:val="189146EB"/>
    <w:rsid w:val="1C9528C2"/>
    <w:rsid w:val="1D39429F"/>
    <w:rsid w:val="1D616AD8"/>
    <w:rsid w:val="1F2B5CCE"/>
    <w:rsid w:val="213A489D"/>
    <w:rsid w:val="217B3918"/>
    <w:rsid w:val="21B47741"/>
    <w:rsid w:val="220B753C"/>
    <w:rsid w:val="24043BB9"/>
    <w:rsid w:val="243E37F6"/>
    <w:rsid w:val="25610DDE"/>
    <w:rsid w:val="262B219A"/>
    <w:rsid w:val="28F70A5F"/>
    <w:rsid w:val="29BF2DB3"/>
    <w:rsid w:val="2A6D3900"/>
    <w:rsid w:val="2CF457F0"/>
    <w:rsid w:val="316774E9"/>
    <w:rsid w:val="334B2EE7"/>
    <w:rsid w:val="33F70197"/>
    <w:rsid w:val="354A1C0C"/>
    <w:rsid w:val="36F11C09"/>
    <w:rsid w:val="383B69D1"/>
    <w:rsid w:val="386A7C1F"/>
    <w:rsid w:val="3B7C5065"/>
    <w:rsid w:val="3C963EB4"/>
    <w:rsid w:val="3D6E3364"/>
    <w:rsid w:val="3F9C7324"/>
    <w:rsid w:val="404F7E79"/>
    <w:rsid w:val="407B3D74"/>
    <w:rsid w:val="40BE5559"/>
    <w:rsid w:val="40DE6017"/>
    <w:rsid w:val="428A69F1"/>
    <w:rsid w:val="43944DDC"/>
    <w:rsid w:val="4B3B0E94"/>
    <w:rsid w:val="4D1B6F49"/>
    <w:rsid w:val="4FAD1A7E"/>
    <w:rsid w:val="50013840"/>
    <w:rsid w:val="50E6541B"/>
    <w:rsid w:val="522E2BBF"/>
    <w:rsid w:val="52C55497"/>
    <w:rsid w:val="538A01D9"/>
    <w:rsid w:val="54236C27"/>
    <w:rsid w:val="558F2F6D"/>
    <w:rsid w:val="560C0DFE"/>
    <w:rsid w:val="5846185C"/>
    <w:rsid w:val="58EC447E"/>
    <w:rsid w:val="5EC1730F"/>
    <w:rsid w:val="62571548"/>
    <w:rsid w:val="62685376"/>
    <w:rsid w:val="71BF4633"/>
    <w:rsid w:val="72CB7536"/>
    <w:rsid w:val="74224F2B"/>
    <w:rsid w:val="742A0247"/>
    <w:rsid w:val="749333B9"/>
    <w:rsid w:val="79A03897"/>
    <w:rsid w:val="79D63F6C"/>
    <w:rsid w:val="7A6744F9"/>
    <w:rsid w:val="7B667311"/>
    <w:rsid w:val="7C4669CC"/>
    <w:rsid w:val="7DE954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4"/>
    <w:basedOn w:val="1"/>
    <w:next w:val="1"/>
    <w:unhideWhenUsed/>
    <w:qFormat/>
    <w:uiPriority w:val="0"/>
    <w:pPr>
      <w:keepNext/>
      <w:keepLines/>
      <w:spacing w:line="372" w:lineRule="auto"/>
      <w:outlineLvl w:val="3"/>
    </w:pPr>
    <w:rPr>
      <w:rFonts w:ascii="Arial" w:hAnsi="Arial" w:eastAsia="黑体" w:cs="Arial"/>
      <w:b/>
      <w:bCs/>
      <w:sz w:val="28"/>
      <w:szCs w:val="28"/>
    </w:rPr>
  </w:style>
  <w:style w:type="character" w:default="1" w:styleId="18">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next w:val="3"/>
    <w:qFormat/>
    <w:uiPriority w:val="0"/>
  </w:style>
  <w:style w:type="paragraph" w:styleId="3">
    <w:name w:val="index 9"/>
    <w:basedOn w:val="1"/>
    <w:next w:val="1"/>
    <w:qFormat/>
    <w:uiPriority w:val="0"/>
    <w:pPr>
      <w:ind w:left="3360"/>
    </w:pPr>
  </w:style>
  <w:style w:type="paragraph" w:styleId="6">
    <w:name w:val="annotation subject"/>
    <w:basedOn w:val="7"/>
    <w:next w:val="7"/>
    <w:link w:val="35"/>
    <w:qFormat/>
    <w:uiPriority w:val="0"/>
    <w:rPr>
      <w:b/>
      <w:bCs/>
    </w:rPr>
  </w:style>
  <w:style w:type="paragraph" w:styleId="7">
    <w:name w:val="annotation text"/>
    <w:basedOn w:val="1"/>
    <w:link w:val="34"/>
    <w:qFormat/>
    <w:uiPriority w:val="0"/>
    <w:pPr>
      <w:jc w:val="left"/>
    </w:pPr>
  </w:style>
  <w:style w:type="paragraph" w:styleId="8">
    <w:name w:val="Body Text"/>
    <w:basedOn w:val="1"/>
    <w:next w:val="9"/>
    <w:qFormat/>
    <w:uiPriority w:val="99"/>
    <w:pPr>
      <w:spacing w:after="120"/>
    </w:pPr>
  </w:style>
  <w:style w:type="paragraph" w:styleId="9">
    <w:name w:val="index 7"/>
    <w:basedOn w:val="1"/>
    <w:next w:val="1"/>
    <w:qFormat/>
    <w:uiPriority w:val="0"/>
    <w:pPr>
      <w:ind w:left="2520"/>
    </w:pPr>
  </w:style>
  <w:style w:type="paragraph" w:styleId="10">
    <w:name w:val="Body Text Indent"/>
    <w:basedOn w:val="1"/>
    <w:qFormat/>
    <w:uiPriority w:val="0"/>
    <w:pPr>
      <w:spacing w:line="560" w:lineRule="exact"/>
      <w:ind w:firstLine="200" w:firstLineChars="200"/>
    </w:pPr>
    <w:rPr>
      <w:rFonts w:ascii="宋体"/>
      <w:sz w:val="28"/>
      <w:szCs w:val="28"/>
    </w:rPr>
  </w:style>
  <w:style w:type="paragraph" w:styleId="11">
    <w:name w:val="Balloon Text"/>
    <w:basedOn w:val="1"/>
    <w:link w:val="24"/>
    <w:qFormat/>
    <w:uiPriority w:val="0"/>
    <w:rPr>
      <w:sz w:val="18"/>
      <w:szCs w:val="18"/>
    </w:rPr>
  </w:style>
  <w:style w:type="paragraph" w:styleId="12">
    <w:name w:val="footer"/>
    <w:basedOn w:val="1"/>
    <w:link w:val="28"/>
    <w:qFormat/>
    <w:uiPriority w:val="99"/>
    <w:pPr>
      <w:tabs>
        <w:tab w:val="center" w:pos="4153"/>
        <w:tab w:val="right" w:pos="8306"/>
      </w:tabs>
      <w:snapToGrid w:val="0"/>
      <w:jc w:val="left"/>
    </w:pPr>
    <w:rPr>
      <w:sz w:val="18"/>
    </w:rPr>
  </w:style>
  <w:style w:type="paragraph" w:styleId="13">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2"/>
    <w:basedOn w:val="1"/>
    <w:next w:val="1"/>
    <w:qFormat/>
    <w:uiPriority w:val="39"/>
    <w:pPr>
      <w:ind w:left="200" w:leftChars="200"/>
    </w:pPr>
  </w:style>
  <w:style w:type="paragraph" w:styleId="16">
    <w:name w:val="Body Text 2"/>
    <w:basedOn w:val="1"/>
    <w:qFormat/>
    <w:uiPriority w:val="99"/>
    <w:pPr>
      <w:spacing w:after="120" w:line="480" w:lineRule="auto"/>
    </w:pPr>
  </w:style>
  <w:style w:type="paragraph" w:styleId="17">
    <w:name w:val="Normal (Web)"/>
    <w:basedOn w:val="1"/>
    <w:qFormat/>
    <w:uiPriority w:val="99"/>
    <w:pPr>
      <w:spacing w:before="100" w:beforeAutospacing="1" w:after="100" w:afterAutospacing="1"/>
      <w:jc w:val="left"/>
    </w:pPr>
    <w:rPr>
      <w:kern w:val="0"/>
      <w:sz w:val="24"/>
    </w:rPr>
  </w:style>
  <w:style w:type="character" w:styleId="19">
    <w:name w:val="Strong"/>
    <w:basedOn w:val="18"/>
    <w:qFormat/>
    <w:uiPriority w:val="22"/>
    <w:rPr>
      <w:b/>
      <w:bCs/>
    </w:rPr>
  </w:style>
  <w:style w:type="character" w:styleId="20">
    <w:name w:val="Hyperlink"/>
    <w:basedOn w:val="18"/>
    <w:unhideWhenUsed/>
    <w:uiPriority w:val="99"/>
    <w:rPr>
      <w:color w:val="0563C1" w:themeColor="hyperlink"/>
      <w:u w:val="single"/>
      <w14:textFill>
        <w14:solidFill>
          <w14:schemeClr w14:val="hlink"/>
        </w14:solidFill>
      </w14:textFill>
    </w:rPr>
  </w:style>
  <w:style w:type="character" w:styleId="21">
    <w:name w:val="annotation reference"/>
    <w:basedOn w:val="18"/>
    <w:qFormat/>
    <w:uiPriority w:val="0"/>
    <w:rPr>
      <w:sz w:val="21"/>
      <w:szCs w:val="21"/>
    </w:rPr>
  </w:style>
  <w:style w:type="character" w:customStyle="1" w:styleId="23">
    <w:name w:val="页眉 Char"/>
    <w:basedOn w:val="18"/>
    <w:link w:val="13"/>
    <w:qFormat/>
    <w:uiPriority w:val="0"/>
    <w:rPr>
      <w:rFonts w:ascii="Calibri" w:hAnsi="Calibri"/>
      <w:kern w:val="2"/>
      <w:sz w:val="18"/>
      <w:szCs w:val="18"/>
    </w:rPr>
  </w:style>
  <w:style w:type="character" w:customStyle="1" w:styleId="24">
    <w:name w:val="批注框文本 Char"/>
    <w:basedOn w:val="18"/>
    <w:link w:val="11"/>
    <w:qFormat/>
    <w:uiPriority w:val="0"/>
    <w:rPr>
      <w:rFonts w:ascii="Calibri" w:hAnsi="Calibri"/>
      <w:kern w:val="2"/>
      <w:sz w:val="18"/>
      <w:szCs w:val="18"/>
    </w:rPr>
  </w:style>
  <w:style w:type="character" w:customStyle="1" w:styleId="25">
    <w:name w:val="active"/>
    <w:basedOn w:val="18"/>
    <w:qFormat/>
    <w:uiPriority w:val="0"/>
    <w:rPr>
      <w:shd w:val="clear" w:color="auto" w:fill="0A81D6"/>
    </w:rPr>
  </w:style>
  <w:style w:type="paragraph" w:customStyle="1" w:styleId="26">
    <w:name w:val="_Style 11"/>
    <w:basedOn w:val="1"/>
    <w:next w:val="1"/>
    <w:qFormat/>
    <w:uiPriority w:val="0"/>
    <w:pPr>
      <w:pBdr>
        <w:bottom w:val="single" w:color="auto" w:sz="6" w:space="1"/>
      </w:pBdr>
      <w:jc w:val="center"/>
    </w:pPr>
    <w:rPr>
      <w:rFonts w:ascii="Arial"/>
      <w:vanish/>
      <w:sz w:val="16"/>
    </w:rPr>
  </w:style>
  <w:style w:type="paragraph" w:customStyle="1" w:styleId="27">
    <w:name w:val="_Style 12"/>
    <w:basedOn w:val="1"/>
    <w:next w:val="1"/>
    <w:qFormat/>
    <w:uiPriority w:val="0"/>
    <w:pPr>
      <w:pBdr>
        <w:top w:val="single" w:color="auto" w:sz="6" w:space="1"/>
      </w:pBdr>
      <w:jc w:val="center"/>
    </w:pPr>
    <w:rPr>
      <w:rFonts w:ascii="Arial"/>
      <w:vanish/>
      <w:sz w:val="16"/>
    </w:rPr>
  </w:style>
  <w:style w:type="character" w:customStyle="1" w:styleId="28">
    <w:name w:val="页脚 Char"/>
    <w:basedOn w:val="18"/>
    <w:link w:val="12"/>
    <w:qFormat/>
    <w:uiPriority w:val="99"/>
    <w:rPr>
      <w:rFonts w:ascii="Calibri" w:hAnsi="Calibri"/>
      <w:kern w:val="2"/>
      <w:sz w:val="18"/>
      <w:szCs w:val="24"/>
    </w:rPr>
  </w:style>
  <w:style w:type="paragraph" w:customStyle="1" w:styleId="29">
    <w:name w:val="列出段落1"/>
    <w:basedOn w:val="1"/>
    <w:qFormat/>
    <w:uiPriority w:val="34"/>
    <w:pPr>
      <w:ind w:firstLine="420" w:firstLineChars="200"/>
    </w:pPr>
  </w:style>
  <w:style w:type="character" w:customStyle="1" w:styleId="30">
    <w:name w:val="重点 字符"/>
    <w:basedOn w:val="18"/>
    <w:link w:val="31"/>
    <w:qFormat/>
    <w:locked/>
    <w:uiPriority w:val="99"/>
    <w:rPr>
      <w:rFonts w:eastAsia="方正楷体_GBK"/>
    </w:rPr>
  </w:style>
  <w:style w:type="paragraph" w:customStyle="1" w:styleId="31">
    <w:name w:val="重点"/>
    <w:basedOn w:val="1"/>
    <w:link w:val="30"/>
    <w:qFormat/>
    <w:uiPriority w:val="99"/>
    <w:pPr>
      <w:ind w:firstLine="632"/>
    </w:pPr>
    <w:rPr>
      <w:rFonts w:eastAsia="方正楷体_GBK"/>
    </w:rPr>
  </w:style>
  <w:style w:type="paragraph" w:customStyle="1" w:styleId="32">
    <w:name w:val="qowt-stl-正文缩进"/>
    <w:basedOn w:val="1"/>
    <w:qFormat/>
    <w:uiPriority w:val="0"/>
    <w:pPr>
      <w:widowControl/>
      <w:spacing w:before="100" w:beforeAutospacing="1" w:after="100" w:afterAutospacing="1"/>
      <w:jc w:val="left"/>
    </w:pPr>
    <w:rPr>
      <w:rFonts w:ascii="宋体" w:hAnsi="宋体" w:cs="宋体"/>
      <w:kern w:val="0"/>
      <w:sz w:val="24"/>
    </w:rPr>
  </w:style>
  <w:style w:type="character" w:customStyle="1" w:styleId="33">
    <w:name w:val="qowt-font1-timesnewroman"/>
    <w:qFormat/>
    <w:uiPriority w:val="0"/>
  </w:style>
  <w:style w:type="character" w:customStyle="1" w:styleId="34">
    <w:name w:val="批注文字 Char"/>
    <w:basedOn w:val="18"/>
    <w:link w:val="7"/>
    <w:qFormat/>
    <w:uiPriority w:val="0"/>
    <w:rPr>
      <w:rFonts w:ascii="Calibri" w:hAnsi="Calibri"/>
      <w:kern w:val="2"/>
      <w:sz w:val="21"/>
      <w:szCs w:val="24"/>
    </w:rPr>
  </w:style>
  <w:style w:type="character" w:customStyle="1" w:styleId="35">
    <w:name w:val="批注主题 Char"/>
    <w:basedOn w:val="34"/>
    <w:link w:val="6"/>
    <w:qFormat/>
    <w:uiPriority w:val="0"/>
    <w:rPr>
      <w:rFonts w:ascii="Calibri" w:hAnsi="Calibri"/>
      <w:b/>
      <w:bCs/>
      <w:kern w:val="2"/>
      <w:sz w:val="21"/>
      <w:szCs w:val="24"/>
    </w:rPr>
  </w:style>
  <w:style w:type="paragraph" w:customStyle="1" w:styleId="36">
    <w:name w:val="列出段落2"/>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6A91D-CCB4-4C5A-9D51-1D54758ECF7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55</Pages>
  <Words>4962</Words>
  <Characters>28287</Characters>
  <Lines>235</Lines>
  <Paragraphs>66</Paragraphs>
  <ScaleCrop>false</ScaleCrop>
  <LinksUpToDate>false</LinksUpToDate>
  <CharactersWithSpaces>33183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2021-12-29T15:33:00Z</dcterms:created>
  <dc:creator>Administrator</dc:creator>
  <cp:lastModifiedBy>超级管理员</cp:lastModifiedBy>
  <cp:lastPrinted>2021-12-30T08:48:00Z</cp:lastPrinted>
  <dcterms:modified xsi:type="dcterms:W3CDTF">2021-12-31T06:17:21Z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B58FDC95C6FC46A8ACA764790079E57E</vt:lpwstr>
  </property>
</Properties>
</file>