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600" w:lineRule="exact"/>
        <w:jc w:val="center"/>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重庆市江北区人民政府办公室</w:t>
      </w:r>
    </w:p>
    <w:p>
      <w:pPr>
        <w:adjustRightInd w:val="0"/>
        <w:snapToGrid w:val="0"/>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w:t>
      </w:r>
      <w:r>
        <w:rPr>
          <w:rFonts w:hint="eastAsia" w:ascii="方正小标宋_GBK" w:hAnsi="方正小标宋_GBK" w:eastAsia="方正小标宋_GBK" w:cs="方正小标宋_GBK"/>
          <w:sz w:val="44"/>
          <w:szCs w:val="44"/>
          <w:lang w:eastAsia="zh-CN"/>
        </w:rPr>
        <w:t>《重庆市</w:t>
      </w:r>
      <w:r>
        <w:rPr>
          <w:rFonts w:hint="eastAsia" w:ascii="方正小标宋_GBK" w:hAnsi="方正小标宋_GBK" w:eastAsia="方正小标宋_GBK" w:cs="方正小标宋_GBK"/>
          <w:sz w:val="44"/>
          <w:szCs w:val="44"/>
        </w:rPr>
        <w:t>江北区石油天然气</w:t>
      </w:r>
      <w:r>
        <w:rPr>
          <w:rFonts w:hint="eastAsia" w:ascii="方正小标宋_GBK" w:hAnsi="方正小标宋_GBK" w:eastAsia="方正小标宋_GBK" w:cs="方正小标宋_GBK"/>
          <w:sz w:val="44"/>
          <w:szCs w:val="44"/>
          <w:lang w:eastAsia="zh-CN"/>
        </w:rPr>
        <w:t>长输</w:t>
      </w:r>
      <w:r>
        <w:rPr>
          <w:rFonts w:hint="eastAsia" w:ascii="方正小标宋_GBK" w:hAnsi="方正小标宋_GBK" w:eastAsia="方正小标宋_GBK" w:cs="方正小标宋_GBK"/>
          <w:sz w:val="44"/>
          <w:szCs w:val="44"/>
        </w:rPr>
        <w:t>管道</w:t>
      </w:r>
      <w:r>
        <w:rPr>
          <w:rFonts w:hint="eastAsia" w:ascii="方正小标宋_GBK" w:eastAsia="方正小标宋_GBK"/>
          <w:bCs/>
          <w:sz w:val="44"/>
          <w:szCs w:val="44"/>
        </w:rPr>
        <w:t>突发事件应急预案</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的通知</w:t>
      </w:r>
    </w:p>
    <w:p>
      <w:pPr>
        <w:spacing w:line="600" w:lineRule="exact"/>
        <w:rPr>
          <w:rFonts w:hint="eastAsia" w:eastAsia="方正仿宋_GBK"/>
          <w:szCs w:val="32"/>
        </w:rPr>
      </w:pPr>
    </w:p>
    <w:p>
      <w:pPr>
        <w:spacing w:line="600" w:lineRule="exact"/>
        <w:jc w:val="center"/>
        <w:rPr>
          <w:rFonts w:hint="eastAsia" w:eastAsia="方正仿宋_GBK"/>
          <w:szCs w:val="32"/>
        </w:rPr>
      </w:pPr>
      <w:r>
        <w:rPr>
          <w:rFonts w:hint="eastAsia" w:eastAsia="方正仿宋_GBK"/>
          <w:szCs w:val="32"/>
        </w:rPr>
        <w:t>江北府办发〔2023〕4号</w:t>
      </w:r>
    </w:p>
    <w:p>
      <w:pPr>
        <w:pStyle w:val="2"/>
      </w:pPr>
    </w:p>
    <w:p>
      <w:pPr>
        <w:autoSpaceDE w:val="0"/>
        <w:autoSpaceDN w:val="0"/>
        <w:spacing w:line="600" w:lineRule="exact"/>
        <w:rPr>
          <w:rFonts w:eastAsia="方正仿宋_GBK"/>
          <w:kern w:val="0"/>
          <w:sz w:val="32"/>
          <w:szCs w:val="32"/>
        </w:rPr>
      </w:pPr>
      <w:r>
        <w:rPr>
          <w:rFonts w:eastAsia="方正仿宋_GBK"/>
          <w:sz w:val="32"/>
          <w:szCs w:val="32"/>
        </w:rPr>
        <w:t>各镇人民政府、街道办事处，区政府有关部门，有关单位：</w:t>
      </w:r>
    </w:p>
    <w:p>
      <w:pPr>
        <w:autoSpaceDE w:val="0"/>
        <w:autoSpaceDN w:val="0"/>
        <w:spacing w:line="600" w:lineRule="exact"/>
        <w:ind w:firstLine="640" w:firstLineChars="200"/>
        <w:rPr>
          <w:rFonts w:eastAsia="方正仿宋_GBK"/>
          <w:sz w:val="32"/>
          <w:szCs w:val="32"/>
        </w:rPr>
      </w:pPr>
      <w:r>
        <w:rPr>
          <w:rFonts w:eastAsia="方正仿宋_GBK"/>
          <w:sz w:val="32"/>
          <w:szCs w:val="32"/>
        </w:rPr>
        <w:t>《</w:t>
      </w:r>
      <w:r>
        <w:rPr>
          <w:rFonts w:hint="eastAsia" w:eastAsia="方正仿宋_GBK"/>
          <w:sz w:val="32"/>
          <w:szCs w:val="32"/>
          <w:lang w:eastAsia="zh-CN"/>
        </w:rPr>
        <w:t>重庆市</w:t>
      </w:r>
      <w:r>
        <w:rPr>
          <w:rFonts w:hint="eastAsia" w:eastAsia="方正仿宋_GBK"/>
          <w:sz w:val="32"/>
          <w:szCs w:val="32"/>
        </w:rPr>
        <w:t>江北区石油天然气</w:t>
      </w:r>
      <w:r>
        <w:rPr>
          <w:rFonts w:hint="eastAsia" w:eastAsia="方正仿宋_GBK"/>
          <w:sz w:val="32"/>
          <w:szCs w:val="32"/>
          <w:lang w:eastAsia="zh-CN"/>
        </w:rPr>
        <w:t>长输</w:t>
      </w:r>
      <w:r>
        <w:rPr>
          <w:rFonts w:hint="eastAsia" w:eastAsia="方正仿宋_GBK"/>
          <w:sz w:val="32"/>
          <w:szCs w:val="32"/>
        </w:rPr>
        <w:t>管道突发事件应急预案</w:t>
      </w:r>
      <w:r>
        <w:rPr>
          <w:rFonts w:eastAsia="方正仿宋_GBK"/>
          <w:sz w:val="32"/>
          <w:szCs w:val="32"/>
        </w:rPr>
        <w:t>》已</w:t>
      </w:r>
      <w:r>
        <w:rPr>
          <w:rFonts w:hint="eastAsia" w:eastAsia="方正仿宋_GBK"/>
          <w:sz w:val="32"/>
          <w:szCs w:val="32"/>
          <w:lang w:eastAsia="zh-CN"/>
        </w:rPr>
        <w:t>通过专家评审并报请</w:t>
      </w:r>
      <w:r>
        <w:rPr>
          <w:rFonts w:eastAsia="方正仿宋_GBK"/>
          <w:sz w:val="32"/>
          <w:szCs w:val="32"/>
        </w:rPr>
        <w:t>区</w:t>
      </w:r>
      <w:r>
        <w:rPr>
          <w:rFonts w:hint="eastAsia" w:eastAsia="方正仿宋_GBK"/>
          <w:sz w:val="32"/>
          <w:szCs w:val="32"/>
          <w:lang w:eastAsia="zh-CN"/>
        </w:rPr>
        <w:t>领导</w:t>
      </w:r>
      <w:r>
        <w:rPr>
          <w:rFonts w:eastAsia="方正仿宋_GBK"/>
          <w:sz w:val="32"/>
          <w:szCs w:val="32"/>
        </w:rPr>
        <w:t>同意，现印发给你们，请认真组织实施。</w:t>
      </w:r>
    </w:p>
    <w:p>
      <w:pPr>
        <w:spacing w:line="600" w:lineRule="exact"/>
        <w:jc w:val="left"/>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eastAsia" w:eastAsia="方正仿宋_GBK"/>
          <w:sz w:val="32"/>
          <w:szCs w:val="32"/>
          <w:lang w:eastAsia="zh-CN"/>
        </w:rPr>
      </w:pPr>
      <w:r>
        <w:rPr>
          <w:rFonts w:hint="eastAsia" w:eastAsia="方正仿宋_GBK"/>
          <w:sz w:val="32"/>
          <w:szCs w:val="32"/>
          <w:lang w:eastAsia="zh-CN"/>
        </w:rPr>
        <w:t>附件：重庆市</w:t>
      </w:r>
      <w:r>
        <w:rPr>
          <w:rFonts w:hint="eastAsia" w:eastAsia="方正仿宋_GBK"/>
          <w:sz w:val="32"/>
          <w:szCs w:val="32"/>
        </w:rPr>
        <w:t>江北区石油天然气</w:t>
      </w:r>
      <w:r>
        <w:rPr>
          <w:rFonts w:hint="eastAsia" w:eastAsia="方正仿宋_GBK"/>
          <w:sz w:val="32"/>
          <w:szCs w:val="32"/>
          <w:lang w:eastAsia="zh-CN"/>
        </w:rPr>
        <w:t>长输</w:t>
      </w:r>
      <w:r>
        <w:rPr>
          <w:rFonts w:hint="eastAsia" w:eastAsia="方正仿宋_GBK"/>
          <w:sz w:val="32"/>
          <w:szCs w:val="32"/>
        </w:rPr>
        <w:t>管道突发事件应急预案</w:t>
      </w:r>
    </w:p>
    <w:p>
      <w:pPr>
        <w:spacing w:line="600" w:lineRule="exact"/>
        <w:jc w:val="left"/>
        <w:rPr>
          <w:rFonts w:hint="eastAsia" w:eastAsia="方正仿宋_GBK"/>
          <w:sz w:val="32"/>
          <w:szCs w:val="32"/>
        </w:rPr>
      </w:pPr>
    </w:p>
    <w:p>
      <w:pPr>
        <w:spacing w:line="600" w:lineRule="exact"/>
        <w:jc w:val="left"/>
        <w:rPr>
          <w:rFonts w:hint="eastAsia" w:eastAsia="方正仿宋_GBK"/>
          <w:sz w:val="32"/>
          <w:szCs w:val="32"/>
        </w:rPr>
      </w:pPr>
    </w:p>
    <w:p>
      <w:pPr>
        <w:spacing w:line="600" w:lineRule="exact"/>
        <w:ind w:firstLine="3520" w:firstLineChars="1100"/>
        <w:jc w:val="left"/>
        <w:rPr>
          <w:rFonts w:hint="default" w:ascii="Times New Roman" w:hAnsi="Times New Roman" w:eastAsia="方正仿宋_GBK" w:cs="Times New Roman"/>
          <w:sz w:val="32"/>
          <w:szCs w:val="32"/>
        </w:rPr>
      </w:pPr>
      <w:r>
        <w:rPr>
          <w:rFonts w:eastAsia="方正仿宋_GBK"/>
          <w:sz w:val="32"/>
          <w:szCs w:val="32"/>
        </w:rPr>
        <w:t>重</w:t>
      </w:r>
      <w:r>
        <w:rPr>
          <w:rFonts w:hint="default" w:ascii="Times New Roman" w:hAnsi="Times New Roman" w:eastAsia="方正仿宋_GBK" w:cs="Times New Roman"/>
          <w:sz w:val="32"/>
          <w:szCs w:val="32"/>
        </w:rPr>
        <w:t>庆市江北区人民政府办公室</w:t>
      </w:r>
    </w:p>
    <w:p>
      <w:pPr>
        <w:spacing w:line="600" w:lineRule="exact"/>
        <w:jc w:val="left"/>
        <w:rPr>
          <w:rFonts w:hint="default" w:ascii="Times New Roman" w:hAnsi="Times New Roman" w:eastAsia="方正仿宋_GBK" w:cs="Times New Roman"/>
          <w:sz w:val="44"/>
          <w:szCs w:val="44"/>
        </w:rPr>
      </w:pPr>
      <w:r>
        <w:rPr>
          <w:rFonts w:hint="default" w:ascii="Times New Roman" w:hAnsi="Times New Roman" w:eastAsia="方正仿宋_GBK" w:cs="Times New Roman"/>
          <w:sz w:val="32"/>
          <w:szCs w:val="32"/>
        </w:rPr>
        <w:t xml:space="preserve">                            20</w:t>
      </w:r>
      <w:r>
        <w:rPr>
          <w:rFonts w:hint="default" w:ascii="Times New Roman" w:hAnsi="Times New Roman" w:eastAsia="方正仿宋_GBK" w:cs="Times New Roman"/>
          <w:sz w:val="32"/>
          <w:szCs w:val="32"/>
          <w:lang w:val="en-US" w:eastAsia="zh-CN"/>
        </w:rPr>
        <w:t>2</w:t>
      </w:r>
      <w:r>
        <w:rPr>
          <w:rFonts w:hint="eastAsia" w:ascii="Times New Roman" w:hAnsi="Times New Roman" w:cs="Times New Roman"/>
          <w:sz w:val="32"/>
          <w:szCs w:val="32"/>
          <w:lang w:val="en-US" w:eastAsia="zh-CN"/>
        </w:rPr>
        <w:t>3</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月</w:t>
      </w:r>
      <w:r>
        <w:rPr>
          <w:rFonts w:hint="eastAsia" w:ascii="Times New Roman" w:hAnsi="Times New Roman" w:cs="Times New Roman"/>
          <w:sz w:val="32"/>
          <w:szCs w:val="32"/>
          <w:lang w:val="en-US" w:eastAsia="zh-CN"/>
        </w:rPr>
        <w:t>13</w:t>
      </w:r>
      <w:r>
        <w:rPr>
          <w:rFonts w:hint="default" w:ascii="Times New Roman" w:hAnsi="Times New Roman" w:eastAsia="方正仿宋_GBK" w:cs="Times New Roman"/>
          <w:sz w:val="32"/>
          <w:szCs w:val="32"/>
        </w:rPr>
        <w:t>日</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snapToGrid w:val="0"/>
        <w:jc w:val="center"/>
        <w:rPr>
          <w:rFonts w:hint="eastAsia" w:ascii="方正小标宋_GBK" w:eastAsia="方正小标宋_GBK"/>
          <w:bCs/>
          <w:sz w:val="44"/>
          <w:szCs w:val="44"/>
        </w:rPr>
      </w:pPr>
    </w:p>
    <w:p>
      <w:pPr>
        <w:snapToGrid w:val="0"/>
        <w:jc w:val="center"/>
        <w:rPr>
          <w:rFonts w:hint="eastAsia" w:ascii="方正小标宋_GBK" w:eastAsia="方正小标宋_GBK"/>
          <w:bCs/>
          <w:sz w:val="44"/>
          <w:szCs w:val="44"/>
        </w:rPr>
      </w:pPr>
    </w:p>
    <w:p>
      <w:pPr>
        <w:snapToGrid w:val="0"/>
        <w:jc w:val="center"/>
        <w:rPr>
          <w:rFonts w:hint="eastAsia" w:ascii="方正小标宋_GBK" w:eastAsia="方正小标宋_GBK"/>
          <w:bCs/>
          <w:sz w:val="44"/>
          <w:szCs w:val="44"/>
        </w:rPr>
      </w:pPr>
    </w:p>
    <w:p>
      <w:pPr>
        <w:snapToGrid w:val="0"/>
        <w:jc w:val="both"/>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附件</w:t>
      </w:r>
    </w:p>
    <w:p>
      <w:pPr>
        <w:snapToGrid w:val="0"/>
        <w:jc w:val="center"/>
        <w:rPr>
          <w:rFonts w:ascii="方正小标宋_GBK" w:eastAsia="方正小标宋_GBK"/>
          <w:bCs/>
          <w:sz w:val="44"/>
          <w:szCs w:val="44"/>
        </w:rPr>
      </w:pPr>
      <w:r>
        <w:rPr>
          <w:rFonts w:hint="eastAsia" w:ascii="方正小标宋_GBK" w:eastAsia="方正小标宋_GBK"/>
          <w:bCs/>
          <w:sz w:val="44"/>
          <w:szCs w:val="44"/>
        </w:rPr>
        <w:t>重庆市江北区石油天然气长输管道</w:t>
      </w:r>
    </w:p>
    <w:p>
      <w:pPr>
        <w:snapToGrid w:val="0"/>
        <w:jc w:val="center"/>
        <w:rPr>
          <w:rFonts w:ascii="方正小标宋_GBK" w:eastAsia="方正小标宋_GBK"/>
          <w:bCs/>
          <w:sz w:val="44"/>
          <w:szCs w:val="44"/>
        </w:rPr>
      </w:pPr>
      <w:r>
        <w:rPr>
          <w:rFonts w:hint="eastAsia" w:ascii="方正小标宋_GBK" w:eastAsia="方正小标宋_GBK"/>
          <w:bCs/>
          <w:sz w:val="44"/>
          <w:szCs w:val="44"/>
        </w:rPr>
        <w:t>突发事件应急预案</w:t>
      </w:r>
    </w:p>
    <w:p>
      <w:pPr>
        <w:snapToGrid w:val="0"/>
        <w:spacing w:before="240" w:beforeLines="100"/>
        <w:jc w:val="center"/>
        <w:rPr>
          <w:rFonts w:ascii="方正黑体_GBK" w:eastAsia="方正黑体_GBK"/>
          <w:bCs/>
          <w:szCs w:val="32"/>
        </w:rPr>
      </w:pPr>
      <w:r>
        <w:rPr>
          <w:rFonts w:hint="eastAsia" w:ascii="方正黑体_GBK" w:eastAsia="方正黑体_GBK"/>
          <w:bCs/>
          <w:szCs w:val="32"/>
        </w:rPr>
        <w:t xml:space="preserve">目 </w:t>
      </w:r>
      <w:r>
        <w:rPr>
          <w:rFonts w:ascii="方正黑体_GBK" w:eastAsia="方正黑体_GBK"/>
          <w:bCs/>
          <w:szCs w:val="32"/>
        </w:rPr>
        <w:t xml:space="preserve"> </w:t>
      </w:r>
      <w:r>
        <w:rPr>
          <w:rFonts w:hint="eastAsia" w:ascii="方正黑体_GBK" w:eastAsia="方正黑体_GBK"/>
          <w:bCs/>
          <w:szCs w:val="32"/>
        </w:rPr>
        <w:t>录</w:t>
      </w:r>
    </w:p>
    <w:p>
      <w:pPr>
        <w:pStyle w:val="33"/>
        <w:tabs>
          <w:tab w:val="right" w:leader="dot" w:pos="8834"/>
        </w:tabs>
        <w:rPr>
          <w:rFonts w:asciiTheme="minorHAnsi" w:hAnsiTheme="minorHAnsi" w:eastAsiaTheme="minorEastAsia" w:cstheme="minorBidi"/>
          <w:b w:val="0"/>
          <w:bCs w:val="0"/>
          <w:caps w:val="0"/>
          <w:kern w:val="2"/>
          <w:sz w:val="28"/>
          <w:szCs w:val="28"/>
        </w:rPr>
      </w:pPr>
      <w:r>
        <w:rPr>
          <w:rFonts w:hint="eastAsia" w:ascii="方正仿宋_GBK" w:eastAsia="方正仿宋_GBK"/>
          <w:b w:val="0"/>
          <w:bCs w:val="0"/>
          <w:sz w:val="28"/>
          <w:szCs w:val="28"/>
        </w:rPr>
        <w:fldChar w:fldCharType="begin"/>
      </w:r>
      <w:r>
        <w:rPr>
          <w:rFonts w:hint="eastAsia" w:ascii="方正仿宋_GBK" w:eastAsia="方正仿宋_GBK"/>
          <w:b w:val="0"/>
          <w:bCs w:val="0"/>
          <w:sz w:val="28"/>
          <w:szCs w:val="28"/>
        </w:rPr>
        <w:instrText xml:space="preserve"> TOC \o "1-2" \h \z \u </w:instrText>
      </w:r>
      <w:r>
        <w:rPr>
          <w:rFonts w:hint="eastAsia" w:ascii="方正仿宋_GBK" w:eastAsia="方正仿宋_GBK"/>
          <w:b w:val="0"/>
          <w:bCs w:val="0"/>
          <w:sz w:val="28"/>
          <w:szCs w:val="28"/>
        </w:rPr>
        <w:fldChar w:fldCharType="separate"/>
      </w:r>
      <w:r>
        <w:fldChar w:fldCharType="begin"/>
      </w:r>
      <w:r>
        <w:instrText xml:space="preserve"> HYPERLINK \l "_Toc119854371" </w:instrText>
      </w:r>
      <w:r>
        <w:fldChar w:fldCharType="separate"/>
      </w:r>
      <w:r>
        <w:rPr>
          <w:rStyle w:val="52"/>
          <w:rFonts w:ascii="方正黑体_GBK" w:eastAsia="方正黑体_GBK"/>
          <w:sz w:val="28"/>
          <w:szCs w:val="28"/>
        </w:rPr>
        <w:t>1  总则</w:t>
      </w:r>
      <w:r>
        <w:rPr>
          <w:sz w:val="28"/>
          <w:szCs w:val="28"/>
        </w:rPr>
        <w:tab/>
      </w:r>
      <w:r>
        <w:rPr>
          <w:sz w:val="28"/>
          <w:szCs w:val="28"/>
        </w:rPr>
        <w:fldChar w:fldCharType="begin"/>
      </w:r>
      <w:r>
        <w:rPr>
          <w:sz w:val="28"/>
          <w:szCs w:val="28"/>
        </w:rPr>
        <w:instrText xml:space="preserve"> PAGEREF _Toc119854371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"_Toc119854372" </w:instrText>
      </w:r>
      <w:r>
        <w:fldChar w:fldCharType="separate"/>
      </w:r>
      <w:r>
        <w:rPr>
          <w:rStyle w:val="52"/>
          <w:rFonts w:ascii="方正楷体_GBK" w:hAnsi="方正楷体_GBK" w:eastAsia="方正楷体_GBK" w:cs="方正楷体_GBK"/>
          <w:sz w:val="28"/>
          <w:szCs w:val="28"/>
        </w:rPr>
        <w:t>1.1  编制目的</w:t>
      </w:r>
      <w:r>
        <w:rPr>
          <w:sz w:val="28"/>
          <w:szCs w:val="28"/>
        </w:rPr>
        <w:tab/>
      </w:r>
      <w:r>
        <w:rPr>
          <w:sz w:val="28"/>
          <w:szCs w:val="28"/>
        </w:rPr>
        <w:fldChar w:fldCharType="begin"/>
      </w:r>
      <w:r>
        <w:rPr>
          <w:sz w:val="28"/>
          <w:szCs w:val="28"/>
        </w:rPr>
        <w:instrText xml:space="preserve"> PAGEREF _Toc119854372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"_Toc119854373" </w:instrText>
      </w:r>
      <w:r>
        <w:fldChar w:fldCharType="separate"/>
      </w:r>
      <w:r>
        <w:rPr>
          <w:rStyle w:val="52"/>
          <w:rFonts w:ascii="方正楷体_GBK" w:hAnsi="方正楷体_GBK" w:eastAsia="方正楷体_GBK" w:cs="方正楷体_GBK"/>
          <w:sz w:val="28"/>
          <w:szCs w:val="28"/>
        </w:rPr>
        <w:t>1.2  编制依据</w:t>
      </w:r>
      <w:r>
        <w:rPr>
          <w:sz w:val="28"/>
          <w:szCs w:val="28"/>
        </w:rPr>
        <w:tab/>
      </w:r>
      <w:r>
        <w:rPr>
          <w:sz w:val="28"/>
          <w:szCs w:val="28"/>
        </w:rPr>
        <w:fldChar w:fldCharType="begin"/>
      </w:r>
      <w:r>
        <w:rPr>
          <w:sz w:val="28"/>
          <w:szCs w:val="28"/>
        </w:rPr>
        <w:instrText xml:space="preserve"> PAGEREF _Toc119854373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"_Toc119854374" </w:instrText>
      </w:r>
      <w:r>
        <w:fldChar w:fldCharType="separate"/>
      </w:r>
      <w:r>
        <w:rPr>
          <w:rStyle w:val="52"/>
          <w:rFonts w:ascii="方正楷体_GBK" w:hAnsi="方正楷体_GBK" w:eastAsia="方正楷体_GBK" w:cs="方正楷体_GBK"/>
          <w:sz w:val="28"/>
          <w:szCs w:val="28"/>
        </w:rPr>
        <w:t>1.3  适用范围</w:t>
      </w:r>
      <w:r>
        <w:rPr>
          <w:sz w:val="28"/>
          <w:szCs w:val="28"/>
        </w:rPr>
        <w:tab/>
      </w:r>
      <w:r>
        <w:rPr>
          <w:sz w:val="28"/>
          <w:szCs w:val="28"/>
        </w:rPr>
        <w:fldChar w:fldCharType="begin"/>
      </w:r>
      <w:r>
        <w:rPr>
          <w:sz w:val="28"/>
          <w:szCs w:val="28"/>
        </w:rPr>
        <w:instrText xml:space="preserve"> PAGEREF _Toc119854374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"_Toc119854375" </w:instrText>
      </w:r>
      <w:r>
        <w:fldChar w:fldCharType="separate"/>
      </w:r>
      <w:r>
        <w:rPr>
          <w:rStyle w:val="52"/>
          <w:rFonts w:ascii="方正楷体_GBK" w:hAnsi="方正楷体_GBK" w:eastAsia="方正楷体_GBK" w:cs="方正楷体_GBK"/>
          <w:sz w:val="28"/>
          <w:szCs w:val="28"/>
        </w:rPr>
        <w:t>1.4  预案体系</w:t>
      </w:r>
      <w:r>
        <w:rPr>
          <w:sz w:val="28"/>
          <w:szCs w:val="28"/>
        </w:rPr>
        <w:tab/>
      </w:r>
      <w:r>
        <w:rPr>
          <w:sz w:val="28"/>
          <w:szCs w:val="28"/>
        </w:rPr>
        <w:fldChar w:fldCharType="begin"/>
      </w:r>
      <w:r>
        <w:rPr>
          <w:sz w:val="28"/>
          <w:szCs w:val="28"/>
        </w:rPr>
        <w:instrText xml:space="preserve"> PAGEREF _Toc119854375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"_Toc119854376" </w:instrText>
      </w:r>
      <w:r>
        <w:fldChar w:fldCharType="separate"/>
      </w:r>
      <w:r>
        <w:rPr>
          <w:rStyle w:val="52"/>
          <w:rFonts w:ascii="方正楷体_GBK" w:hAnsi="方正楷体_GBK" w:eastAsia="方正楷体_GBK" w:cs="方正楷体_GBK"/>
          <w:sz w:val="28"/>
          <w:szCs w:val="28"/>
        </w:rPr>
        <w:t>1.5  工作原则</w:t>
      </w:r>
      <w:r>
        <w:rPr>
          <w:sz w:val="28"/>
          <w:szCs w:val="28"/>
        </w:rPr>
        <w:tab/>
      </w:r>
      <w:r>
        <w:rPr>
          <w:sz w:val="28"/>
          <w:szCs w:val="28"/>
        </w:rPr>
        <w:fldChar w:fldCharType="begin"/>
      </w:r>
      <w:r>
        <w:rPr>
          <w:sz w:val="28"/>
          <w:szCs w:val="28"/>
        </w:rPr>
        <w:instrText xml:space="preserve"> PAGEREF _Toc119854376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"_Toc119854377" </w:instrText>
      </w:r>
      <w:r>
        <w:fldChar w:fldCharType="separate"/>
      </w:r>
      <w:r>
        <w:rPr>
          <w:rStyle w:val="52"/>
          <w:rFonts w:ascii="方正楷体_GBK" w:hAnsi="方正楷体_GBK" w:eastAsia="方正楷体_GBK" w:cs="方正楷体_GBK"/>
          <w:sz w:val="28"/>
          <w:szCs w:val="28"/>
        </w:rPr>
        <w:t>1.6  分级标准</w:t>
      </w:r>
      <w:r>
        <w:rPr>
          <w:sz w:val="28"/>
          <w:szCs w:val="28"/>
        </w:rPr>
        <w:tab/>
      </w:r>
      <w:r>
        <w:rPr>
          <w:sz w:val="28"/>
          <w:szCs w:val="28"/>
        </w:rPr>
        <w:fldChar w:fldCharType="begin"/>
      </w:r>
      <w:r>
        <w:rPr>
          <w:sz w:val="28"/>
          <w:szCs w:val="28"/>
        </w:rPr>
        <w:instrText xml:space="preserve"> PAGEREF _Toc119854377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"_Toc119854378" </w:instrText>
      </w:r>
      <w:r>
        <w:fldChar w:fldCharType="separate"/>
      </w:r>
      <w:r>
        <w:rPr>
          <w:rStyle w:val="52"/>
          <w:rFonts w:ascii="方正黑体_GBK" w:eastAsia="方正黑体_GBK"/>
          <w:sz w:val="28"/>
          <w:szCs w:val="28"/>
        </w:rPr>
        <w:t>2  组织体系及职责</w:t>
      </w:r>
      <w:r>
        <w:rPr>
          <w:sz w:val="28"/>
          <w:szCs w:val="28"/>
        </w:rPr>
        <w:tab/>
      </w:r>
      <w:r>
        <w:rPr>
          <w:sz w:val="28"/>
          <w:szCs w:val="28"/>
        </w:rPr>
        <w:fldChar w:fldCharType="begin"/>
      </w:r>
      <w:r>
        <w:rPr>
          <w:sz w:val="28"/>
          <w:szCs w:val="28"/>
        </w:rPr>
        <w:instrText xml:space="preserve"> PAGEREF _Toc119854378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"_Toc119854379" </w:instrText>
      </w:r>
      <w:r>
        <w:fldChar w:fldCharType="separate"/>
      </w:r>
      <w:r>
        <w:rPr>
          <w:rStyle w:val="52"/>
          <w:rFonts w:ascii="方正楷体_GBK" w:hAnsi="方正楷体_GBK" w:eastAsia="方正楷体_GBK" w:cs="方正楷体_GBK"/>
          <w:sz w:val="28"/>
          <w:szCs w:val="28"/>
        </w:rPr>
        <w:t>2.1  应急指挥机构</w:t>
      </w:r>
      <w:r>
        <w:rPr>
          <w:sz w:val="28"/>
          <w:szCs w:val="28"/>
        </w:rPr>
        <w:tab/>
      </w:r>
      <w:r>
        <w:rPr>
          <w:sz w:val="28"/>
          <w:szCs w:val="28"/>
        </w:rPr>
        <w:fldChar w:fldCharType="begin"/>
      </w:r>
      <w:r>
        <w:rPr>
          <w:sz w:val="28"/>
          <w:szCs w:val="28"/>
        </w:rPr>
        <w:instrText xml:space="preserve"> PAGEREF _Toc119854379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"_Toc119854380" </w:instrText>
      </w:r>
      <w:r>
        <w:fldChar w:fldCharType="separate"/>
      </w:r>
      <w:r>
        <w:rPr>
          <w:rStyle w:val="52"/>
          <w:rFonts w:ascii="方正楷体_GBK" w:hAnsi="方正楷体_GBK" w:eastAsia="方正楷体_GBK" w:cs="方正楷体_GBK"/>
          <w:sz w:val="28"/>
          <w:szCs w:val="28"/>
        </w:rPr>
        <w:t>2.2  现场指挥机构</w:t>
      </w:r>
      <w:r>
        <w:rPr>
          <w:sz w:val="28"/>
          <w:szCs w:val="28"/>
        </w:rPr>
        <w:tab/>
      </w:r>
      <w:r>
        <w:rPr>
          <w:sz w:val="28"/>
          <w:szCs w:val="28"/>
        </w:rPr>
        <w:fldChar w:fldCharType="begin"/>
      </w:r>
      <w:r>
        <w:rPr>
          <w:sz w:val="28"/>
          <w:szCs w:val="28"/>
        </w:rPr>
        <w:instrText xml:space="preserve"> PAGEREF _Toc119854380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"_Toc119854381" </w:instrText>
      </w:r>
      <w:r>
        <w:fldChar w:fldCharType="separate"/>
      </w:r>
      <w:r>
        <w:rPr>
          <w:rStyle w:val="52"/>
          <w:rFonts w:ascii="方正楷体_GBK" w:hAnsi="方正楷体_GBK" w:eastAsia="方正楷体_GBK" w:cs="方正楷体_GBK"/>
          <w:sz w:val="28"/>
          <w:szCs w:val="28"/>
        </w:rPr>
        <w:t>2.3  应急指挥部职责</w:t>
      </w:r>
      <w:r>
        <w:rPr>
          <w:sz w:val="28"/>
          <w:szCs w:val="28"/>
        </w:rPr>
        <w:tab/>
      </w:r>
      <w:r>
        <w:rPr>
          <w:sz w:val="28"/>
          <w:szCs w:val="28"/>
        </w:rPr>
        <w:fldChar w:fldCharType="begin"/>
      </w:r>
      <w:r>
        <w:rPr>
          <w:sz w:val="28"/>
          <w:szCs w:val="28"/>
        </w:rPr>
        <w:instrText xml:space="preserve"> PAGEREF _Toc119854381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"_Toc119854382" </w:instrText>
      </w:r>
      <w:r>
        <w:fldChar w:fldCharType="separate"/>
      </w:r>
      <w:r>
        <w:rPr>
          <w:rStyle w:val="52"/>
          <w:rFonts w:ascii="方正楷体_GBK" w:hAnsi="方正楷体_GBK" w:eastAsia="方正楷体_GBK" w:cs="方正楷体_GBK"/>
          <w:sz w:val="28"/>
          <w:szCs w:val="28"/>
        </w:rPr>
        <w:t>2.4  各工作组职责</w:t>
      </w:r>
      <w:r>
        <w:rPr>
          <w:sz w:val="28"/>
          <w:szCs w:val="28"/>
        </w:rPr>
        <w:tab/>
      </w:r>
      <w:r>
        <w:rPr>
          <w:sz w:val="28"/>
          <w:szCs w:val="28"/>
        </w:rPr>
        <w:fldChar w:fldCharType="begin"/>
      </w:r>
      <w:r>
        <w:rPr>
          <w:sz w:val="28"/>
          <w:szCs w:val="28"/>
        </w:rPr>
        <w:instrText xml:space="preserve"> PAGEREF _Toc119854382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"_Toc119854383" </w:instrText>
      </w:r>
      <w:r>
        <w:fldChar w:fldCharType="separate"/>
      </w:r>
      <w:r>
        <w:rPr>
          <w:rStyle w:val="52"/>
          <w:rFonts w:ascii="方正楷体_GBK" w:hAnsi="方正楷体_GBK" w:eastAsia="方正楷体_GBK" w:cs="方正楷体_GBK"/>
          <w:sz w:val="28"/>
          <w:szCs w:val="28"/>
        </w:rPr>
        <w:t>2.5  成员单位应急职责</w:t>
      </w:r>
      <w:r>
        <w:rPr>
          <w:sz w:val="28"/>
          <w:szCs w:val="28"/>
        </w:rPr>
        <w:tab/>
      </w:r>
      <w:r>
        <w:rPr>
          <w:sz w:val="28"/>
          <w:szCs w:val="28"/>
        </w:rPr>
        <w:fldChar w:fldCharType="begin"/>
      </w:r>
      <w:r>
        <w:rPr>
          <w:sz w:val="28"/>
          <w:szCs w:val="28"/>
        </w:rPr>
        <w:instrText xml:space="preserve"> PAGEREF _Toc119854383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"_Toc119854384" </w:instrText>
      </w:r>
      <w:r>
        <w:fldChar w:fldCharType="separate"/>
      </w:r>
      <w:r>
        <w:rPr>
          <w:rStyle w:val="52"/>
          <w:rFonts w:ascii="方正黑体_GBK" w:eastAsia="方正黑体_GBK"/>
          <w:sz w:val="28"/>
          <w:szCs w:val="28"/>
        </w:rPr>
        <w:t>3  预警及信息报告</w:t>
      </w:r>
      <w:r>
        <w:rPr>
          <w:sz w:val="28"/>
          <w:szCs w:val="28"/>
        </w:rPr>
        <w:tab/>
      </w:r>
      <w:r>
        <w:rPr>
          <w:sz w:val="28"/>
          <w:szCs w:val="28"/>
        </w:rPr>
        <w:fldChar w:fldCharType="begin"/>
      </w:r>
      <w:r>
        <w:rPr>
          <w:sz w:val="28"/>
          <w:szCs w:val="28"/>
        </w:rPr>
        <w:instrText xml:space="preserve"> PAGEREF _Toc119854384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"_Toc119854385" </w:instrText>
      </w:r>
      <w:r>
        <w:fldChar w:fldCharType="separate"/>
      </w:r>
      <w:r>
        <w:rPr>
          <w:rStyle w:val="52"/>
          <w:rFonts w:ascii="方正楷体_GBK" w:hAnsi="方正楷体_GBK" w:eastAsia="方正楷体_GBK" w:cs="方正楷体_GBK"/>
          <w:sz w:val="28"/>
          <w:szCs w:val="28"/>
        </w:rPr>
        <w:t>3.1  风险管理与预防</w:t>
      </w:r>
      <w:r>
        <w:rPr>
          <w:sz w:val="28"/>
          <w:szCs w:val="28"/>
        </w:rPr>
        <w:tab/>
      </w:r>
      <w:r>
        <w:rPr>
          <w:sz w:val="28"/>
          <w:szCs w:val="28"/>
        </w:rPr>
        <w:fldChar w:fldCharType="begin"/>
      </w:r>
      <w:r>
        <w:rPr>
          <w:sz w:val="28"/>
          <w:szCs w:val="28"/>
        </w:rPr>
        <w:instrText xml:space="preserve"> PAGEREF _Toc119854385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"_Toc119854386" </w:instrText>
      </w:r>
      <w:r>
        <w:fldChar w:fldCharType="separate"/>
      </w:r>
      <w:r>
        <w:rPr>
          <w:rStyle w:val="52"/>
          <w:rFonts w:ascii="方正楷体_GBK" w:hAnsi="方正楷体_GBK" w:eastAsia="方正楷体_GBK" w:cs="方正楷体_GBK"/>
          <w:sz w:val="28"/>
          <w:szCs w:val="28"/>
        </w:rPr>
        <w:t>3.2  监测与预警</w:t>
      </w:r>
      <w:r>
        <w:rPr>
          <w:sz w:val="28"/>
          <w:szCs w:val="28"/>
        </w:rPr>
        <w:tab/>
      </w:r>
      <w:r>
        <w:rPr>
          <w:sz w:val="28"/>
          <w:szCs w:val="28"/>
        </w:rPr>
        <w:fldChar w:fldCharType="begin"/>
      </w:r>
      <w:r>
        <w:rPr>
          <w:sz w:val="28"/>
          <w:szCs w:val="28"/>
        </w:rPr>
        <w:instrText xml:space="preserve"> PAGEREF _Toc119854386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"_Toc119854387" </w:instrText>
      </w:r>
      <w:r>
        <w:fldChar w:fldCharType="separate"/>
      </w:r>
      <w:r>
        <w:rPr>
          <w:rStyle w:val="52"/>
          <w:rFonts w:ascii="方正楷体_GBK" w:hAnsi="方正楷体_GBK" w:eastAsia="方正楷体_GBK" w:cs="方正楷体_GBK"/>
          <w:sz w:val="28"/>
          <w:szCs w:val="28"/>
        </w:rPr>
        <w:t>3.3  预警级别</w:t>
      </w:r>
      <w:r>
        <w:rPr>
          <w:sz w:val="28"/>
          <w:szCs w:val="28"/>
        </w:rPr>
        <w:tab/>
      </w:r>
      <w:r>
        <w:rPr>
          <w:sz w:val="28"/>
          <w:szCs w:val="28"/>
        </w:rPr>
        <w:fldChar w:fldCharType="begin"/>
      </w:r>
      <w:r>
        <w:rPr>
          <w:sz w:val="28"/>
          <w:szCs w:val="28"/>
        </w:rPr>
        <w:instrText xml:space="preserve"> PAGEREF _Toc119854387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"_Toc119854388" </w:instrText>
      </w:r>
      <w:r>
        <w:fldChar w:fldCharType="separate"/>
      </w:r>
      <w:r>
        <w:rPr>
          <w:rStyle w:val="52"/>
          <w:rFonts w:ascii="方正楷体_GBK" w:hAnsi="方正楷体_GBK" w:eastAsia="方正楷体_GBK" w:cs="方正楷体_GBK"/>
          <w:sz w:val="28"/>
          <w:szCs w:val="28"/>
        </w:rPr>
        <w:t>3.4  预警信息发布</w:t>
      </w:r>
      <w:r>
        <w:rPr>
          <w:sz w:val="28"/>
          <w:szCs w:val="28"/>
        </w:rPr>
        <w:tab/>
      </w:r>
      <w:r>
        <w:rPr>
          <w:sz w:val="28"/>
          <w:szCs w:val="28"/>
        </w:rPr>
        <w:fldChar w:fldCharType="begin"/>
      </w:r>
      <w:r>
        <w:rPr>
          <w:sz w:val="28"/>
          <w:szCs w:val="28"/>
        </w:rPr>
        <w:instrText xml:space="preserve"> PAGEREF _Toc119854388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"_Toc119854389" </w:instrText>
      </w:r>
      <w:r>
        <w:fldChar w:fldCharType="separate"/>
      </w:r>
      <w:r>
        <w:rPr>
          <w:rStyle w:val="52"/>
          <w:rFonts w:ascii="方正楷体_GBK" w:hAnsi="方正楷体_GBK" w:eastAsia="方正楷体_GBK" w:cs="方正楷体_GBK"/>
          <w:sz w:val="28"/>
          <w:szCs w:val="28"/>
        </w:rPr>
        <w:t>3.5  预警行动</w:t>
      </w:r>
      <w:r>
        <w:rPr>
          <w:sz w:val="28"/>
          <w:szCs w:val="28"/>
        </w:rPr>
        <w:tab/>
      </w:r>
      <w:r>
        <w:rPr>
          <w:sz w:val="28"/>
          <w:szCs w:val="28"/>
        </w:rPr>
        <w:fldChar w:fldCharType="begin"/>
      </w:r>
      <w:r>
        <w:rPr>
          <w:sz w:val="28"/>
          <w:szCs w:val="28"/>
        </w:rPr>
        <w:instrText xml:space="preserve"> PAGEREF _Toc119854389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"_Toc119854390" </w:instrText>
      </w:r>
      <w:r>
        <w:fldChar w:fldCharType="separate"/>
      </w:r>
      <w:r>
        <w:rPr>
          <w:rStyle w:val="52"/>
          <w:rFonts w:ascii="方正楷体_GBK" w:hAnsi="方正楷体_GBK" w:eastAsia="方正楷体_GBK" w:cs="方正楷体_GBK"/>
          <w:sz w:val="28"/>
          <w:szCs w:val="28"/>
        </w:rPr>
        <w:t>3.6  预警调整与解除</w:t>
      </w:r>
      <w:r>
        <w:rPr>
          <w:sz w:val="28"/>
          <w:szCs w:val="28"/>
        </w:rPr>
        <w:tab/>
      </w:r>
      <w:r>
        <w:rPr>
          <w:sz w:val="28"/>
          <w:szCs w:val="28"/>
        </w:rPr>
        <w:fldChar w:fldCharType="begin"/>
      </w:r>
      <w:r>
        <w:rPr>
          <w:sz w:val="28"/>
          <w:szCs w:val="28"/>
        </w:rPr>
        <w:instrText xml:space="preserve"> PAGEREF _Toc119854390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"_Toc119854391" </w:instrText>
      </w:r>
      <w:r>
        <w:fldChar w:fldCharType="separate"/>
      </w:r>
      <w:r>
        <w:rPr>
          <w:rStyle w:val="52"/>
          <w:rFonts w:ascii="方正楷体_GBK" w:hAnsi="方正楷体_GBK" w:eastAsia="方正楷体_GBK" w:cs="方正楷体_GBK"/>
          <w:sz w:val="28"/>
          <w:szCs w:val="28"/>
        </w:rPr>
        <w:t>3.7  信息报告</w:t>
      </w:r>
      <w:r>
        <w:rPr>
          <w:sz w:val="28"/>
          <w:szCs w:val="28"/>
        </w:rPr>
        <w:tab/>
      </w:r>
      <w:r>
        <w:rPr>
          <w:sz w:val="28"/>
          <w:szCs w:val="28"/>
        </w:rPr>
        <w:fldChar w:fldCharType="begin"/>
      </w:r>
      <w:r>
        <w:rPr>
          <w:sz w:val="28"/>
          <w:szCs w:val="28"/>
        </w:rPr>
        <w:instrText xml:space="preserve"> PAGEREF _Toc119854391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"_Toc119854392" </w:instrText>
      </w:r>
      <w:r>
        <w:fldChar w:fldCharType="separate"/>
      </w:r>
      <w:r>
        <w:rPr>
          <w:rStyle w:val="52"/>
          <w:rFonts w:ascii="方正黑体_GBK" w:eastAsia="方正黑体_GBK"/>
          <w:sz w:val="28"/>
          <w:szCs w:val="28"/>
        </w:rPr>
        <w:t>4  应急响应</w:t>
      </w:r>
      <w:r>
        <w:rPr>
          <w:sz w:val="28"/>
          <w:szCs w:val="28"/>
        </w:rPr>
        <w:tab/>
      </w:r>
      <w:r>
        <w:rPr>
          <w:sz w:val="28"/>
          <w:szCs w:val="28"/>
        </w:rPr>
        <w:fldChar w:fldCharType="begin"/>
      </w:r>
      <w:r>
        <w:rPr>
          <w:sz w:val="28"/>
          <w:szCs w:val="28"/>
        </w:rPr>
        <w:instrText xml:space="preserve"> PAGEREF _Toc119854392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"_Toc119854393" </w:instrText>
      </w:r>
      <w:r>
        <w:fldChar w:fldCharType="separate"/>
      </w:r>
      <w:r>
        <w:rPr>
          <w:rStyle w:val="52"/>
          <w:rFonts w:ascii="方正楷体_GBK" w:hAnsi="方正楷体_GBK" w:eastAsia="方正楷体_GBK" w:cs="方正楷体_GBK"/>
          <w:sz w:val="28"/>
          <w:szCs w:val="28"/>
        </w:rPr>
        <w:t>4.1  响应分级</w:t>
      </w:r>
      <w:r>
        <w:rPr>
          <w:sz w:val="28"/>
          <w:szCs w:val="28"/>
        </w:rPr>
        <w:tab/>
      </w:r>
      <w:r>
        <w:rPr>
          <w:sz w:val="28"/>
          <w:szCs w:val="28"/>
        </w:rPr>
        <w:fldChar w:fldCharType="begin"/>
      </w:r>
      <w:r>
        <w:rPr>
          <w:sz w:val="28"/>
          <w:szCs w:val="28"/>
        </w:rPr>
        <w:instrText xml:space="preserve"> PAGEREF _Toc119854393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"_Toc119854394" </w:instrText>
      </w:r>
      <w:r>
        <w:fldChar w:fldCharType="separate"/>
      </w:r>
      <w:r>
        <w:rPr>
          <w:rStyle w:val="52"/>
          <w:rFonts w:ascii="方正楷体_GBK" w:hAnsi="方正楷体_GBK" w:eastAsia="方正楷体_GBK" w:cs="方正楷体_GBK"/>
          <w:sz w:val="28"/>
          <w:szCs w:val="28"/>
        </w:rPr>
        <w:t>4.2  响应程序</w:t>
      </w:r>
      <w:r>
        <w:rPr>
          <w:sz w:val="28"/>
          <w:szCs w:val="28"/>
        </w:rPr>
        <w:tab/>
      </w:r>
      <w:r>
        <w:rPr>
          <w:sz w:val="28"/>
          <w:szCs w:val="28"/>
        </w:rPr>
        <w:fldChar w:fldCharType="begin"/>
      </w:r>
      <w:r>
        <w:rPr>
          <w:sz w:val="28"/>
          <w:szCs w:val="28"/>
        </w:rPr>
        <w:instrText xml:space="preserve"> PAGEREF _Toc119854394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"_Toc119854395" </w:instrText>
      </w:r>
      <w:r>
        <w:fldChar w:fldCharType="separate"/>
      </w:r>
      <w:r>
        <w:rPr>
          <w:rStyle w:val="52"/>
          <w:rFonts w:ascii="方正楷体_GBK" w:hAnsi="方正楷体_GBK" w:eastAsia="方正楷体_GBK" w:cs="方正楷体_GBK"/>
          <w:sz w:val="28"/>
          <w:szCs w:val="28"/>
        </w:rPr>
        <w:t>4.3  应急处置</w:t>
      </w:r>
      <w:r>
        <w:rPr>
          <w:sz w:val="28"/>
          <w:szCs w:val="28"/>
        </w:rPr>
        <w:tab/>
      </w:r>
      <w:r>
        <w:rPr>
          <w:sz w:val="28"/>
          <w:szCs w:val="28"/>
        </w:rPr>
        <w:fldChar w:fldCharType="begin"/>
      </w:r>
      <w:r>
        <w:rPr>
          <w:sz w:val="28"/>
          <w:szCs w:val="28"/>
        </w:rPr>
        <w:instrText xml:space="preserve"> PAGEREF _Toc119854395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"_Toc119854396" </w:instrText>
      </w:r>
      <w:r>
        <w:fldChar w:fldCharType="separate"/>
      </w:r>
      <w:r>
        <w:rPr>
          <w:rStyle w:val="52"/>
          <w:rFonts w:ascii="方正楷体_GBK" w:hAnsi="方正楷体_GBK" w:eastAsia="方正楷体_GBK" w:cs="方正楷体_GBK"/>
          <w:sz w:val="28"/>
          <w:szCs w:val="28"/>
        </w:rPr>
        <w:t>4.4  扩大应急</w:t>
      </w:r>
      <w:r>
        <w:rPr>
          <w:sz w:val="28"/>
          <w:szCs w:val="28"/>
        </w:rPr>
        <w:tab/>
      </w:r>
      <w:r>
        <w:rPr>
          <w:sz w:val="28"/>
          <w:szCs w:val="28"/>
        </w:rPr>
        <w:fldChar w:fldCharType="begin"/>
      </w:r>
      <w:r>
        <w:rPr>
          <w:sz w:val="28"/>
          <w:szCs w:val="28"/>
        </w:rPr>
        <w:instrText xml:space="preserve"> PAGEREF _Toc119854396 \h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"_Toc119854397" </w:instrText>
      </w:r>
      <w:r>
        <w:fldChar w:fldCharType="separate"/>
      </w:r>
      <w:r>
        <w:rPr>
          <w:rStyle w:val="52"/>
          <w:rFonts w:ascii="方正楷体_GBK" w:hAnsi="方正楷体_GBK" w:eastAsia="方正楷体_GBK" w:cs="方正楷体_GBK"/>
          <w:sz w:val="28"/>
          <w:szCs w:val="28"/>
        </w:rPr>
        <w:t>4.5  响应终止</w:t>
      </w:r>
      <w:r>
        <w:rPr>
          <w:sz w:val="28"/>
          <w:szCs w:val="28"/>
        </w:rPr>
        <w:tab/>
      </w:r>
      <w:r>
        <w:rPr>
          <w:sz w:val="28"/>
          <w:szCs w:val="28"/>
        </w:rPr>
        <w:fldChar w:fldCharType="begin"/>
      </w:r>
      <w:r>
        <w:rPr>
          <w:sz w:val="28"/>
          <w:szCs w:val="28"/>
        </w:rPr>
        <w:instrText xml:space="preserve"> PAGEREF _Toc119854397 \h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"_Toc119854398" </w:instrText>
      </w:r>
      <w:r>
        <w:fldChar w:fldCharType="separate"/>
      </w:r>
      <w:r>
        <w:rPr>
          <w:rStyle w:val="52"/>
          <w:rFonts w:ascii="方正黑体_GBK" w:eastAsia="方正黑体_GBK"/>
          <w:sz w:val="28"/>
          <w:szCs w:val="28"/>
        </w:rPr>
        <w:t>5  后期处置</w:t>
      </w:r>
      <w:r>
        <w:rPr>
          <w:sz w:val="28"/>
          <w:szCs w:val="28"/>
        </w:rPr>
        <w:tab/>
      </w:r>
      <w:r>
        <w:rPr>
          <w:sz w:val="28"/>
          <w:szCs w:val="28"/>
        </w:rPr>
        <w:fldChar w:fldCharType="begin"/>
      </w:r>
      <w:r>
        <w:rPr>
          <w:sz w:val="28"/>
          <w:szCs w:val="28"/>
        </w:rPr>
        <w:instrText xml:space="preserve"> PAGEREF _Toc119854398 \h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"_Toc119854399" </w:instrText>
      </w:r>
      <w:r>
        <w:fldChar w:fldCharType="separate"/>
      </w:r>
      <w:r>
        <w:rPr>
          <w:rStyle w:val="52"/>
          <w:rFonts w:ascii="方正楷体_GBK" w:hAnsi="方正楷体_GBK" w:eastAsia="方正楷体_GBK" w:cs="方正楷体_GBK"/>
          <w:sz w:val="28"/>
          <w:szCs w:val="28"/>
        </w:rPr>
        <w:t>5.1  现场恢复</w:t>
      </w:r>
      <w:r>
        <w:rPr>
          <w:sz w:val="28"/>
          <w:szCs w:val="28"/>
        </w:rPr>
        <w:tab/>
      </w:r>
      <w:r>
        <w:rPr>
          <w:sz w:val="28"/>
          <w:szCs w:val="28"/>
        </w:rPr>
        <w:fldChar w:fldCharType="begin"/>
      </w:r>
      <w:r>
        <w:rPr>
          <w:sz w:val="28"/>
          <w:szCs w:val="28"/>
        </w:rPr>
        <w:instrText xml:space="preserve"> PAGEREF _Toc119854399 \h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"_Toc119854400" </w:instrText>
      </w:r>
      <w:r>
        <w:fldChar w:fldCharType="separate"/>
      </w:r>
      <w:r>
        <w:rPr>
          <w:rStyle w:val="52"/>
          <w:rFonts w:ascii="方正楷体_GBK" w:hAnsi="方正楷体_GBK" w:eastAsia="方正楷体_GBK" w:cs="方正楷体_GBK"/>
          <w:sz w:val="28"/>
          <w:szCs w:val="28"/>
        </w:rPr>
        <w:t>5.2  善后处理</w:t>
      </w:r>
      <w:r>
        <w:rPr>
          <w:sz w:val="28"/>
          <w:szCs w:val="28"/>
        </w:rPr>
        <w:tab/>
      </w:r>
      <w:r>
        <w:rPr>
          <w:sz w:val="28"/>
          <w:szCs w:val="28"/>
        </w:rPr>
        <w:fldChar w:fldCharType="begin"/>
      </w:r>
      <w:r>
        <w:rPr>
          <w:sz w:val="28"/>
          <w:szCs w:val="28"/>
        </w:rPr>
        <w:instrText xml:space="preserve"> PAGEREF _Toc119854400 \h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"_Toc119854401" </w:instrText>
      </w:r>
      <w:r>
        <w:fldChar w:fldCharType="separate"/>
      </w:r>
      <w:r>
        <w:rPr>
          <w:rStyle w:val="52"/>
          <w:rFonts w:ascii="方正楷体_GBK" w:hAnsi="方正楷体_GBK" w:eastAsia="方正楷体_GBK" w:cs="方正楷体_GBK"/>
          <w:sz w:val="28"/>
          <w:szCs w:val="28"/>
        </w:rPr>
        <w:t>5.3  事故调查</w:t>
      </w:r>
      <w:r>
        <w:rPr>
          <w:sz w:val="28"/>
          <w:szCs w:val="28"/>
        </w:rPr>
        <w:tab/>
      </w:r>
      <w:r>
        <w:rPr>
          <w:sz w:val="28"/>
          <w:szCs w:val="28"/>
        </w:rPr>
        <w:fldChar w:fldCharType="begin"/>
      </w:r>
      <w:r>
        <w:rPr>
          <w:sz w:val="28"/>
          <w:szCs w:val="28"/>
        </w:rPr>
        <w:instrText xml:space="preserve"> PAGEREF _Toc119854401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"_Toc119854402" </w:instrText>
      </w:r>
      <w:r>
        <w:fldChar w:fldCharType="separate"/>
      </w:r>
      <w:r>
        <w:rPr>
          <w:rStyle w:val="52"/>
          <w:rFonts w:ascii="方正楷体_GBK" w:hAnsi="方正楷体_GBK" w:eastAsia="方正楷体_GBK" w:cs="方正楷体_GBK"/>
          <w:sz w:val="28"/>
          <w:szCs w:val="28"/>
        </w:rPr>
        <w:t>5.4  总结评估</w:t>
      </w:r>
      <w:r>
        <w:rPr>
          <w:sz w:val="28"/>
          <w:szCs w:val="28"/>
        </w:rPr>
        <w:tab/>
      </w:r>
      <w:r>
        <w:rPr>
          <w:sz w:val="28"/>
          <w:szCs w:val="28"/>
        </w:rPr>
        <w:fldChar w:fldCharType="begin"/>
      </w:r>
      <w:r>
        <w:rPr>
          <w:sz w:val="28"/>
          <w:szCs w:val="28"/>
        </w:rPr>
        <w:instrText xml:space="preserve"> PAGEREF _Toc119854402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"_Toc119854403" </w:instrText>
      </w:r>
      <w:r>
        <w:fldChar w:fldCharType="separate"/>
      </w:r>
      <w:r>
        <w:rPr>
          <w:rStyle w:val="52"/>
          <w:rFonts w:ascii="方正黑体_GBK" w:eastAsia="方正黑体_GBK"/>
          <w:sz w:val="28"/>
          <w:szCs w:val="28"/>
        </w:rPr>
        <w:t>6  保障措施</w:t>
      </w:r>
      <w:r>
        <w:rPr>
          <w:sz w:val="28"/>
          <w:szCs w:val="28"/>
        </w:rPr>
        <w:tab/>
      </w:r>
      <w:r>
        <w:rPr>
          <w:sz w:val="28"/>
          <w:szCs w:val="28"/>
        </w:rPr>
        <w:fldChar w:fldCharType="begin"/>
      </w:r>
      <w:r>
        <w:rPr>
          <w:sz w:val="28"/>
          <w:szCs w:val="28"/>
        </w:rPr>
        <w:instrText xml:space="preserve"> PAGEREF _Toc119854403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"_Toc119854404" </w:instrText>
      </w:r>
      <w:r>
        <w:fldChar w:fldCharType="separate"/>
      </w:r>
      <w:r>
        <w:rPr>
          <w:rStyle w:val="52"/>
          <w:rFonts w:ascii="方正楷体_GBK" w:hAnsi="方正楷体_GBK" w:eastAsia="方正楷体_GBK" w:cs="方正楷体_GBK"/>
          <w:sz w:val="28"/>
          <w:szCs w:val="28"/>
        </w:rPr>
        <w:t>6.1  通信与信息保障</w:t>
      </w:r>
      <w:r>
        <w:rPr>
          <w:sz w:val="28"/>
          <w:szCs w:val="28"/>
        </w:rPr>
        <w:tab/>
      </w:r>
      <w:r>
        <w:rPr>
          <w:sz w:val="28"/>
          <w:szCs w:val="28"/>
        </w:rPr>
        <w:fldChar w:fldCharType="begin"/>
      </w:r>
      <w:r>
        <w:rPr>
          <w:sz w:val="28"/>
          <w:szCs w:val="28"/>
        </w:rPr>
        <w:instrText xml:space="preserve"> PAGEREF _Toc119854404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"_Toc119854405" </w:instrText>
      </w:r>
      <w:r>
        <w:fldChar w:fldCharType="separate"/>
      </w:r>
      <w:r>
        <w:rPr>
          <w:rStyle w:val="52"/>
          <w:rFonts w:ascii="方正楷体_GBK" w:hAnsi="方正楷体_GBK" w:eastAsia="方正楷体_GBK" w:cs="方正楷体_GBK"/>
          <w:sz w:val="28"/>
          <w:szCs w:val="28"/>
        </w:rPr>
        <w:t>6.2  应急队伍保障</w:t>
      </w:r>
      <w:r>
        <w:rPr>
          <w:sz w:val="28"/>
          <w:szCs w:val="28"/>
        </w:rPr>
        <w:tab/>
      </w:r>
      <w:r>
        <w:rPr>
          <w:sz w:val="28"/>
          <w:szCs w:val="28"/>
        </w:rPr>
        <w:fldChar w:fldCharType="begin"/>
      </w:r>
      <w:r>
        <w:rPr>
          <w:sz w:val="28"/>
          <w:szCs w:val="28"/>
        </w:rPr>
        <w:instrText xml:space="preserve"> PAGEREF _Toc119854405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"_Toc119854406" </w:instrText>
      </w:r>
      <w:r>
        <w:fldChar w:fldCharType="separate"/>
      </w:r>
      <w:r>
        <w:rPr>
          <w:rStyle w:val="52"/>
          <w:rFonts w:ascii="方正楷体_GBK" w:hAnsi="方正楷体_GBK" w:eastAsia="方正楷体_GBK" w:cs="方正楷体_GBK"/>
          <w:sz w:val="28"/>
          <w:szCs w:val="28"/>
        </w:rPr>
        <w:t>6.3  物资装备保障</w:t>
      </w:r>
      <w:r>
        <w:rPr>
          <w:sz w:val="28"/>
          <w:szCs w:val="28"/>
        </w:rPr>
        <w:tab/>
      </w:r>
      <w:r>
        <w:rPr>
          <w:sz w:val="28"/>
          <w:szCs w:val="28"/>
        </w:rPr>
        <w:fldChar w:fldCharType="begin"/>
      </w:r>
      <w:r>
        <w:rPr>
          <w:sz w:val="28"/>
          <w:szCs w:val="28"/>
        </w:rPr>
        <w:instrText xml:space="preserve"> PAGEREF _Toc119854406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"_Toc119854407" </w:instrText>
      </w:r>
      <w:r>
        <w:fldChar w:fldCharType="separate"/>
      </w:r>
      <w:r>
        <w:rPr>
          <w:rStyle w:val="52"/>
          <w:rFonts w:ascii="方正楷体_GBK" w:hAnsi="方正楷体_GBK" w:eastAsia="方正楷体_GBK" w:cs="方正楷体_GBK"/>
          <w:sz w:val="28"/>
          <w:szCs w:val="28"/>
        </w:rPr>
        <w:t>6.4  技术储备保障</w:t>
      </w:r>
      <w:r>
        <w:rPr>
          <w:sz w:val="28"/>
          <w:szCs w:val="28"/>
        </w:rPr>
        <w:tab/>
      </w:r>
      <w:r>
        <w:rPr>
          <w:sz w:val="28"/>
          <w:szCs w:val="28"/>
        </w:rPr>
        <w:fldChar w:fldCharType="begin"/>
      </w:r>
      <w:r>
        <w:rPr>
          <w:sz w:val="28"/>
          <w:szCs w:val="28"/>
        </w:rPr>
        <w:instrText xml:space="preserve"> PAGEREF _Toc119854407 \h </w:instrText>
      </w:r>
      <w:r>
        <w:rPr>
          <w:sz w:val="28"/>
          <w:szCs w:val="28"/>
        </w:rPr>
        <w:fldChar w:fldCharType="separate"/>
      </w:r>
      <w:r>
        <w:rPr>
          <w:sz w:val="28"/>
          <w:szCs w:val="28"/>
        </w:rPr>
        <w:t>32</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"_Toc119854408" </w:instrText>
      </w:r>
      <w:r>
        <w:fldChar w:fldCharType="separate"/>
      </w:r>
      <w:r>
        <w:rPr>
          <w:rStyle w:val="52"/>
          <w:rFonts w:ascii="方正楷体_GBK" w:hAnsi="方正楷体_GBK" w:eastAsia="方正楷体_GBK" w:cs="方正楷体_GBK"/>
          <w:sz w:val="28"/>
          <w:szCs w:val="28"/>
        </w:rPr>
        <w:t>6.5  交通运输保障</w:t>
      </w:r>
      <w:r>
        <w:rPr>
          <w:sz w:val="28"/>
          <w:szCs w:val="28"/>
        </w:rPr>
        <w:tab/>
      </w:r>
      <w:r>
        <w:rPr>
          <w:sz w:val="28"/>
          <w:szCs w:val="28"/>
        </w:rPr>
        <w:fldChar w:fldCharType="begin"/>
      </w:r>
      <w:r>
        <w:rPr>
          <w:sz w:val="28"/>
          <w:szCs w:val="28"/>
        </w:rPr>
        <w:instrText xml:space="preserve"> PAGEREF _Toc119854408 \h </w:instrText>
      </w:r>
      <w:r>
        <w:rPr>
          <w:sz w:val="28"/>
          <w:szCs w:val="28"/>
        </w:rPr>
        <w:fldChar w:fldCharType="separate"/>
      </w:r>
      <w:r>
        <w:rPr>
          <w:sz w:val="28"/>
          <w:szCs w:val="28"/>
        </w:rPr>
        <w:t>32</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"_Toc119854409" </w:instrText>
      </w:r>
      <w:r>
        <w:fldChar w:fldCharType="separate"/>
      </w:r>
      <w:r>
        <w:rPr>
          <w:rStyle w:val="52"/>
          <w:rFonts w:ascii="方正楷体_GBK" w:hAnsi="方正楷体_GBK" w:eastAsia="方正楷体_GBK" w:cs="方正楷体_GBK"/>
          <w:sz w:val="28"/>
          <w:szCs w:val="28"/>
        </w:rPr>
        <w:t>6.6  经费资金保障</w:t>
      </w:r>
      <w:r>
        <w:rPr>
          <w:sz w:val="28"/>
          <w:szCs w:val="28"/>
        </w:rPr>
        <w:tab/>
      </w:r>
      <w:r>
        <w:rPr>
          <w:sz w:val="28"/>
          <w:szCs w:val="28"/>
        </w:rPr>
        <w:fldChar w:fldCharType="begin"/>
      </w:r>
      <w:r>
        <w:rPr>
          <w:sz w:val="28"/>
          <w:szCs w:val="28"/>
        </w:rPr>
        <w:instrText xml:space="preserve"> PAGEREF _Toc119854409 \h </w:instrText>
      </w:r>
      <w:r>
        <w:rPr>
          <w:sz w:val="28"/>
          <w:szCs w:val="28"/>
        </w:rPr>
        <w:fldChar w:fldCharType="separate"/>
      </w:r>
      <w:r>
        <w:rPr>
          <w:sz w:val="28"/>
          <w:szCs w:val="28"/>
        </w:rPr>
        <w:t>33</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"_Toc119854410" </w:instrText>
      </w:r>
      <w:r>
        <w:fldChar w:fldCharType="separate"/>
      </w:r>
      <w:r>
        <w:rPr>
          <w:rStyle w:val="52"/>
          <w:rFonts w:ascii="方正黑体_GBK" w:eastAsia="方正黑体_GBK"/>
          <w:sz w:val="28"/>
          <w:szCs w:val="28"/>
        </w:rPr>
        <w:t>7  预案管理</w:t>
      </w:r>
      <w:r>
        <w:rPr>
          <w:sz w:val="28"/>
          <w:szCs w:val="28"/>
        </w:rPr>
        <w:tab/>
      </w:r>
      <w:r>
        <w:rPr>
          <w:sz w:val="28"/>
          <w:szCs w:val="28"/>
        </w:rPr>
        <w:fldChar w:fldCharType="begin"/>
      </w:r>
      <w:r>
        <w:rPr>
          <w:sz w:val="28"/>
          <w:szCs w:val="28"/>
        </w:rPr>
        <w:instrText xml:space="preserve"> PAGEREF _Toc119854410 \h </w:instrText>
      </w:r>
      <w:r>
        <w:rPr>
          <w:sz w:val="28"/>
          <w:szCs w:val="28"/>
        </w:rPr>
        <w:fldChar w:fldCharType="separate"/>
      </w:r>
      <w:r>
        <w:rPr>
          <w:sz w:val="28"/>
          <w:szCs w:val="28"/>
        </w:rPr>
        <w:t>34</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"_Toc119854411" </w:instrText>
      </w:r>
      <w:r>
        <w:fldChar w:fldCharType="separate"/>
      </w:r>
      <w:r>
        <w:rPr>
          <w:rStyle w:val="52"/>
          <w:rFonts w:ascii="方正楷体_GBK" w:hAnsi="方正楷体_GBK" w:eastAsia="方正楷体_GBK" w:cs="方正楷体_GBK"/>
          <w:sz w:val="28"/>
          <w:szCs w:val="28"/>
        </w:rPr>
        <w:t>7.1  培训与宣教</w:t>
      </w:r>
      <w:r>
        <w:rPr>
          <w:sz w:val="28"/>
          <w:szCs w:val="28"/>
        </w:rPr>
        <w:tab/>
      </w:r>
      <w:r>
        <w:rPr>
          <w:sz w:val="28"/>
          <w:szCs w:val="28"/>
        </w:rPr>
        <w:fldChar w:fldCharType="begin"/>
      </w:r>
      <w:r>
        <w:rPr>
          <w:sz w:val="28"/>
          <w:szCs w:val="28"/>
        </w:rPr>
        <w:instrText xml:space="preserve"> PAGEREF _Toc119854411 \h </w:instrText>
      </w:r>
      <w:r>
        <w:rPr>
          <w:sz w:val="28"/>
          <w:szCs w:val="28"/>
        </w:rPr>
        <w:fldChar w:fldCharType="separate"/>
      </w:r>
      <w:r>
        <w:rPr>
          <w:sz w:val="28"/>
          <w:szCs w:val="28"/>
        </w:rPr>
        <w:t>34</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"_Toc119854412" </w:instrText>
      </w:r>
      <w:r>
        <w:fldChar w:fldCharType="separate"/>
      </w:r>
      <w:r>
        <w:rPr>
          <w:rStyle w:val="52"/>
          <w:rFonts w:ascii="方正楷体_GBK" w:hAnsi="方正楷体_GBK" w:eastAsia="方正楷体_GBK" w:cs="方正楷体_GBK"/>
          <w:sz w:val="28"/>
          <w:szCs w:val="28"/>
        </w:rPr>
        <w:t>7.2  应急演练</w:t>
      </w:r>
      <w:r>
        <w:rPr>
          <w:sz w:val="28"/>
          <w:szCs w:val="28"/>
        </w:rPr>
        <w:tab/>
      </w:r>
      <w:r>
        <w:rPr>
          <w:sz w:val="28"/>
          <w:szCs w:val="28"/>
        </w:rPr>
        <w:fldChar w:fldCharType="begin"/>
      </w:r>
      <w:r>
        <w:rPr>
          <w:sz w:val="28"/>
          <w:szCs w:val="28"/>
        </w:rPr>
        <w:instrText xml:space="preserve"> PAGEREF _Toc119854412 \h </w:instrText>
      </w:r>
      <w:r>
        <w:rPr>
          <w:sz w:val="28"/>
          <w:szCs w:val="28"/>
        </w:rPr>
        <w:fldChar w:fldCharType="separate"/>
      </w:r>
      <w:r>
        <w:rPr>
          <w:sz w:val="28"/>
          <w:szCs w:val="28"/>
        </w:rPr>
        <w:t>34</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"_Toc119854413" </w:instrText>
      </w:r>
      <w:r>
        <w:fldChar w:fldCharType="separate"/>
      </w:r>
      <w:r>
        <w:rPr>
          <w:rStyle w:val="52"/>
          <w:rFonts w:ascii="方正楷体_GBK" w:hAnsi="方正楷体_GBK" w:eastAsia="方正楷体_GBK" w:cs="方正楷体_GBK"/>
          <w:sz w:val="28"/>
          <w:szCs w:val="28"/>
        </w:rPr>
        <w:t>7.3  预案管理</w:t>
      </w:r>
      <w:r>
        <w:rPr>
          <w:sz w:val="28"/>
          <w:szCs w:val="28"/>
        </w:rPr>
        <w:tab/>
      </w:r>
      <w:r>
        <w:rPr>
          <w:sz w:val="28"/>
          <w:szCs w:val="28"/>
        </w:rPr>
        <w:fldChar w:fldCharType="begin"/>
      </w:r>
      <w:r>
        <w:rPr>
          <w:sz w:val="28"/>
          <w:szCs w:val="28"/>
        </w:rPr>
        <w:instrText xml:space="preserve"> PAGEREF _Toc119854413 \h </w:instrText>
      </w:r>
      <w:r>
        <w:rPr>
          <w:sz w:val="28"/>
          <w:szCs w:val="28"/>
        </w:rPr>
        <w:fldChar w:fldCharType="separate"/>
      </w:r>
      <w:r>
        <w:rPr>
          <w:sz w:val="28"/>
          <w:szCs w:val="28"/>
        </w:rPr>
        <w:t>34</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"_Toc119854414" </w:instrText>
      </w:r>
      <w:r>
        <w:fldChar w:fldCharType="separate"/>
      </w:r>
      <w:r>
        <w:rPr>
          <w:rStyle w:val="52"/>
          <w:rFonts w:ascii="方正楷体_GBK" w:hAnsi="方正楷体_GBK" w:eastAsia="方正楷体_GBK" w:cs="方正楷体_GBK"/>
          <w:sz w:val="28"/>
          <w:szCs w:val="28"/>
        </w:rPr>
        <w:t>7.4  预案备案</w:t>
      </w:r>
      <w:r>
        <w:rPr>
          <w:sz w:val="28"/>
          <w:szCs w:val="28"/>
        </w:rPr>
        <w:tab/>
      </w:r>
      <w:r>
        <w:rPr>
          <w:sz w:val="28"/>
          <w:szCs w:val="28"/>
        </w:rPr>
        <w:fldChar w:fldCharType="begin"/>
      </w:r>
      <w:r>
        <w:rPr>
          <w:sz w:val="28"/>
          <w:szCs w:val="28"/>
        </w:rPr>
        <w:instrText xml:space="preserve"> PAGEREF _Toc119854414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"_Toc119854415" </w:instrText>
      </w:r>
      <w:r>
        <w:fldChar w:fldCharType="separate"/>
      </w:r>
      <w:r>
        <w:rPr>
          <w:rStyle w:val="52"/>
          <w:rFonts w:ascii="方正楷体_GBK" w:hAnsi="方正楷体_GBK" w:eastAsia="方正楷体_GBK" w:cs="方正楷体_GBK"/>
          <w:sz w:val="28"/>
          <w:szCs w:val="28"/>
        </w:rPr>
        <w:t>7.5  预案解释</w:t>
      </w:r>
      <w:r>
        <w:rPr>
          <w:sz w:val="28"/>
          <w:szCs w:val="28"/>
        </w:rPr>
        <w:tab/>
      </w:r>
      <w:r>
        <w:rPr>
          <w:sz w:val="28"/>
          <w:szCs w:val="28"/>
        </w:rPr>
        <w:fldChar w:fldCharType="begin"/>
      </w:r>
      <w:r>
        <w:rPr>
          <w:sz w:val="28"/>
          <w:szCs w:val="28"/>
        </w:rPr>
        <w:instrText xml:space="preserve"> PAGEREF _Toc119854415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"_Toc119854416" </w:instrText>
      </w:r>
      <w:r>
        <w:fldChar w:fldCharType="separate"/>
      </w:r>
      <w:r>
        <w:rPr>
          <w:rStyle w:val="52"/>
          <w:rFonts w:ascii="方正楷体_GBK" w:hAnsi="方正楷体_GBK" w:eastAsia="方正楷体_GBK" w:cs="方正楷体_GBK"/>
          <w:sz w:val="28"/>
          <w:szCs w:val="28"/>
        </w:rPr>
        <w:t>7.6  预案实施</w:t>
      </w:r>
      <w:r>
        <w:rPr>
          <w:sz w:val="28"/>
          <w:szCs w:val="28"/>
        </w:rPr>
        <w:tab/>
      </w:r>
      <w:r>
        <w:rPr>
          <w:sz w:val="28"/>
          <w:szCs w:val="28"/>
        </w:rPr>
        <w:fldChar w:fldCharType="begin"/>
      </w:r>
      <w:r>
        <w:rPr>
          <w:sz w:val="28"/>
          <w:szCs w:val="28"/>
        </w:rPr>
        <w:instrText xml:space="preserve"> PAGEREF _Toc119854416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33"/>
        <w:tabs>
          <w:tab w:val="right" w:leader="dot" w:pos="8834"/>
        </w:tabs>
        <w:rPr>
          <w:rFonts w:asciiTheme="minorHAnsi" w:hAnsiTheme="minorHAnsi" w:eastAsiaTheme="minorEastAsia" w:cstheme="minorBidi"/>
          <w:b w:val="0"/>
          <w:bCs w:val="0"/>
          <w:caps w:val="0"/>
          <w:kern w:val="2"/>
          <w:sz w:val="28"/>
          <w:szCs w:val="28"/>
        </w:rPr>
      </w:pPr>
      <w:r>
        <w:fldChar w:fldCharType="begin"/>
      </w:r>
      <w:r>
        <w:instrText xml:space="preserve"> HYPERLINK \l "_Toc119854417" </w:instrText>
      </w:r>
      <w:r>
        <w:fldChar w:fldCharType="separate"/>
      </w:r>
      <w:r>
        <w:rPr>
          <w:rStyle w:val="52"/>
          <w:rFonts w:ascii="方正黑体_GBK" w:eastAsia="方正黑体_GBK"/>
          <w:sz w:val="28"/>
          <w:szCs w:val="28"/>
        </w:rPr>
        <w:t>8  附录</w:t>
      </w:r>
      <w:r>
        <w:rPr>
          <w:sz w:val="28"/>
          <w:szCs w:val="28"/>
        </w:rPr>
        <w:tab/>
      </w:r>
      <w:r>
        <w:rPr>
          <w:sz w:val="28"/>
          <w:szCs w:val="28"/>
        </w:rPr>
        <w:fldChar w:fldCharType="begin"/>
      </w:r>
      <w:r>
        <w:rPr>
          <w:sz w:val="28"/>
          <w:szCs w:val="28"/>
        </w:rPr>
        <w:instrText xml:space="preserve"> PAGEREF _Toc119854417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"_Toc119854418" </w:instrText>
      </w:r>
      <w:r>
        <w:fldChar w:fldCharType="separate"/>
      </w:r>
      <w:r>
        <w:rPr>
          <w:rStyle w:val="52"/>
          <w:rFonts w:ascii="方正楷体_GBK" w:hAnsi="方正楷体_GBK" w:eastAsia="方正楷体_GBK" w:cs="方正楷体_GBK"/>
          <w:sz w:val="28"/>
          <w:szCs w:val="28"/>
        </w:rPr>
        <w:t>8.1  江北区有关部门联系电话</w:t>
      </w:r>
      <w:r>
        <w:rPr>
          <w:sz w:val="28"/>
          <w:szCs w:val="28"/>
        </w:rPr>
        <w:tab/>
      </w:r>
      <w:r>
        <w:rPr>
          <w:sz w:val="28"/>
          <w:szCs w:val="28"/>
        </w:rPr>
        <w:fldChar w:fldCharType="begin"/>
      </w:r>
      <w:r>
        <w:rPr>
          <w:sz w:val="28"/>
          <w:szCs w:val="28"/>
        </w:rPr>
        <w:instrText xml:space="preserve"> PAGEREF _Toc119854418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"_Toc119854419" </w:instrText>
      </w:r>
      <w:r>
        <w:fldChar w:fldCharType="separate"/>
      </w:r>
      <w:r>
        <w:rPr>
          <w:rStyle w:val="52"/>
          <w:rFonts w:ascii="方正楷体_GBK" w:hAnsi="方正楷体_GBK" w:eastAsia="方正楷体_GBK" w:cs="方正楷体_GBK"/>
          <w:sz w:val="28"/>
          <w:szCs w:val="28"/>
        </w:rPr>
        <w:t>8.2  江北区相关镇街联系电话</w:t>
      </w:r>
      <w:r>
        <w:rPr>
          <w:sz w:val="28"/>
          <w:szCs w:val="28"/>
        </w:rPr>
        <w:tab/>
      </w:r>
      <w:r>
        <w:rPr>
          <w:sz w:val="28"/>
          <w:szCs w:val="28"/>
        </w:rPr>
        <w:fldChar w:fldCharType="begin"/>
      </w:r>
      <w:r>
        <w:rPr>
          <w:sz w:val="28"/>
          <w:szCs w:val="28"/>
        </w:rPr>
        <w:instrText xml:space="preserve"> PAGEREF _Toc119854419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"_Toc119854420" </w:instrText>
      </w:r>
      <w:r>
        <w:fldChar w:fldCharType="separate"/>
      </w:r>
      <w:r>
        <w:rPr>
          <w:rStyle w:val="52"/>
          <w:rFonts w:ascii="方正楷体_GBK" w:hAnsi="方正楷体_GBK" w:eastAsia="方正楷体_GBK" w:cs="方正楷体_GBK"/>
          <w:sz w:val="28"/>
          <w:szCs w:val="28"/>
        </w:rPr>
        <w:t>8.3  江北区各油气管道运营企业应急联系电话</w:t>
      </w:r>
      <w:r>
        <w:rPr>
          <w:sz w:val="28"/>
          <w:szCs w:val="28"/>
        </w:rPr>
        <w:tab/>
      </w:r>
      <w:r>
        <w:rPr>
          <w:sz w:val="28"/>
          <w:szCs w:val="28"/>
        </w:rPr>
        <w:fldChar w:fldCharType="begin"/>
      </w:r>
      <w:r>
        <w:rPr>
          <w:sz w:val="28"/>
          <w:szCs w:val="28"/>
        </w:rPr>
        <w:instrText xml:space="preserve"> PAGEREF _Toc119854420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"_Toc119854421" </w:instrText>
      </w:r>
      <w:r>
        <w:fldChar w:fldCharType="separate"/>
      </w:r>
      <w:r>
        <w:rPr>
          <w:rStyle w:val="52"/>
          <w:rFonts w:ascii="方正楷体_GBK" w:hAnsi="方正楷体_GBK" w:eastAsia="方正楷体_GBK" w:cs="方正楷体_GBK"/>
          <w:sz w:val="28"/>
          <w:szCs w:val="28"/>
        </w:rPr>
        <w:t>8.4  江北区各油气管道运营企业应急物资储备</w:t>
      </w:r>
      <w:r>
        <w:rPr>
          <w:sz w:val="28"/>
          <w:szCs w:val="28"/>
        </w:rPr>
        <w:tab/>
      </w:r>
      <w:r>
        <w:rPr>
          <w:sz w:val="28"/>
          <w:szCs w:val="28"/>
        </w:rPr>
        <w:fldChar w:fldCharType="begin"/>
      </w:r>
      <w:r>
        <w:rPr>
          <w:sz w:val="28"/>
          <w:szCs w:val="28"/>
        </w:rPr>
        <w:instrText xml:space="preserve"> PAGEREF _Toc119854421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41"/>
        <w:tabs>
          <w:tab w:val="right" w:leader="dot" w:pos="8834"/>
        </w:tabs>
        <w:rPr>
          <w:rFonts w:asciiTheme="minorHAnsi" w:hAnsiTheme="minorHAnsi" w:eastAsiaTheme="minorEastAsia" w:cstheme="minorBidi"/>
          <w:smallCaps w:val="0"/>
          <w:kern w:val="2"/>
          <w:sz w:val="28"/>
          <w:szCs w:val="28"/>
        </w:rPr>
      </w:pPr>
      <w:r>
        <w:fldChar w:fldCharType="begin"/>
      </w:r>
      <w:r>
        <w:instrText xml:space="preserve"> HYPERLINK \l "_Toc119854422" </w:instrText>
      </w:r>
      <w:r>
        <w:fldChar w:fldCharType="separate"/>
      </w:r>
      <w:r>
        <w:rPr>
          <w:rStyle w:val="52"/>
          <w:rFonts w:ascii="方正楷体_GBK" w:hAnsi="方正楷体_GBK" w:eastAsia="方正楷体_GBK" w:cs="方正楷体_GBK"/>
          <w:sz w:val="28"/>
          <w:szCs w:val="28"/>
        </w:rPr>
        <w:t>8.5  油气管道走向图</w:t>
      </w:r>
      <w:r>
        <w:rPr>
          <w:sz w:val="28"/>
          <w:szCs w:val="28"/>
        </w:rPr>
        <w:tab/>
      </w:r>
      <w:r>
        <w:rPr>
          <w:sz w:val="28"/>
          <w:szCs w:val="28"/>
        </w:rPr>
        <w:fldChar w:fldCharType="begin"/>
      </w:r>
      <w:r>
        <w:rPr>
          <w:sz w:val="28"/>
          <w:szCs w:val="28"/>
        </w:rPr>
        <w:instrText xml:space="preserve"> PAGEREF _Toc119854422 \h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41"/>
        <w:tabs>
          <w:tab w:val="right" w:leader="dot" w:pos="8834"/>
        </w:tabs>
        <w:rPr>
          <w:sz w:val="28"/>
          <w:szCs w:val="28"/>
        </w:rPr>
      </w:pPr>
      <w:r>
        <w:fldChar w:fldCharType="begin"/>
      </w:r>
      <w:r>
        <w:instrText xml:space="preserve"> HYPERLINK \l "_Toc119854423" </w:instrText>
      </w:r>
      <w:r>
        <w:fldChar w:fldCharType="separate"/>
      </w:r>
      <w:r>
        <w:rPr>
          <w:rStyle w:val="52"/>
          <w:rFonts w:ascii="方正楷体_GBK" w:hAnsi="方正楷体_GBK" w:eastAsia="方正楷体_GBK" w:cs="方正楷体_GBK"/>
          <w:sz w:val="28"/>
          <w:szCs w:val="28"/>
        </w:rPr>
        <w:t>8.6  预案征求区政府相关部门意见的落实情况</w:t>
      </w:r>
      <w:r>
        <w:rPr>
          <w:sz w:val="28"/>
          <w:szCs w:val="28"/>
        </w:rPr>
        <w:tab/>
      </w:r>
      <w:r>
        <w:rPr>
          <w:sz w:val="28"/>
          <w:szCs w:val="28"/>
        </w:rPr>
        <w:fldChar w:fldCharType="begin"/>
      </w:r>
      <w:r>
        <w:rPr>
          <w:sz w:val="28"/>
          <w:szCs w:val="28"/>
        </w:rPr>
        <w:instrText xml:space="preserve"> PAGEREF _Toc119854423 \h </w:instrText>
      </w:r>
      <w:r>
        <w:rPr>
          <w:sz w:val="28"/>
          <w:szCs w:val="28"/>
        </w:rPr>
        <w:fldChar w:fldCharType="separate"/>
      </w:r>
      <w:r>
        <w:rPr>
          <w:sz w:val="28"/>
          <w:szCs w:val="28"/>
        </w:rPr>
        <w:t>49</w:t>
      </w:r>
      <w:r>
        <w:rPr>
          <w:sz w:val="28"/>
          <w:szCs w:val="28"/>
        </w:rPr>
        <w:fldChar w:fldCharType="end"/>
      </w:r>
      <w:r>
        <w:rPr>
          <w:sz w:val="28"/>
          <w:szCs w:val="28"/>
        </w:rPr>
        <w:fldChar w:fldCharType="end"/>
      </w:r>
    </w:p>
    <w:p>
      <w:pPr>
        <w:rPr>
          <w:rFonts w:hint="eastAsia" w:ascii="方正黑体_GBK" w:hAnsi="方正黑体_GBK" w:eastAsia="方正黑体_GBK" w:cs="方正黑体_GBK"/>
          <w:b/>
          <w:bCs/>
          <w:sz w:val="28"/>
          <w:szCs w:val="28"/>
          <w:lang w:val="en-US" w:eastAsia="zh-CN"/>
        </w:rPr>
      </w:pPr>
      <w:r>
        <w:rPr>
          <w:rFonts w:hint="eastAsia" w:ascii="方正黑体_GBK" w:hAnsi="方正黑体_GBK" w:eastAsia="方正黑体_GBK" w:cs="方正黑体_GBK"/>
          <w:b/>
          <w:bCs/>
          <w:sz w:val="28"/>
          <w:szCs w:val="28"/>
          <w:lang w:val="en-US" w:eastAsia="zh-CN"/>
        </w:rPr>
        <w:t>9  附件</w:t>
      </w:r>
    </w:p>
    <w:p>
      <w:pPr>
        <w:pStyle w:val="2"/>
        <w:rPr>
          <w:rStyle w:val="52"/>
          <w:rFonts w:hint="eastAsia" w:ascii="方正楷体_GBK" w:hAnsi="方正楷体_GBK" w:eastAsia="方正楷体_GBK" w:cs="方正楷体_GBK"/>
          <w:smallCaps/>
          <w:kern w:val="0"/>
          <w:sz w:val="28"/>
          <w:szCs w:val="28"/>
          <w:lang w:val="en-US" w:eastAsia="zh-CN" w:bidi="ar-SA"/>
        </w:rPr>
      </w:pPr>
      <w:r>
        <w:rPr>
          <w:rStyle w:val="52"/>
          <w:rFonts w:hint="eastAsia" w:ascii="方正楷体_GBK" w:hAnsi="方正楷体_GBK" w:eastAsia="方正楷体_GBK" w:cs="方正楷体_GBK"/>
          <w:smallCaps/>
          <w:kern w:val="0"/>
          <w:sz w:val="28"/>
          <w:szCs w:val="28"/>
          <w:lang w:val="en-US" w:eastAsia="zh-CN" w:bidi="ar-SA"/>
        </w:rPr>
        <w:t>1.重庆市江北区石油天然气长输管道高后果区突发事件应急预案</w:t>
      </w:r>
    </w:p>
    <w:p>
      <w:pPr>
        <w:pStyle w:val="2"/>
        <w:rPr>
          <w:rStyle w:val="52"/>
          <w:rFonts w:hint="eastAsia" w:ascii="方正楷体_GBK" w:hAnsi="方正楷体_GBK" w:eastAsia="方正楷体_GBK" w:cs="方正楷体_GBK"/>
          <w:smallCaps/>
          <w:kern w:val="0"/>
          <w:sz w:val="28"/>
          <w:szCs w:val="28"/>
          <w:lang w:val="en-US" w:eastAsia="zh-CN" w:bidi="ar-SA"/>
        </w:rPr>
      </w:pPr>
      <w:r>
        <w:rPr>
          <w:rStyle w:val="52"/>
          <w:rFonts w:hint="eastAsia" w:ascii="方正楷体_GBK" w:hAnsi="方正楷体_GBK" w:eastAsia="方正楷体_GBK" w:cs="方正楷体_GBK"/>
          <w:smallCaps/>
          <w:kern w:val="0"/>
          <w:sz w:val="28"/>
          <w:szCs w:val="28"/>
          <w:lang w:val="en-US" w:eastAsia="zh-CN" w:bidi="ar-SA"/>
        </w:rPr>
        <w:t>2.重庆市江北区石油天然气长输管道突发事件风险评估报告</w:t>
      </w:r>
    </w:p>
    <w:p>
      <w:pPr>
        <w:pStyle w:val="2"/>
        <w:rPr>
          <w:rStyle w:val="52"/>
          <w:rFonts w:hint="default" w:ascii="方正楷体_GBK" w:hAnsi="方正楷体_GBK" w:eastAsia="方正楷体_GBK" w:cs="方正楷体_GBK"/>
          <w:smallCaps/>
          <w:kern w:val="0"/>
          <w:sz w:val="28"/>
          <w:szCs w:val="28"/>
          <w:lang w:val="en-US" w:eastAsia="zh-CN" w:bidi="ar-SA"/>
        </w:rPr>
      </w:pPr>
      <w:r>
        <w:rPr>
          <w:rStyle w:val="52"/>
          <w:rFonts w:hint="eastAsia" w:ascii="方正楷体_GBK" w:hAnsi="方正楷体_GBK" w:eastAsia="方正楷体_GBK" w:cs="方正楷体_GBK"/>
          <w:smallCaps/>
          <w:kern w:val="0"/>
          <w:sz w:val="28"/>
          <w:szCs w:val="28"/>
          <w:lang w:val="en-US" w:eastAsia="zh-CN" w:bidi="ar-SA"/>
        </w:rPr>
        <w:t>3.重庆市江北区石油天然气长输管道突发事件应急资源调查报告</w:t>
      </w:r>
    </w:p>
    <w:p>
      <w:pPr>
        <w:widowControl/>
        <w:adjustRightInd w:val="0"/>
        <w:snapToGrid w:val="0"/>
        <w:spacing w:line="560" w:lineRule="exact"/>
        <w:jc w:val="left"/>
        <w:sectPr>
          <w:footerReference r:id="rId4" w:type="default"/>
          <w:headerReference r:id="rId3" w:type="even"/>
          <w:type w:val="continuous"/>
          <w:pgSz w:w="11906" w:h="16838"/>
          <w:pgMar w:top="2098" w:right="1474" w:bottom="1985" w:left="1588" w:header="851" w:footer="1474" w:gutter="0"/>
          <w:pgNumType w:fmt="numberInDash" w:start="0"/>
          <w:cols w:space="720" w:num="1"/>
          <w:titlePg/>
          <w:docGrid w:linePitch="579" w:charSpace="-849"/>
        </w:sectPr>
      </w:pPr>
      <w:r>
        <w:rPr>
          <w:rFonts w:hint="eastAsia" w:ascii="方正仿宋_GBK"/>
          <w:sz w:val="28"/>
          <w:szCs w:val="28"/>
        </w:rPr>
        <w:fldChar w:fldCharType="end"/>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0" w:name="_Toc119854371"/>
      <w:r>
        <w:rPr>
          <w:rFonts w:hint="eastAsia" w:ascii="方正黑体_GBK" w:hAnsi="Times New Roman" w:eastAsia="方正黑体_GBK"/>
          <w:b w:val="0"/>
          <w:bCs/>
          <w:sz w:val="32"/>
          <w:szCs w:val="32"/>
        </w:rPr>
        <w:t xml:space="preserve">1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总则</w:t>
      </w:r>
      <w:bookmarkEnd w:id="0"/>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 w:name="_Toc119854372"/>
      <w:r>
        <w:rPr>
          <w:rFonts w:hint="eastAsia" w:ascii="方正楷体_GBK" w:hAnsi="方正楷体_GBK" w:eastAsia="方正楷体_GBK" w:cs="方正楷体_GBK"/>
          <w:b w:val="0"/>
          <w:bCs w:val="0"/>
        </w:rPr>
        <w:t>1.1  编制目的</w:t>
      </w:r>
      <w:bookmarkEnd w:id="1"/>
    </w:p>
    <w:p>
      <w:pPr>
        <w:pStyle w:val="45"/>
        <w:ind w:firstLine="632" w:firstLineChars="200"/>
        <w:jc w:val="both"/>
        <w:rPr>
          <w:rFonts w:ascii="方正仿宋_GBK"/>
          <w:sz w:val="32"/>
          <w:szCs w:val="32"/>
        </w:rPr>
      </w:pPr>
      <w:r>
        <w:rPr>
          <w:rFonts w:hint="eastAsia" w:ascii="方正仿宋_GBK"/>
          <w:sz w:val="32"/>
          <w:szCs w:val="32"/>
        </w:rPr>
        <w:t>为有效预防和控制石油天然气长输管道突发事件，提升重庆市江北区石油天然气长输管道突发事件应急管理及应急处置能力，建立健全统一指挥、职责明确、运转有序、反应迅速、措施科学、处置有力的应急机制，最大限度地降低突发事件危害，保障人民群众生命财产和国家能源安全，促进经济社会持续健康发展。</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 w:name="_Toc119854373"/>
      <w:r>
        <w:rPr>
          <w:rFonts w:hint="eastAsia" w:ascii="方正楷体_GBK" w:hAnsi="方正楷体_GBK" w:eastAsia="方正楷体_GBK" w:cs="方正楷体_GBK"/>
          <w:b w:val="0"/>
          <w:bCs w:val="0"/>
        </w:rPr>
        <w:t>1.2  编制依据</w:t>
      </w:r>
      <w:bookmarkEnd w:id="2"/>
    </w:p>
    <w:p>
      <w:pPr>
        <w:pStyle w:val="45"/>
        <w:ind w:firstLine="632" w:firstLineChars="200"/>
        <w:jc w:val="both"/>
        <w:rPr>
          <w:rFonts w:ascii="方正仿宋_GBK"/>
          <w:sz w:val="32"/>
          <w:szCs w:val="32"/>
        </w:rPr>
      </w:pPr>
      <w:r>
        <w:rPr>
          <w:rFonts w:hint="eastAsia" w:ascii="方正仿宋_GBK"/>
          <w:sz w:val="32"/>
          <w:szCs w:val="32"/>
        </w:rPr>
        <w:t>（1）《中华人民共和国安全生产法》（国家主席令〔2021〕第八十八号）；</w:t>
      </w:r>
    </w:p>
    <w:p>
      <w:pPr>
        <w:pStyle w:val="45"/>
        <w:ind w:firstLine="632" w:firstLineChars="200"/>
        <w:jc w:val="both"/>
        <w:rPr>
          <w:rFonts w:ascii="方正仿宋_GBK"/>
          <w:sz w:val="32"/>
          <w:szCs w:val="32"/>
        </w:rPr>
      </w:pPr>
      <w:r>
        <w:rPr>
          <w:rFonts w:hint="eastAsia" w:ascii="方正仿宋_GBK"/>
          <w:sz w:val="32"/>
          <w:szCs w:val="32"/>
        </w:rPr>
        <w:t>（2）《中华人民共和国突发事件应对法》（国家主席令〔2007〕第六十九号）；</w:t>
      </w:r>
    </w:p>
    <w:p>
      <w:pPr>
        <w:pStyle w:val="45"/>
        <w:ind w:firstLine="632" w:firstLineChars="200"/>
        <w:jc w:val="both"/>
        <w:rPr>
          <w:rFonts w:ascii="方正仿宋_GBK"/>
          <w:sz w:val="32"/>
          <w:szCs w:val="32"/>
        </w:rPr>
      </w:pPr>
      <w:r>
        <w:rPr>
          <w:rFonts w:hint="eastAsia" w:ascii="方正仿宋_GBK"/>
          <w:sz w:val="32"/>
          <w:szCs w:val="32"/>
        </w:rPr>
        <w:t>（3）《中华人民共和国石油天然气管道保护法》（国家主席令〔2010〕第三十号）；</w:t>
      </w:r>
    </w:p>
    <w:p>
      <w:pPr>
        <w:pStyle w:val="45"/>
        <w:ind w:firstLine="632" w:firstLineChars="200"/>
        <w:jc w:val="both"/>
        <w:rPr>
          <w:rFonts w:ascii="方正仿宋_GBK"/>
          <w:sz w:val="32"/>
          <w:szCs w:val="32"/>
        </w:rPr>
      </w:pPr>
      <w:r>
        <w:rPr>
          <w:rFonts w:hint="eastAsia" w:ascii="方正仿宋_GBK"/>
          <w:sz w:val="32"/>
          <w:szCs w:val="32"/>
        </w:rPr>
        <w:t>（4）</w:t>
      </w:r>
      <w:bookmarkStart w:id="3" w:name="_Hlk112841530"/>
      <w:r>
        <w:rPr>
          <w:rFonts w:hint="eastAsia" w:ascii="方正仿宋_GBK"/>
          <w:sz w:val="32"/>
          <w:szCs w:val="32"/>
        </w:rPr>
        <w:t>《生产安全事故应急条例》（国务院令第708号）；</w:t>
      </w:r>
      <w:bookmarkEnd w:id="3"/>
    </w:p>
    <w:p>
      <w:pPr>
        <w:pStyle w:val="45"/>
        <w:ind w:firstLine="632" w:firstLineChars="200"/>
        <w:jc w:val="both"/>
        <w:rPr>
          <w:rFonts w:ascii="方正仿宋_GBK"/>
          <w:sz w:val="32"/>
          <w:szCs w:val="32"/>
        </w:rPr>
      </w:pPr>
      <w:r>
        <w:rPr>
          <w:rFonts w:hint="eastAsia" w:ascii="方正仿宋_GBK"/>
          <w:sz w:val="32"/>
          <w:szCs w:val="32"/>
        </w:rPr>
        <w:t>（5）《生产安全事故报告和调查处理条例》（国务院令第493号）；</w:t>
      </w:r>
    </w:p>
    <w:p>
      <w:pPr>
        <w:pStyle w:val="45"/>
        <w:ind w:firstLine="632" w:firstLineChars="200"/>
        <w:jc w:val="both"/>
        <w:rPr>
          <w:rFonts w:ascii="方正仿宋_GBK"/>
          <w:sz w:val="32"/>
          <w:szCs w:val="32"/>
        </w:rPr>
      </w:pPr>
      <w:r>
        <w:rPr>
          <w:rFonts w:hint="eastAsia" w:ascii="方正仿宋_GBK"/>
          <w:sz w:val="32"/>
          <w:szCs w:val="32"/>
        </w:rPr>
        <w:t>（6）《突发事件应急预案管理办法》（国办发〔2013〕101号）；</w:t>
      </w:r>
    </w:p>
    <w:p>
      <w:pPr>
        <w:pStyle w:val="45"/>
        <w:ind w:firstLine="632" w:firstLineChars="200"/>
        <w:jc w:val="both"/>
        <w:rPr>
          <w:rFonts w:ascii="方正仿宋_GBK"/>
          <w:sz w:val="32"/>
          <w:szCs w:val="32"/>
        </w:rPr>
      </w:pPr>
      <w:r>
        <w:rPr>
          <w:rFonts w:hint="eastAsia" w:ascii="方正仿宋_GBK"/>
          <w:sz w:val="32"/>
          <w:szCs w:val="32"/>
        </w:rPr>
        <w:t>（7）</w:t>
      </w:r>
      <w:bookmarkStart w:id="4" w:name="_Hlk113138531"/>
      <w:r>
        <w:rPr>
          <w:rFonts w:hint="eastAsia" w:ascii="方正仿宋_GBK"/>
          <w:sz w:val="32"/>
          <w:szCs w:val="32"/>
        </w:rPr>
        <w:t>《油气长输管道安全风险专项治理工作方案》（安委办〔20</w:t>
      </w:r>
      <w:r>
        <w:rPr>
          <w:rFonts w:ascii="方正仿宋_GBK"/>
          <w:sz w:val="32"/>
          <w:szCs w:val="32"/>
        </w:rPr>
        <w:t>2</w:t>
      </w:r>
      <w:r>
        <w:rPr>
          <w:rFonts w:hint="eastAsia" w:ascii="方正仿宋_GBK"/>
          <w:sz w:val="32"/>
          <w:szCs w:val="32"/>
        </w:rPr>
        <w:t>2〕3号）</w:t>
      </w:r>
      <w:bookmarkEnd w:id="4"/>
      <w:r>
        <w:rPr>
          <w:rFonts w:hint="eastAsia" w:ascii="方正仿宋_GBK"/>
          <w:sz w:val="32"/>
          <w:szCs w:val="32"/>
        </w:rPr>
        <w:t>；</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8</w:t>
      </w:r>
      <w:r>
        <w:rPr>
          <w:rFonts w:hint="eastAsia" w:ascii="方正仿宋_GBK"/>
          <w:sz w:val="32"/>
          <w:szCs w:val="32"/>
        </w:rPr>
        <w:t>）《生产安全事故应急预案管理办法》（应急管理部令第2号）；</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9</w:t>
      </w:r>
      <w:r>
        <w:rPr>
          <w:rFonts w:hint="eastAsia" w:ascii="方正仿宋_GBK"/>
          <w:sz w:val="32"/>
          <w:szCs w:val="32"/>
        </w:rPr>
        <w:t>）《重庆市突发事件应对条例》（重庆市人大常委会公告〔2012〕第9号）；</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10</w:t>
      </w:r>
      <w:r>
        <w:rPr>
          <w:rFonts w:hint="eastAsia" w:ascii="方正仿宋_GBK"/>
          <w:sz w:val="32"/>
          <w:szCs w:val="32"/>
        </w:rPr>
        <w:t>）《重庆市安全生产条例》（重庆市人大常委会公告〔2015〕第37号）；</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1</w:t>
      </w:r>
      <w:r>
        <w:rPr>
          <w:rFonts w:hint="eastAsia" w:ascii="方正仿宋_GBK"/>
          <w:sz w:val="32"/>
          <w:szCs w:val="32"/>
        </w:rPr>
        <w:t>）《重庆市突发事件预警信息发布管理办法》（渝府发〔2011〕31号）；</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2</w:t>
      </w:r>
      <w:r>
        <w:rPr>
          <w:rFonts w:hint="eastAsia" w:ascii="方正仿宋_GBK"/>
          <w:sz w:val="32"/>
          <w:szCs w:val="32"/>
        </w:rPr>
        <w:t>）《重庆市突发公共事件总体应急预案》（重庆市人民政府办公厅，2007年8月）；</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3</w:t>
      </w:r>
      <w:r>
        <w:rPr>
          <w:rFonts w:hint="eastAsia" w:ascii="方正仿宋_GBK"/>
          <w:sz w:val="32"/>
          <w:szCs w:val="32"/>
        </w:rPr>
        <w:t>）《重庆市人民政府办公厅关于进一步落实石油天然气管道保护职责的通知》（渝府办发〔2014〕78号）；</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4</w:t>
      </w:r>
      <w:r>
        <w:rPr>
          <w:rFonts w:hint="eastAsia" w:ascii="方正仿宋_GBK"/>
          <w:sz w:val="32"/>
          <w:szCs w:val="32"/>
        </w:rPr>
        <w:t>）《重庆市石油天然气长输管道事故应急预案》（渝府办发〔2017〕176号）；</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5</w:t>
      </w:r>
      <w:r>
        <w:rPr>
          <w:rFonts w:hint="eastAsia" w:ascii="方正仿宋_GBK"/>
          <w:sz w:val="32"/>
          <w:szCs w:val="32"/>
        </w:rPr>
        <w:t>）《重庆市突发事件应急预案管理实施办法》</w:t>
      </w:r>
      <w:bookmarkStart w:id="5" w:name="_Hlk113138569"/>
      <w:r>
        <w:rPr>
          <w:rFonts w:hint="eastAsia" w:ascii="方正仿宋_GBK"/>
          <w:sz w:val="32"/>
          <w:szCs w:val="32"/>
        </w:rPr>
        <w:t>（渝府办发〔2022〕37号）</w:t>
      </w:r>
      <w:bookmarkEnd w:id="5"/>
      <w:r>
        <w:rPr>
          <w:rFonts w:hint="eastAsia" w:ascii="方正仿宋_GBK"/>
          <w:sz w:val="32"/>
          <w:szCs w:val="32"/>
        </w:rPr>
        <w:t>；</w:t>
      </w:r>
    </w:p>
    <w:p>
      <w:pPr>
        <w:pStyle w:val="45"/>
        <w:ind w:firstLine="632" w:firstLineChars="200"/>
        <w:jc w:val="both"/>
        <w:rPr>
          <w:rFonts w:ascii="方正仿宋_GBK"/>
          <w:sz w:val="32"/>
          <w:szCs w:val="32"/>
        </w:rPr>
      </w:pPr>
      <w:r>
        <w:rPr>
          <w:rFonts w:hint="eastAsia" w:ascii="方正仿宋_GBK"/>
          <w:sz w:val="32"/>
          <w:szCs w:val="32"/>
        </w:rPr>
        <w:t>（1</w:t>
      </w:r>
      <w:r>
        <w:rPr>
          <w:rFonts w:ascii="方正仿宋_GBK"/>
          <w:sz w:val="32"/>
          <w:szCs w:val="32"/>
        </w:rPr>
        <w:t>6</w:t>
      </w:r>
      <w:r>
        <w:rPr>
          <w:rFonts w:hint="eastAsia" w:ascii="方正仿宋_GBK"/>
          <w:sz w:val="32"/>
          <w:szCs w:val="32"/>
        </w:rPr>
        <w:t>）《重庆市油气长输管道保护工作分级监督管理办法》（渝能源油气〔2017〕第60号）。</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6" w:name="_Toc119854374"/>
      <w:r>
        <w:rPr>
          <w:rFonts w:hint="eastAsia" w:ascii="方正楷体_GBK" w:hAnsi="方正楷体_GBK" w:eastAsia="方正楷体_GBK" w:cs="方正楷体_GBK"/>
          <w:b w:val="0"/>
          <w:bCs w:val="0"/>
        </w:rPr>
        <w:t>1.3  适用范围</w:t>
      </w:r>
      <w:bookmarkEnd w:id="6"/>
    </w:p>
    <w:p>
      <w:pPr>
        <w:pStyle w:val="45"/>
        <w:ind w:firstLine="632" w:firstLineChars="200"/>
        <w:jc w:val="both"/>
        <w:rPr>
          <w:rFonts w:ascii="方正仿宋_GBK"/>
          <w:sz w:val="32"/>
          <w:szCs w:val="32"/>
        </w:rPr>
      </w:pPr>
      <w:r>
        <w:rPr>
          <w:rFonts w:hint="eastAsia" w:ascii="方正仿宋_GBK"/>
          <w:sz w:val="32"/>
          <w:szCs w:val="32"/>
        </w:rPr>
        <w:t>本预案适用于重庆市江北区行政区域内石油天然气长输管道生产运行过程中发生的泄漏、火灾和爆炸等突发事件的应急处置工作。目前，我区境内共有油气长输管道4条，包括中国航空油料重庆分公司D219输油管道约3.92km、重庆燃气集团输配分公司D711外环管道约12.2km、D508晏鱼线管道约10.4km、中石油西南油气田分公司重庆气矿江北天然气运销部卧渝C线管道约3.5km，总长度约30.02km。</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7" w:name="_Toc119854375"/>
      <w:r>
        <w:rPr>
          <w:rFonts w:hint="eastAsia" w:ascii="方正楷体_GBK" w:hAnsi="方正楷体_GBK" w:eastAsia="方正楷体_GBK" w:cs="方正楷体_GBK"/>
          <w:b w:val="0"/>
          <w:bCs w:val="0"/>
        </w:rPr>
        <w:t>1.4  预案体系</w:t>
      </w:r>
      <w:bookmarkEnd w:id="7"/>
    </w:p>
    <w:p>
      <w:pPr>
        <w:pStyle w:val="45"/>
        <w:ind w:firstLine="632" w:firstLineChars="200"/>
        <w:jc w:val="both"/>
        <w:rPr>
          <w:rFonts w:ascii="方正仿宋_GBK"/>
          <w:sz w:val="32"/>
          <w:szCs w:val="32"/>
        </w:rPr>
      </w:pPr>
      <w:r>
        <w:rPr>
          <w:rFonts w:hint="eastAsia" w:ascii="方正仿宋_GBK"/>
          <w:sz w:val="32"/>
          <w:szCs w:val="32"/>
        </w:rPr>
        <w:t>本预案向上衔接《重庆市江北区突发事件总体应急预案》和《重庆市石油天然气长输管道事故应急预案》，是江北区突发事件总体应急预案体系的组成部分。向下与辖区内油气长输管道运营企业生产安全事故应急预案相衔接。预案体系见下图。</w:t>
      </w:r>
    </w:p>
    <w:p>
      <w:pPr>
        <w:keepNext/>
        <w:adjustRightInd w:val="0"/>
        <w:snapToGrid w:val="0"/>
        <w:jc w:val="center"/>
        <w:rPr>
          <w:rFonts w:hAnsi="宋体"/>
          <w:snapToGrid w:val="0"/>
          <w:kern w:val="0"/>
          <w:sz w:val="28"/>
          <w:szCs w:val="28"/>
        </w:rPr>
      </w:pPr>
      <w:bookmarkStart w:id="8" w:name="_Hlk113122953"/>
      <w:r>
        <w:rPr>
          <w:bCs/>
          <w:sz w:val="24"/>
        </w:rPr>
        <mc:AlternateContent>
          <mc:Choice Requires="wpc">
            <w:drawing>
              <wp:inline distT="0" distB="0" distL="0" distR="0">
                <wp:extent cx="5760085" cy="3095625"/>
                <wp:effectExtent l="0" t="0" r="0" b="0"/>
                <wp:docPr id="11" name="画布 11"/>
                <wp:cNvGraphicFramePr/>
                <a:graphic xmlns:a="http://schemas.openxmlformats.org/drawingml/2006/main">
                  <a:graphicData uri="http://schemas.microsoft.com/office/word/2010/wordprocessingCanvas">
                    <wpc:wpc>
                      <wpc:bg>
                        <a:noFill/>
                      </wpc:bg>
                      <wpc:whole>
                        <a:ln>
                          <a:noFill/>
                        </a:ln>
                      </wpc:whole>
                      <wps:wsp>
                        <wps:cNvPr id="4" name="自选图形 938"/>
                        <wps:cNvCnPr>
                          <a:cxnSpLocks noChangeShapeType="1"/>
                          <a:stCxn id="5" idx="2"/>
                          <a:endCxn id="8" idx="0"/>
                        </wps:cNvCnPr>
                        <wps:spPr bwMode="auto">
                          <a:xfrm>
                            <a:off x="2807077" y="2085975"/>
                            <a:ext cx="0" cy="448307"/>
                          </a:xfrm>
                          <a:prstGeom prst="straightConnector1">
                            <a:avLst/>
                          </a:prstGeom>
                          <a:noFill/>
                          <a:ln w="6350" cmpd="sng">
                            <a:solidFill>
                              <a:srgbClr val="000000"/>
                            </a:solidFill>
                            <a:round/>
                            <a:tailEnd type="stealth" w="med" len="lg"/>
                          </a:ln>
                          <a:effectLst/>
                        </wps:spPr>
                        <wps:bodyPr/>
                      </wps:wsp>
                      <wps:wsp>
                        <wps:cNvPr id="5" name="文本框 939"/>
                        <wps:cNvSpPr txBox="1">
                          <a:spLocks noChangeArrowheads="1"/>
                        </wps:cNvSpPr>
                        <wps:spPr bwMode="auto">
                          <a:xfrm>
                            <a:off x="985003" y="1738630"/>
                            <a:ext cx="3644147" cy="347345"/>
                          </a:xfrm>
                          <a:prstGeom prst="rect">
                            <a:avLst/>
                          </a:prstGeom>
                          <a:noFill/>
                          <a:ln w="6350" cmpd="dbl">
                            <a:solidFill>
                              <a:srgbClr val="000000"/>
                            </a:solidFill>
                            <a:miter lim="800000"/>
                          </a:ln>
                          <a:effectLst/>
                        </wps:spPr>
                        <wps:txbx>
                          <w:txbxContent>
                            <w:p>
                              <w:pPr>
                                <w:jc w:val="center"/>
                                <w:rPr>
                                  <w:rFonts w:ascii="方正仿宋_GBK" w:hAnsi="Arial" w:cs="Times New Roman"/>
                                  <w:b/>
                                  <w:bCs/>
                                  <w:color w:val="000000"/>
                                  <w:kern w:val="0"/>
                                  <w:sz w:val="24"/>
                                </w:rPr>
                              </w:pPr>
                              <w:r>
                                <w:rPr>
                                  <w:rFonts w:hint="eastAsia" w:ascii="方正仿宋_GBK" w:hAnsi="Arial" w:cs="Times New Roman"/>
                                  <w:b/>
                                  <w:bCs/>
                                  <w:color w:val="000000"/>
                                  <w:kern w:val="0"/>
                                  <w:sz w:val="24"/>
                                </w:rPr>
                                <w:t>重庆市江北区石油天然气长输管道突发事件应急预案</w:t>
                              </w:r>
                            </w:p>
                          </w:txbxContent>
                        </wps:txbx>
                        <wps:bodyPr rot="0" vert="horz" wrap="square" lIns="0" tIns="0" rIns="0" bIns="0" anchor="t" anchorCtr="0" upright="1">
                          <a:noAutofit/>
                        </wps:bodyPr>
                      </wps:wsp>
                      <wps:wsp>
                        <wps:cNvPr id="6" name="文本框 942"/>
                        <wps:cNvSpPr txBox="1">
                          <a:spLocks noChangeArrowheads="1"/>
                        </wps:cNvSpPr>
                        <wps:spPr bwMode="auto">
                          <a:xfrm>
                            <a:off x="95250" y="971551"/>
                            <a:ext cx="2581275" cy="361950"/>
                          </a:xfrm>
                          <a:prstGeom prst="rect">
                            <a:avLst/>
                          </a:prstGeom>
                          <a:noFill/>
                          <a:ln w="6350" cmpd="dbl">
                            <a:solidFill>
                              <a:srgbClr val="000000"/>
                            </a:solidFill>
                            <a:miter lim="800000"/>
                          </a:ln>
                          <a:effectLst/>
                        </wps:spPr>
                        <wps:txbx>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重庆市江北区突发事件总体应急预案</w:t>
                              </w:r>
                            </w:p>
                          </w:txbxContent>
                        </wps:txbx>
                        <wps:bodyPr rot="0" vert="horz" wrap="square" lIns="0" tIns="0" rIns="0" bIns="0" anchor="t" anchorCtr="0" upright="1">
                          <a:noAutofit/>
                        </wps:bodyPr>
                      </wps:wsp>
                      <wps:wsp>
                        <wps:cNvPr id="7" name="自选图形 943"/>
                        <wps:cNvCnPr>
                          <a:cxnSpLocks noChangeShapeType="1"/>
                          <a:endCxn id="6" idx="2"/>
                        </wps:cNvCnPr>
                        <wps:spPr bwMode="auto">
                          <a:xfrm flipV="1">
                            <a:off x="1385888" y="1333501"/>
                            <a:ext cx="0" cy="409574"/>
                          </a:xfrm>
                          <a:prstGeom prst="straightConnector1">
                            <a:avLst/>
                          </a:prstGeom>
                          <a:noFill/>
                          <a:ln w="6350" cmpd="sng">
                            <a:solidFill>
                              <a:srgbClr val="000000"/>
                            </a:solidFill>
                            <a:round/>
                            <a:headEnd type="stealth" w="med" len="lg"/>
                            <a:tailEnd type="none" w="med" len="lg"/>
                          </a:ln>
                          <a:effectLst/>
                        </wps:spPr>
                        <wps:bodyPr/>
                      </wps:wsp>
                      <wps:wsp>
                        <wps:cNvPr id="8" name="文本框 944"/>
                        <wps:cNvSpPr txBox="1">
                          <a:spLocks noChangeArrowheads="1"/>
                        </wps:cNvSpPr>
                        <wps:spPr bwMode="auto">
                          <a:xfrm>
                            <a:off x="985003" y="2534282"/>
                            <a:ext cx="3644147" cy="361317"/>
                          </a:xfrm>
                          <a:prstGeom prst="rect">
                            <a:avLst/>
                          </a:prstGeom>
                          <a:noFill/>
                          <a:ln w="6350" cmpd="dbl">
                            <a:solidFill>
                              <a:srgbClr val="000000"/>
                            </a:solidFill>
                            <a:miter lim="800000"/>
                          </a:ln>
                          <a:effectLst/>
                        </wps:spPr>
                        <wps:txbx>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辖区内油气长输管道运营企业生产安全事故应急预案</w:t>
                              </w:r>
                            </w:p>
                            <w:p>
                              <w:pPr>
                                <w:spacing w:before="289" w:beforeLines="50" w:line="320" w:lineRule="exact"/>
                                <w:jc w:val="center"/>
                              </w:pPr>
                            </w:p>
                          </w:txbxContent>
                        </wps:txbx>
                        <wps:bodyPr rot="0" vert="horz" wrap="square" lIns="0" tIns="0" rIns="0" bIns="0" anchor="t" anchorCtr="0" upright="1">
                          <a:noAutofit/>
                        </wps:bodyPr>
                      </wps:wsp>
                      <wps:wsp>
                        <wps:cNvPr id="9" name="文本框 984"/>
                        <wps:cNvSpPr txBox="1">
                          <a:spLocks noChangeArrowheads="1"/>
                        </wps:cNvSpPr>
                        <wps:spPr bwMode="auto">
                          <a:xfrm>
                            <a:off x="2829872" y="981075"/>
                            <a:ext cx="2819711" cy="352426"/>
                          </a:xfrm>
                          <a:prstGeom prst="rect">
                            <a:avLst/>
                          </a:prstGeom>
                          <a:noFill/>
                          <a:ln w="6350" cmpd="dbl">
                            <a:solidFill>
                              <a:srgbClr val="000000"/>
                            </a:solidFill>
                            <a:miter lim="800000"/>
                          </a:ln>
                          <a:effectLst/>
                        </wps:spPr>
                        <wps:txbx>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重庆市石油天然气长输管道事故应急预案</w:t>
                              </w:r>
                            </w:p>
                          </w:txbxContent>
                        </wps:txbx>
                        <wps:bodyPr rot="0" vert="horz" wrap="square" lIns="0" tIns="0" rIns="0" bIns="0" anchor="t" anchorCtr="0" upright="1">
                          <a:noAutofit/>
                        </wps:bodyPr>
                      </wps:wsp>
                      <wps:wsp>
                        <wps:cNvPr id="10" name="自选图形 985"/>
                        <wps:cNvCnPr>
                          <a:cxnSpLocks noChangeShapeType="1"/>
                          <a:endCxn id="9" idx="2"/>
                        </wps:cNvCnPr>
                        <wps:spPr bwMode="auto">
                          <a:xfrm flipV="1">
                            <a:off x="4239728" y="1333501"/>
                            <a:ext cx="0" cy="409574"/>
                          </a:xfrm>
                          <a:prstGeom prst="straightConnector1">
                            <a:avLst/>
                          </a:prstGeom>
                          <a:noFill/>
                          <a:ln w="6350" cmpd="sng">
                            <a:solidFill>
                              <a:srgbClr val="000000"/>
                            </a:solidFill>
                            <a:round/>
                            <a:headEnd type="stealth" w="med" len="lg"/>
                            <a:tailEnd type="none" w="med" len="lg"/>
                          </a:ln>
                          <a:effectLst/>
                        </wps:spPr>
                        <wps:bodyPr/>
                      </wps:wsp>
                      <wps:wsp>
                        <wps:cNvPr id="1" name="文本框 942"/>
                        <wps:cNvSpPr txBox="1">
                          <a:spLocks noChangeArrowheads="1"/>
                        </wps:cNvSpPr>
                        <wps:spPr bwMode="auto">
                          <a:xfrm>
                            <a:off x="1276350" y="209551"/>
                            <a:ext cx="2857500" cy="361950"/>
                          </a:xfrm>
                          <a:prstGeom prst="rect">
                            <a:avLst/>
                          </a:prstGeom>
                          <a:noFill/>
                          <a:ln w="6350" cmpd="dbl">
                            <a:solidFill>
                              <a:srgbClr val="000000"/>
                            </a:solidFill>
                            <a:miter lim="800000"/>
                          </a:ln>
                          <a:effectLst/>
                        </wps:spPr>
                        <wps:txbx>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重庆市突发公共事件总体应急预案</w:t>
                              </w:r>
                            </w:p>
                          </w:txbxContent>
                        </wps:txbx>
                        <wps:bodyPr rot="0" vert="horz" wrap="square" lIns="0" tIns="0" rIns="0" bIns="0" anchor="t" anchorCtr="0" upright="1">
                          <a:noAutofit/>
                        </wps:bodyPr>
                      </wps:wsp>
                      <wps:wsp>
                        <wps:cNvPr id="2" name="自选图形 943"/>
                        <wps:cNvCnPr>
                          <a:cxnSpLocks noChangeShapeType="1"/>
                        </wps:cNvCnPr>
                        <wps:spPr bwMode="auto">
                          <a:xfrm flipV="1">
                            <a:off x="1871663" y="571501"/>
                            <a:ext cx="0" cy="409574"/>
                          </a:xfrm>
                          <a:prstGeom prst="straightConnector1">
                            <a:avLst/>
                          </a:prstGeom>
                          <a:noFill/>
                          <a:ln w="6350" cmpd="sng">
                            <a:solidFill>
                              <a:srgbClr val="000000"/>
                            </a:solidFill>
                            <a:round/>
                            <a:headEnd type="stealth" w="med" len="lg"/>
                            <a:tailEnd type="none" w="med" len="lg"/>
                          </a:ln>
                          <a:effectLst/>
                        </wps:spPr>
                        <wps:bodyPr/>
                      </wps:wsp>
                      <wps:wsp>
                        <wps:cNvPr id="3" name="自选图形 943"/>
                        <wps:cNvCnPr>
                          <a:cxnSpLocks noChangeShapeType="1"/>
                        </wps:cNvCnPr>
                        <wps:spPr bwMode="auto">
                          <a:xfrm flipV="1">
                            <a:off x="3538538" y="571501"/>
                            <a:ext cx="0" cy="409574"/>
                          </a:xfrm>
                          <a:prstGeom prst="straightConnector1">
                            <a:avLst/>
                          </a:prstGeom>
                          <a:noFill/>
                          <a:ln w="6350" cmpd="sng">
                            <a:solidFill>
                              <a:srgbClr val="000000"/>
                            </a:solidFill>
                            <a:round/>
                            <a:headEnd type="stealth" w="med" len="lg"/>
                            <a:tailEnd type="none" w="med" len="lg"/>
                          </a:ln>
                          <a:effectLst/>
                        </wps:spPr>
                        <wps:bodyPr/>
                      </wps:wsp>
                    </wpc:wpc>
                  </a:graphicData>
                </a:graphic>
              </wp:inline>
            </w:drawing>
          </mc:Choice>
          <mc:Fallback>
            <w:pict>
              <v:group id="_x0000_s1026" o:spid="_x0000_s1026" o:spt="203" style="height:243.75pt;width:453.55pt;" coordsize="5760085,3095625" editas="canvas" o:gfxdata="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OzFFNdcAAAAFAQAADwAAAAAAAAABACAAAAAiAAAAZHJzL2Rvd25yZXYueG1sUEsB&#10;AhQAFAAAAAgAh07iQCHnGhqiBAAArhsAAA4AAAAAAAAAAQAgAAAAJgEAAGRycy9lMm9Eb2MueG1s&#10;UEsFBgAAAAAGAAYAWQEAADoIAAAAAA==&#10;">
                <o:lock v:ext="edit" aspectratio="f"/>
                <v:shape id="_x0000_s1026" o:spid="_x0000_s1026" style="position:absolute;left:0;top:0;height:3095625;width:5760085;" filled="f" stroked="f" coordsize="21600,21600" o:gfxdata="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OzFFNdcAAAAFAQAADwAAAAAAAAABACAAAAAiAAAAZHJzL2Rvd25yZXYueG1sUEsBAhQAFAAA&#10;AAgAh07iQEKWbtpjBAAAKRsAAA4AAAAAAAAAAQAgAAAAJgEAAGRycy9lMm9Eb2MueG1sUEsFBgAA&#10;AAAGAAYAWQEAAPsHAAAAAA==&#10;">
                  <v:fill on="f" focussize="0,0"/>
                  <v:stroke on="f"/>
                  <v:imagedata o:title=""/>
                  <o:lock v:ext="edit" aspectratio="f"/>
                </v:shape>
                <v:shape id="自选图形 938" o:spid="_x0000_s1026" o:spt="32" type="#_x0000_t32" style="position:absolute;left:2807077;top:2085975;height:448307;width:0;" filled="f" stroked="t" coordsize="21600,21600" o:gfxdata="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5su3TVAAAABQEAAA8A&#10;AAAAAAAAAQAgAAAAIgAAAGRycy9kb3ducmV2LnhtbFBLAQIUABQAAAAIAIdO4kCldCbVGgIAAOwD&#10;AAAOAAAAAAAAAAEAIAAAACQBAABkcnMvZTJvRG9jLnhtbFBLBQYAAAAABgAGAFkBAACwBQAAAAA=&#10;">
                  <v:fill on="f" focussize="0,0"/>
                  <v:stroke weight="0.5pt" color="#000000" joinstyle="round" endarrow="classic" endarrowlength="long"/>
                  <v:imagedata o:title=""/>
                  <o:lock v:ext="edit" aspectratio="f"/>
                </v:shape>
                <v:shape id="文本框 939" o:spid="_x0000_s1026" o:spt="202" type="#_x0000_t202" style="position:absolute;left:985003;top:1738630;height:347345;width:3644147;" filled="f" stroked="t" coordsize="21600,21600" o:gfxdata="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GopgzUAAAABQEAAA8AAAAAAAAAAQAgAAAAIgAAAGRycy9kb3ducmV2LnhtbFBL&#10;AQIUABQAAAAIAIdO4kBVLNZDMwIAACYEAAAOAAAAAAAAAAEAIAAAACMBAABkcnMvZTJvRG9jLnht&#10;bFBLBQYAAAAABgAGAFkBAADIBQAAAAA=&#10;">
                  <v:fill on="f" focussize="0,0"/>
                  <v:stroke weight="0.5pt" color="#000000" linestyle="thinThin" miterlimit="8" joinstyle="miter"/>
                  <v:imagedata o:title=""/>
                  <o:lock v:ext="edit" aspectratio="f"/>
                  <v:textbox inset="0mm,0mm,0mm,0mm">
                    <w:txbxContent>
                      <w:p>
                        <w:pPr>
                          <w:jc w:val="center"/>
                          <w:rPr>
                            <w:rFonts w:ascii="方正仿宋_GBK" w:hAnsi="Arial" w:cs="Times New Roman"/>
                            <w:b/>
                            <w:bCs/>
                            <w:color w:val="000000"/>
                            <w:kern w:val="0"/>
                            <w:sz w:val="24"/>
                          </w:rPr>
                        </w:pPr>
                        <w:r>
                          <w:rPr>
                            <w:rFonts w:hint="eastAsia" w:ascii="方正仿宋_GBK" w:hAnsi="Arial" w:cs="Times New Roman"/>
                            <w:b/>
                            <w:bCs/>
                            <w:color w:val="000000"/>
                            <w:kern w:val="0"/>
                            <w:sz w:val="24"/>
                          </w:rPr>
                          <w:t>重庆市江北区石油天然气长输管道突发事件应急预案</w:t>
                        </w:r>
                      </w:p>
                    </w:txbxContent>
                  </v:textbox>
                </v:shape>
                <v:shape id="文本框 942" o:spid="_x0000_s1026" o:spt="202" type="#_x0000_t202" style="position:absolute;left:95250;top:971551;height:361950;width:2581275;" filled="f" stroked="t" coordsize="21600,21600" o:gfxdata="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aimDNQAAAAFAQAADwAAAAAAAAABACAAAAAiAAAAZHJzL2Rvd25yZXYueG1sUEsBAhQA&#10;FAAAAAgAh07iQJJOz6svAgAAJAQAAA4AAAAAAAAAAQAgAAAAIwEAAGRycy9lMm9Eb2MueG1sUEsF&#10;BgAAAAAGAAYAWQEAAMQFAAAAAA==&#10;">
                  <v:fill on="f" focussize="0,0"/>
                  <v:stroke weight="0.5pt" color="#000000" linestyle="thinThin" miterlimit="8" joinstyle="miter"/>
                  <v:imagedata o:title=""/>
                  <o:lock v:ext="edit" aspectratio="f"/>
                  <v:textbox inset="0mm,0mm,0mm,0mm">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重庆市江北区突发事件总体应急预案</w:t>
                        </w:r>
                      </w:p>
                    </w:txbxContent>
                  </v:textbox>
                </v:shape>
                <v:shape id="自选图形 943" o:spid="_x0000_s1026" o:spt="32" type="#_x0000_t32" style="position:absolute;left:1385888;top:1333501;flip:y;height:409574;width:0;" filled="f" stroked="t" coordsize="21600,21600" o:gfxdata="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43Y49YA&#10;AAAFAQAADwAAAAAAAAABACAAAAAiAAAAZHJzL2Rvd25yZXYueG1sUEsBAhQAFAAAAAgAh07iQAE7&#10;Xl8hAgAABgQAAA4AAAAAAAAAAQAgAAAAJQEAAGRycy9lMm9Eb2MueG1sUEsFBgAAAAAGAAYAWQEA&#10;ALgFAAAAAA==&#10;">
                  <v:fill on="f" focussize="0,0"/>
                  <v:stroke weight="0.5pt" color="#000000" joinstyle="round" startarrow="classic" startarrowlength="long" endarrowlength="long"/>
                  <v:imagedata o:title=""/>
                  <o:lock v:ext="edit" aspectratio="f"/>
                </v:shape>
                <v:shape id="文本框 944" o:spid="_x0000_s1026" o:spt="202" type="#_x0000_t202" style="position:absolute;left:985003;top:2534282;height:361317;width:3644147;" filled="f" stroked="t" coordsize="21600,21600" o:gfxdata="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GopgzUAAAABQEAAA8AAAAAAAAAAQAgAAAAIgAAAGRycy9kb3ducmV2LnhtbFBL&#10;AQIUABQAAAAIAIdO4kDiQrWaMwIAACYEAAAOAAAAAAAAAAEAIAAAACMBAABkcnMvZTJvRG9jLnht&#10;bFBLBQYAAAAABgAGAFkBAADIBQAAAAA=&#10;">
                  <v:fill on="f" focussize="0,0"/>
                  <v:stroke weight="0.5pt" color="#000000" linestyle="thinThin" miterlimit="8" joinstyle="miter"/>
                  <v:imagedata o:title=""/>
                  <o:lock v:ext="edit" aspectratio="f"/>
                  <v:textbox inset="0mm,0mm,0mm,0mm">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辖区内油气长输管道运营企业生产安全事故应急预案</w:t>
                        </w:r>
                      </w:p>
                      <w:p>
                        <w:pPr>
                          <w:spacing w:before="289" w:beforeLines="50" w:line="320" w:lineRule="exact"/>
                          <w:jc w:val="center"/>
                        </w:pPr>
                      </w:p>
                    </w:txbxContent>
                  </v:textbox>
                </v:shape>
                <v:shape id="文本框 984" o:spid="_x0000_s1026" o:spt="202" type="#_x0000_t202" style="position:absolute;left:2829872;top:981075;height:352426;width:2819711;" filled="f" stroked="t" coordsize="21600,21600" o:gfxdata="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aimDNQAAAAFAQAADwAAAAAAAAABACAAAAAiAAAAZHJzL2Rvd25yZXYueG1sUEsB&#10;AhQAFAAAAAgAh07iQB/hss0yAgAAJgQAAA4AAAAAAAAAAQAgAAAAIwEAAGRycy9lMm9Eb2MueG1s&#10;UEsFBgAAAAAGAAYAWQEAAMcFAAAAAA==&#10;">
                  <v:fill on="f" focussize="0,0"/>
                  <v:stroke weight="0.5pt" color="#000000" linestyle="thinThin" miterlimit="8" joinstyle="miter"/>
                  <v:imagedata o:title=""/>
                  <o:lock v:ext="edit" aspectratio="f"/>
                  <v:textbox inset="0mm,0mm,0mm,0mm">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重庆市石油天然气长输管道事故应急预案</w:t>
                        </w:r>
                      </w:p>
                    </w:txbxContent>
                  </v:textbox>
                </v:shape>
                <v:shape id="自选图形 985" o:spid="_x0000_s1026" o:spt="32" type="#_x0000_t32" style="position:absolute;left:4239728;top:1333501;flip:y;height:409574;width:0;" filled="f" stroked="t" coordsize="21600,21600" o:gfxdata="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eN2OPW&#10;AAAABQEAAA8AAAAAAAAAAQAgAAAAIgAAAGRycy9kb3ducmV2LnhtbFBLAQIUABQAAAAIAIdO4kAD&#10;dM+zIgIAAAcEAAAOAAAAAAAAAAEAIAAAACUBAABkcnMvZTJvRG9jLnhtbFBLBQYAAAAABgAGAFkB&#10;AAC5BQAAAAA=&#10;">
                  <v:fill on="f" focussize="0,0"/>
                  <v:stroke weight="0.5pt" color="#000000" joinstyle="round" startarrow="classic" startarrowlength="long" endarrowlength="long"/>
                  <v:imagedata o:title=""/>
                  <o:lock v:ext="edit" aspectratio="f"/>
                </v:shape>
                <v:shape id="文本框 942" o:spid="_x0000_s1026" o:spt="202" type="#_x0000_t202" style="position:absolute;left:1276350;top:209551;height:361950;width:2857500;" filled="f" stroked="t" coordsize="21600,21600" o:gfxdata="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qKYM1AAAAAUBAAAPAAAAAAAAAAEAIAAAACIAAABkcnMvZG93bnJldi54bWxQSwECFAAU&#10;AAAACACHTuJAVw75gC4CAAAmBAAADgAAAAAAAAABACAAAAAjAQAAZHJzL2Uyb0RvYy54bWxQSwUG&#10;AAAAAAYABgBZAQAAwwUAAAAA&#10;">
                  <v:fill on="f" focussize="0,0"/>
                  <v:stroke weight="0.5pt" color="#000000" linestyle="thinThin" miterlimit="8" joinstyle="miter"/>
                  <v:imagedata o:title=""/>
                  <o:lock v:ext="edit" aspectratio="f"/>
                  <v:textbox inset="0mm,0mm,0mm,0mm">
                    <w:txbxContent>
                      <w:p>
                        <w:pPr>
                          <w:jc w:val="center"/>
                          <w:rPr>
                            <w:rFonts w:ascii="方正仿宋_GBK" w:hAnsi="Arial" w:cs="Times New Roman"/>
                            <w:color w:val="000000"/>
                            <w:kern w:val="0"/>
                            <w:sz w:val="24"/>
                          </w:rPr>
                        </w:pPr>
                        <w:r>
                          <w:rPr>
                            <w:rFonts w:hint="eastAsia" w:ascii="方正仿宋_GBK" w:hAnsi="Arial" w:cs="Times New Roman"/>
                            <w:color w:val="000000"/>
                            <w:kern w:val="0"/>
                            <w:sz w:val="24"/>
                          </w:rPr>
                          <w:t>重庆市突发公共事件总体应急预案</w:t>
                        </w:r>
                      </w:p>
                    </w:txbxContent>
                  </v:textbox>
                </v:shape>
                <v:shape id="自选图形 943" o:spid="_x0000_s1026" o:spt="32" type="#_x0000_t32" style="position:absolute;left:1871663;top:571501;flip:y;height:409574;width:0;" filled="f" stroked="t" coordsize="21600,21600" o:gfxdata="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43Y49YAAAAFAQAADwAAAAAA&#10;AAABACAAAAAiAAAAZHJzL2Rvd25yZXYueG1sUEsBAhQAFAAAAAgAh07iQIhFqmQVAgAA6wMAAA4A&#10;AAAAAAAAAQAgAAAAJQEAAGRycy9lMm9Eb2MueG1sUEsFBgAAAAAGAAYAWQEAAKwFAAAAAA==&#10;">
                  <v:fill on="f" focussize="0,0"/>
                  <v:stroke weight="0.5pt" color="#000000" joinstyle="round" startarrow="classic" startarrowlength="long" endarrowlength="long"/>
                  <v:imagedata o:title=""/>
                  <o:lock v:ext="edit" aspectratio="f"/>
                </v:shape>
                <v:shape id="自选图形 943" o:spid="_x0000_s1026" o:spt="32" type="#_x0000_t32" style="position:absolute;left:3538538;top:571501;flip:y;height:409574;width:0;" filled="f" stroked="t" coordsize="21600,21600" o:gfxdata="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N2OPWAAAABQEAAA8AAAAA&#10;AAAAAQAgAAAAIgAAAGRycy9kb3ducmV2LnhtbFBLAQIUABQAAAAIAIdO4kCY8QF1FgIAAOsDAAAO&#10;AAAAAAAAAAEAIAAAACUBAABkcnMvZTJvRG9jLnhtbFBLBQYAAAAABgAGAFkBAACtBQAAAAA=&#10;">
                  <v:fill on="f" focussize="0,0"/>
                  <v:stroke weight="0.5pt" color="#000000" joinstyle="round" startarrow="classic" startarrowlength="long" endarrowlength="long"/>
                  <v:imagedata o:title=""/>
                  <o:lock v:ext="edit" aspectratio="f"/>
                </v:shape>
                <w10:wrap type="none"/>
                <w10:anchorlock/>
              </v:group>
            </w:pict>
          </mc:Fallback>
        </mc:AlternateContent>
      </w:r>
    </w:p>
    <w:p>
      <w:pPr>
        <w:widowControl/>
        <w:adjustRightInd w:val="0"/>
        <w:snapToGrid w:val="0"/>
        <w:spacing w:before="100" w:beforeAutospacing="1" w:after="100" w:afterAutospacing="1"/>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图1.4-1  应急预案体系图</w:t>
      </w:r>
    </w:p>
    <w:bookmarkEnd w:id="8"/>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9" w:name="_Toc119854376"/>
      <w:r>
        <w:rPr>
          <w:rFonts w:hint="eastAsia" w:ascii="方正楷体_GBK" w:hAnsi="方正楷体_GBK" w:eastAsia="方正楷体_GBK" w:cs="方正楷体_GBK"/>
          <w:b w:val="0"/>
          <w:bCs w:val="0"/>
        </w:rPr>
        <w:t>1.5  工作原则</w:t>
      </w:r>
      <w:bookmarkEnd w:id="9"/>
    </w:p>
    <w:p>
      <w:pPr>
        <w:pStyle w:val="45"/>
        <w:ind w:firstLine="632" w:firstLineChars="200"/>
        <w:rPr>
          <w:rFonts w:ascii="方正仿宋_GBK"/>
          <w:sz w:val="32"/>
          <w:szCs w:val="32"/>
        </w:rPr>
      </w:pPr>
      <w:r>
        <w:rPr>
          <w:rFonts w:hint="eastAsia" w:ascii="方正仿宋_GBK"/>
          <w:sz w:val="32"/>
          <w:szCs w:val="32"/>
        </w:rPr>
        <w:t>以人为本、安全第一，预防为主、常备不懈，统一指挥、分级负责，职责明确、分工协作，科学应对、高效处置，信息互通、资源共享。</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0" w:name="_Toc119854377"/>
      <w:r>
        <w:rPr>
          <w:rFonts w:hint="eastAsia" w:ascii="方正楷体_GBK" w:hAnsi="方正楷体_GBK" w:eastAsia="方正楷体_GBK" w:cs="方正楷体_GBK"/>
          <w:b w:val="0"/>
          <w:bCs w:val="0"/>
        </w:rPr>
        <w:t>1.6  分级标准</w:t>
      </w:r>
      <w:bookmarkEnd w:id="10"/>
    </w:p>
    <w:p>
      <w:pPr>
        <w:pStyle w:val="45"/>
        <w:ind w:firstLine="632" w:firstLineChars="200"/>
        <w:jc w:val="both"/>
        <w:rPr>
          <w:rFonts w:ascii="方正仿宋_GBK"/>
          <w:sz w:val="32"/>
          <w:szCs w:val="32"/>
        </w:rPr>
      </w:pPr>
      <w:r>
        <w:rPr>
          <w:rFonts w:hint="eastAsia" w:ascii="方正仿宋_GBK"/>
          <w:sz w:val="32"/>
          <w:szCs w:val="32"/>
        </w:rPr>
        <w:t>本预案所称石油天然气长输管道突发事件是指突然发生，造成或者可能造成较大人员伤亡、财产损失、环境污染，严重影响石油天然气长输管道平稳运行和群众生活的突发事件。按照社会危害程度、影响范围、损毁程度等因素，突发事件由低到高划分为一般（Ⅳ级）、较大（Ⅲ级）、重大（Ⅱ级）、特别重大（Ⅰ级）四个级别。</w:t>
      </w:r>
    </w:p>
    <w:p>
      <w:pPr>
        <w:keepNext/>
        <w:keepLines/>
        <w:ind w:firstLine="632" w:firstLineChars="200"/>
        <w:outlineLvl w:val="2"/>
        <w:rPr>
          <w:rFonts w:ascii="仿宋_GB2312" w:eastAsia="仿宋_GB2312"/>
          <w:b/>
          <w:bCs/>
        </w:rPr>
      </w:pPr>
      <w:r>
        <w:rPr>
          <w:rFonts w:hint="eastAsia" w:ascii="仿宋_GB2312" w:eastAsia="仿宋_GB2312"/>
          <w:b/>
          <w:bCs/>
        </w:rPr>
        <w:t>1.6.1</w:t>
      </w:r>
      <w:r>
        <w:rPr>
          <w:rFonts w:ascii="仿宋_GB2312" w:eastAsia="仿宋_GB2312"/>
          <w:b/>
          <w:bCs/>
        </w:rPr>
        <w:t xml:space="preserve"> </w:t>
      </w:r>
      <w:r>
        <w:rPr>
          <w:rFonts w:hint="eastAsia" w:ascii="仿宋_GB2312" w:eastAsia="仿宋_GB2312"/>
          <w:b/>
          <w:bCs/>
        </w:rPr>
        <w:t>一般突发事件（Ⅳ级）</w:t>
      </w:r>
    </w:p>
    <w:p>
      <w:pPr>
        <w:pStyle w:val="45"/>
        <w:ind w:firstLine="632" w:firstLineChars="200"/>
        <w:rPr>
          <w:rFonts w:ascii="方正仿宋_GBK"/>
          <w:sz w:val="32"/>
          <w:szCs w:val="32"/>
        </w:rPr>
      </w:pPr>
      <w:r>
        <w:rPr>
          <w:rFonts w:hint="eastAsia" w:ascii="方正仿宋_GBK"/>
          <w:sz w:val="32"/>
          <w:szCs w:val="32"/>
        </w:rPr>
        <w:t>符合下列条件之一的为一般突发事件（Ⅳ级）：</w:t>
      </w:r>
    </w:p>
    <w:p>
      <w:pPr>
        <w:pStyle w:val="45"/>
        <w:ind w:firstLine="632" w:firstLineChars="200"/>
        <w:rPr>
          <w:rFonts w:ascii="方正仿宋_GBK"/>
          <w:sz w:val="32"/>
          <w:szCs w:val="32"/>
        </w:rPr>
      </w:pPr>
      <w:r>
        <w:rPr>
          <w:rFonts w:hint="eastAsia" w:ascii="方正仿宋_GBK"/>
          <w:sz w:val="32"/>
          <w:szCs w:val="32"/>
        </w:rPr>
        <w:t>（1）造成3人以下死亡，或者10人以下重伤（包括急性中毒，下同）；</w:t>
      </w:r>
    </w:p>
    <w:p>
      <w:pPr>
        <w:pStyle w:val="45"/>
        <w:ind w:firstLine="632" w:firstLineChars="200"/>
        <w:rPr>
          <w:rFonts w:ascii="方正仿宋_GBK"/>
          <w:sz w:val="32"/>
          <w:szCs w:val="32"/>
        </w:rPr>
      </w:pPr>
      <w:r>
        <w:rPr>
          <w:rFonts w:hint="eastAsia" w:ascii="方正仿宋_GBK"/>
          <w:sz w:val="32"/>
          <w:szCs w:val="32"/>
        </w:rPr>
        <w:t>（2）对社会安全、环境造成影响，需要紧急转移安置10至100人；</w:t>
      </w:r>
    </w:p>
    <w:p>
      <w:pPr>
        <w:pStyle w:val="45"/>
        <w:ind w:firstLine="632" w:firstLineChars="200"/>
        <w:rPr>
          <w:rFonts w:ascii="方正仿宋_GBK"/>
          <w:sz w:val="32"/>
          <w:szCs w:val="32"/>
        </w:rPr>
      </w:pPr>
      <w:r>
        <w:rPr>
          <w:rFonts w:hint="eastAsia" w:ascii="方正仿宋_GBK"/>
          <w:sz w:val="32"/>
          <w:szCs w:val="32"/>
        </w:rPr>
        <w:t>（3）造成直接经济损失1000万元以下。</w:t>
      </w:r>
    </w:p>
    <w:p>
      <w:pPr>
        <w:keepNext/>
        <w:keepLines/>
        <w:ind w:firstLine="632" w:firstLineChars="200"/>
        <w:outlineLvl w:val="2"/>
        <w:rPr>
          <w:rFonts w:ascii="仿宋_GB2312" w:eastAsia="仿宋_GB2312"/>
          <w:b/>
          <w:bCs/>
        </w:rPr>
      </w:pPr>
      <w:r>
        <w:rPr>
          <w:rFonts w:hint="eastAsia" w:ascii="仿宋_GB2312" w:eastAsia="仿宋_GB2312"/>
          <w:b/>
          <w:bCs/>
        </w:rPr>
        <w:t>1.6.2</w:t>
      </w:r>
      <w:r>
        <w:rPr>
          <w:rFonts w:ascii="仿宋_GB2312" w:eastAsia="仿宋_GB2312"/>
          <w:b/>
          <w:bCs/>
        </w:rPr>
        <w:t xml:space="preserve"> </w:t>
      </w:r>
      <w:r>
        <w:rPr>
          <w:rFonts w:hint="eastAsia" w:ascii="仿宋_GB2312" w:eastAsia="仿宋_GB2312"/>
          <w:b/>
          <w:bCs/>
        </w:rPr>
        <w:t>较大突发事件（Ⅲ级）</w:t>
      </w:r>
    </w:p>
    <w:p>
      <w:pPr>
        <w:pStyle w:val="45"/>
        <w:ind w:firstLine="632" w:firstLineChars="200"/>
        <w:rPr>
          <w:rFonts w:ascii="方正仿宋_GBK"/>
          <w:sz w:val="32"/>
          <w:szCs w:val="32"/>
        </w:rPr>
      </w:pPr>
      <w:r>
        <w:rPr>
          <w:rFonts w:hint="eastAsia" w:ascii="方正仿宋_GBK"/>
          <w:sz w:val="32"/>
          <w:szCs w:val="32"/>
        </w:rPr>
        <w:t>符合下列条件之一的为较大突发事件（Ⅲ级）：</w:t>
      </w:r>
    </w:p>
    <w:p>
      <w:pPr>
        <w:pStyle w:val="45"/>
        <w:ind w:firstLine="632" w:firstLineChars="200"/>
        <w:rPr>
          <w:rFonts w:ascii="方正仿宋_GBK"/>
          <w:sz w:val="32"/>
          <w:szCs w:val="32"/>
        </w:rPr>
      </w:pPr>
      <w:r>
        <w:rPr>
          <w:rFonts w:hint="eastAsia" w:ascii="方正仿宋_GBK"/>
          <w:sz w:val="32"/>
          <w:szCs w:val="32"/>
        </w:rPr>
        <w:t>（1）造成3人以上10人以下死亡或者10人以上50人以下重伤；</w:t>
      </w:r>
    </w:p>
    <w:p>
      <w:pPr>
        <w:pStyle w:val="45"/>
        <w:ind w:firstLine="632" w:firstLineChars="200"/>
        <w:rPr>
          <w:rFonts w:ascii="方正仿宋_GBK"/>
          <w:sz w:val="32"/>
          <w:szCs w:val="32"/>
        </w:rPr>
      </w:pPr>
      <w:r>
        <w:rPr>
          <w:rFonts w:hint="eastAsia" w:ascii="方正仿宋_GBK"/>
          <w:sz w:val="32"/>
          <w:szCs w:val="32"/>
        </w:rPr>
        <w:t>（2）对社会安全、环境造成严重影响，需要紧急转移安置100至5000人；</w:t>
      </w:r>
    </w:p>
    <w:p>
      <w:pPr>
        <w:pStyle w:val="45"/>
        <w:ind w:firstLine="632" w:firstLineChars="200"/>
        <w:rPr>
          <w:rFonts w:ascii="方正仿宋_GBK"/>
          <w:sz w:val="32"/>
          <w:szCs w:val="32"/>
        </w:rPr>
      </w:pPr>
      <w:r>
        <w:rPr>
          <w:rFonts w:hint="eastAsia" w:ascii="方正仿宋_GBK"/>
          <w:sz w:val="32"/>
          <w:szCs w:val="32"/>
        </w:rPr>
        <w:t>（3）造成直接经济损失1000万元以上5000万元以下。</w:t>
      </w:r>
    </w:p>
    <w:p>
      <w:pPr>
        <w:keepNext/>
        <w:keepLines/>
        <w:ind w:firstLine="632" w:firstLineChars="200"/>
        <w:outlineLvl w:val="2"/>
        <w:rPr>
          <w:rFonts w:ascii="仿宋_GB2312" w:eastAsia="仿宋_GB2312"/>
          <w:b/>
          <w:bCs/>
        </w:rPr>
      </w:pPr>
      <w:r>
        <w:rPr>
          <w:rFonts w:hint="eastAsia" w:ascii="仿宋_GB2312" w:eastAsia="仿宋_GB2312"/>
          <w:b/>
          <w:bCs/>
        </w:rPr>
        <w:t>1.6.3</w:t>
      </w:r>
      <w:r>
        <w:rPr>
          <w:rFonts w:ascii="仿宋_GB2312" w:eastAsia="仿宋_GB2312"/>
          <w:b/>
          <w:bCs/>
        </w:rPr>
        <w:t xml:space="preserve"> </w:t>
      </w:r>
      <w:r>
        <w:rPr>
          <w:rFonts w:hint="eastAsia" w:ascii="仿宋_GB2312" w:eastAsia="仿宋_GB2312"/>
          <w:b/>
          <w:bCs/>
        </w:rPr>
        <w:t>重大突发事件（Ⅱ级）</w:t>
      </w:r>
    </w:p>
    <w:p>
      <w:pPr>
        <w:pStyle w:val="45"/>
        <w:ind w:firstLine="632" w:firstLineChars="200"/>
        <w:rPr>
          <w:rFonts w:ascii="方正仿宋_GBK"/>
          <w:sz w:val="32"/>
          <w:szCs w:val="32"/>
        </w:rPr>
      </w:pPr>
      <w:r>
        <w:rPr>
          <w:rFonts w:hint="eastAsia" w:ascii="方正仿宋_GBK"/>
          <w:sz w:val="32"/>
          <w:szCs w:val="32"/>
        </w:rPr>
        <w:t>符合下列条件之一的为重大突发事件（Ⅱ级）：</w:t>
      </w:r>
    </w:p>
    <w:p>
      <w:pPr>
        <w:pStyle w:val="45"/>
        <w:ind w:firstLine="632" w:firstLineChars="200"/>
        <w:rPr>
          <w:rFonts w:ascii="方正仿宋_GBK"/>
          <w:sz w:val="32"/>
          <w:szCs w:val="32"/>
        </w:rPr>
      </w:pPr>
      <w:r>
        <w:rPr>
          <w:rFonts w:hint="eastAsia" w:ascii="方正仿宋_GBK"/>
          <w:sz w:val="32"/>
          <w:szCs w:val="32"/>
        </w:rPr>
        <w:t>（1）造成10人以上30人以下死亡，或50人以上100人以下重伤；</w:t>
      </w:r>
    </w:p>
    <w:p>
      <w:pPr>
        <w:pStyle w:val="45"/>
        <w:ind w:firstLine="632" w:firstLineChars="200"/>
        <w:rPr>
          <w:rFonts w:ascii="方正仿宋_GBK"/>
          <w:sz w:val="32"/>
          <w:szCs w:val="32"/>
        </w:rPr>
      </w:pPr>
      <w:r>
        <w:rPr>
          <w:rFonts w:hint="eastAsia" w:ascii="方正仿宋_GBK"/>
          <w:sz w:val="32"/>
          <w:szCs w:val="32"/>
        </w:rPr>
        <w:t>（2）对社会安全、环境造成重大影响，需要紧急转移安置5000至50000人；</w:t>
      </w:r>
    </w:p>
    <w:p>
      <w:pPr>
        <w:pStyle w:val="45"/>
        <w:ind w:firstLine="632" w:firstLineChars="200"/>
        <w:rPr>
          <w:rFonts w:ascii="方正仿宋_GBK"/>
          <w:sz w:val="32"/>
          <w:szCs w:val="32"/>
        </w:rPr>
      </w:pPr>
      <w:r>
        <w:rPr>
          <w:rFonts w:hint="eastAsia" w:ascii="方正仿宋_GBK"/>
          <w:sz w:val="32"/>
          <w:szCs w:val="32"/>
        </w:rPr>
        <w:t>（3）造成直接经济损失5000万元以上1亿元以下。</w:t>
      </w:r>
    </w:p>
    <w:p>
      <w:pPr>
        <w:keepNext/>
        <w:keepLines/>
        <w:ind w:firstLine="632" w:firstLineChars="200"/>
        <w:outlineLvl w:val="2"/>
        <w:rPr>
          <w:rFonts w:ascii="仿宋_GB2312" w:eastAsia="仿宋_GB2312"/>
          <w:b/>
          <w:bCs/>
        </w:rPr>
      </w:pPr>
      <w:r>
        <w:rPr>
          <w:rFonts w:hint="eastAsia" w:ascii="仿宋_GB2312" w:eastAsia="仿宋_GB2312"/>
          <w:b/>
          <w:bCs/>
        </w:rPr>
        <w:t>1.6.4</w:t>
      </w:r>
      <w:r>
        <w:rPr>
          <w:rFonts w:ascii="仿宋_GB2312" w:eastAsia="仿宋_GB2312"/>
          <w:b/>
          <w:bCs/>
        </w:rPr>
        <w:t xml:space="preserve"> </w:t>
      </w:r>
      <w:r>
        <w:rPr>
          <w:rFonts w:hint="eastAsia" w:ascii="仿宋_GB2312" w:eastAsia="仿宋_GB2312"/>
          <w:b/>
          <w:bCs/>
        </w:rPr>
        <w:t>特别重大突发事件（Ⅰ级）</w:t>
      </w:r>
    </w:p>
    <w:p>
      <w:pPr>
        <w:pStyle w:val="45"/>
        <w:ind w:firstLine="632" w:firstLineChars="200"/>
        <w:rPr>
          <w:rFonts w:ascii="方正仿宋_GBK"/>
          <w:sz w:val="32"/>
          <w:szCs w:val="32"/>
        </w:rPr>
      </w:pPr>
      <w:r>
        <w:rPr>
          <w:rFonts w:hint="eastAsia" w:ascii="方正仿宋_GBK"/>
          <w:sz w:val="32"/>
          <w:szCs w:val="32"/>
        </w:rPr>
        <w:t>符合下列条件之一的为特别重大突发事件（Ⅰ级）：</w:t>
      </w:r>
    </w:p>
    <w:p>
      <w:pPr>
        <w:pStyle w:val="45"/>
        <w:ind w:firstLine="632" w:firstLineChars="200"/>
        <w:rPr>
          <w:rFonts w:ascii="方正仿宋_GBK"/>
          <w:sz w:val="32"/>
          <w:szCs w:val="32"/>
        </w:rPr>
      </w:pPr>
      <w:r>
        <w:rPr>
          <w:rFonts w:hint="eastAsia" w:ascii="方正仿宋_GBK"/>
          <w:sz w:val="32"/>
          <w:szCs w:val="32"/>
        </w:rPr>
        <w:t>（1）造成30人以上死亡，或100人以上重伤；</w:t>
      </w:r>
    </w:p>
    <w:p>
      <w:pPr>
        <w:pStyle w:val="45"/>
        <w:ind w:firstLine="632" w:firstLineChars="200"/>
        <w:rPr>
          <w:rFonts w:ascii="方正仿宋_GBK"/>
          <w:sz w:val="32"/>
          <w:szCs w:val="32"/>
        </w:rPr>
      </w:pPr>
      <w:r>
        <w:rPr>
          <w:rFonts w:hint="eastAsia" w:ascii="方正仿宋_GBK"/>
          <w:sz w:val="32"/>
          <w:szCs w:val="32"/>
        </w:rPr>
        <w:t>（2）对社会安全、环境造成重大影响，需要紧急转移安置50000人以上；</w:t>
      </w:r>
    </w:p>
    <w:p>
      <w:pPr>
        <w:pStyle w:val="45"/>
        <w:ind w:firstLine="632" w:firstLineChars="200"/>
        <w:rPr>
          <w:rFonts w:ascii="方正仿宋_GBK"/>
          <w:sz w:val="32"/>
          <w:szCs w:val="32"/>
        </w:rPr>
      </w:pPr>
      <w:r>
        <w:rPr>
          <w:rFonts w:hint="eastAsia" w:ascii="方正仿宋_GBK"/>
          <w:sz w:val="32"/>
          <w:szCs w:val="32"/>
        </w:rPr>
        <w:t>（3）造成直接经济损失1亿元以上。</w:t>
      </w:r>
    </w:p>
    <w:p>
      <w:pPr>
        <w:pStyle w:val="45"/>
        <w:ind w:firstLine="632" w:firstLineChars="200"/>
        <w:jc w:val="both"/>
        <w:rPr>
          <w:rFonts w:ascii="方正仿宋_GBK"/>
          <w:sz w:val="32"/>
          <w:szCs w:val="32"/>
        </w:rPr>
      </w:pPr>
      <w:r>
        <w:rPr>
          <w:rFonts w:hint="eastAsia" w:ascii="方正仿宋_GBK"/>
          <w:sz w:val="32"/>
          <w:szCs w:val="32"/>
        </w:rPr>
        <w:t>上述有关数量表述中，“以上”含本数，“以下”不含本数。</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11" w:name="_Toc119854378"/>
      <w:r>
        <w:rPr>
          <w:rFonts w:hint="eastAsia" w:ascii="方正黑体_GBK" w:hAnsi="Times New Roman" w:eastAsia="方正黑体_GBK"/>
          <w:b w:val="0"/>
          <w:bCs/>
          <w:sz w:val="32"/>
          <w:szCs w:val="32"/>
        </w:rPr>
        <w:t>2  组织体系及职责</w:t>
      </w:r>
      <w:bookmarkEnd w:id="11"/>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2" w:name="_Toc119854379"/>
      <w:r>
        <w:rPr>
          <w:rFonts w:hint="eastAsia" w:ascii="方正楷体_GBK" w:hAnsi="方正楷体_GBK" w:eastAsia="方正楷体_GBK" w:cs="方正楷体_GBK"/>
          <w:b w:val="0"/>
          <w:bCs w:val="0"/>
        </w:rPr>
        <w:t>2.1  应急指挥机构</w:t>
      </w:r>
      <w:bookmarkEnd w:id="12"/>
    </w:p>
    <w:p>
      <w:pPr>
        <w:pStyle w:val="45"/>
        <w:ind w:firstLine="632" w:firstLineChars="200"/>
        <w:jc w:val="both"/>
        <w:rPr>
          <w:rFonts w:ascii="方正仿宋_GBK"/>
          <w:sz w:val="32"/>
          <w:szCs w:val="32"/>
        </w:rPr>
      </w:pPr>
      <w:r>
        <w:rPr>
          <w:rFonts w:hint="eastAsia" w:ascii="方正仿宋_GBK"/>
          <w:sz w:val="32"/>
          <w:szCs w:val="32"/>
        </w:rPr>
        <w:t>在江北区人民政府突发公共事件应急委员会（以下简称“区政府应急委”）的统一领导下，在江北区应急管理局的统筹协调下，根据应急处置需要成立江北区石油天然气长输管道突发事件应急指挥部（以下简称“区油气管道应急指挥部”），统筹协调全区一般、较大油气长输管道突发事件的处置工作。</w:t>
      </w:r>
    </w:p>
    <w:p>
      <w:pPr>
        <w:pStyle w:val="45"/>
        <w:ind w:firstLine="632" w:firstLineChars="200"/>
        <w:jc w:val="both"/>
        <w:rPr>
          <w:rFonts w:ascii="方正仿宋_GBK"/>
          <w:sz w:val="32"/>
          <w:szCs w:val="32"/>
        </w:rPr>
      </w:pPr>
      <w:r>
        <w:rPr>
          <w:rFonts w:hint="eastAsia" w:ascii="方正仿宋_GBK"/>
          <w:sz w:val="32"/>
          <w:szCs w:val="32"/>
        </w:rPr>
        <w:t>区油气管道应急指挥部指挥长由区政府分管副区长担任，区发展改革委、区应急管理局、区消防救援支队、事发地镇街（港城管委会）、石油天然气长输管道运营企业主要负责人任副指挥长，区发展改革委、区应急管理局、区消防救援支队、区市场监管局、区公安分局、区经济信息委、区商务委、区交通局、区生态环境局、区规划自然资源局、区住房城乡建委、区城市管理局、区卫生健康委、区财政局、区民政局、区人力社保局、区医疗保障局、区融媒体中心、区委网信办、区纪委监委、区总工会、事发地镇街、港城管委会及石油天然气长输管道运营企业等为成员单位。</w:t>
      </w:r>
    </w:p>
    <w:p>
      <w:pPr>
        <w:pStyle w:val="45"/>
        <w:ind w:firstLine="632" w:firstLineChars="200"/>
        <w:jc w:val="both"/>
        <w:rPr>
          <w:rFonts w:ascii="方正仿宋_GBK"/>
          <w:sz w:val="32"/>
          <w:szCs w:val="32"/>
        </w:rPr>
      </w:pPr>
      <w:r>
        <w:rPr>
          <w:rFonts w:hint="eastAsia" w:ascii="方正仿宋_GBK"/>
          <w:sz w:val="32"/>
          <w:szCs w:val="32"/>
        </w:rPr>
        <w:t>区油气管道应急指挥部下设办公室（以下简称“区油气管道应急办”），办公室设在区发展改革委，负责油气应急管理日常工作。办公室主任由区发展改革委分管副主任担任。</w:t>
      </w:r>
    </w:p>
    <w:p>
      <w:pPr>
        <w:pStyle w:val="45"/>
        <w:ind w:firstLine="632" w:firstLineChars="200"/>
        <w:jc w:val="both"/>
        <w:rPr>
          <w:rFonts w:ascii="方正仿宋_GBK"/>
          <w:sz w:val="32"/>
          <w:szCs w:val="32"/>
        </w:rPr>
      </w:pPr>
      <w:r>
        <w:rPr>
          <w:rFonts w:hint="eastAsia" w:ascii="方正仿宋_GBK"/>
          <w:sz w:val="32"/>
          <w:szCs w:val="32"/>
        </w:rPr>
        <w:t>区油气管道应急指挥部下设综合协调组、抢险救援组、医疗救护组、治安警戒组、疏散安置组、后勤保障组、新闻报道组、善后工作组和事故调查组，具体开展应急处置工作。</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3" w:name="_Toc119854380"/>
      <w:r>
        <w:rPr>
          <w:rFonts w:hint="eastAsia" w:ascii="方正楷体_GBK" w:hAnsi="方正楷体_GBK" w:eastAsia="方正楷体_GBK" w:cs="方正楷体_GBK"/>
          <w:b w:val="0"/>
          <w:bCs w:val="0"/>
        </w:rPr>
        <w:t>2.2  现场指挥机构</w:t>
      </w:r>
      <w:bookmarkEnd w:id="13"/>
    </w:p>
    <w:p>
      <w:pPr>
        <w:pStyle w:val="45"/>
        <w:ind w:firstLine="632" w:firstLineChars="200"/>
        <w:jc w:val="both"/>
        <w:rPr>
          <w:rFonts w:ascii="方正仿宋_GBK"/>
          <w:sz w:val="32"/>
          <w:szCs w:val="32"/>
        </w:rPr>
      </w:pPr>
      <w:r>
        <w:rPr>
          <w:rFonts w:hint="eastAsia" w:ascii="方正仿宋_GBK"/>
          <w:sz w:val="32"/>
          <w:szCs w:val="32"/>
        </w:rPr>
        <w:t>发生一般（Ⅳ级）、较大（Ⅲ级）油气长输管道事故时，区政府根据需要成立现场应急处置指挥部，负责制订现场应急处置方案，组织开展事故抢险、搜索救援、医疗救助、人员疏散、现场警戒、交通管制、善后安抚、舆论引导、事故调查等各项工作。</w:t>
      </w:r>
    </w:p>
    <w:p>
      <w:pPr>
        <w:pStyle w:val="45"/>
        <w:ind w:firstLine="632" w:firstLineChars="200"/>
        <w:jc w:val="both"/>
        <w:rPr>
          <w:rFonts w:ascii="方正仿宋_GBK"/>
          <w:sz w:val="32"/>
          <w:szCs w:val="32"/>
        </w:rPr>
      </w:pPr>
      <w:r>
        <w:rPr>
          <w:rFonts w:hint="eastAsia" w:ascii="方正仿宋_GBK"/>
          <w:sz w:val="32"/>
          <w:szCs w:val="32"/>
        </w:rPr>
        <w:t>发生重大（Ⅱ级）及以上油气长输管道事故时，区油气管道应急指挥部接受重庆市油气管道应急指挥部的统一指挥。</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4" w:name="_Toc119854381"/>
      <w:r>
        <w:rPr>
          <w:rFonts w:hint="eastAsia" w:ascii="方正楷体_GBK" w:hAnsi="方正楷体_GBK" w:eastAsia="方正楷体_GBK" w:cs="方正楷体_GBK"/>
          <w:b w:val="0"/>
          <w:bCs w:val="0"/>
        </w:rPr>
        <w:t xml:space="preserve">2.3 </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应急指挥部职责</w:t>
      </w:r>
      <w:bookmarkEnd w:id="14"/>
    </w:p>
    <w:p>
      <w:pPr>
        <w:keepNext/>
        <w:keepLines/>
        <w:ind w:firstLine="632" w:firstLineChars="200"/>
        <w:outlineLvl w:val="2"/>
        <w:rPr>
          <w:rFonts w:ascii="仿宋_GB2312" w:eastAsia="仿宋_GB2312"/>
          <w:b/>
          <w:bCs/>
        </w:rPr>
      </w:pPr>
      <w:r>
        <w:rPr>
          <w:rFonts w:hint="eastAsia" w:ascii="仿宋_GB2312" w:eastAsia="仿宋_GB2312"/>
          <w:b/>
          <w:bCs/>
        </w:rPr>
        <w:t>2.3.1 应急指挥部职责</w:t>
      </w:r>
    </w:p>
    <w:p>
      <w:pPr>
        <w:pStyle w:val="45"/>
        <w:ind w:firstLine="632" w:firstLineChars="200"/>
        <w:jc w:val="both"/>
        <w:rPr>
          <w:rFonts w:ascii="方正仿宋_GBK"/>
          <w:sz w:val="32"/>
          <w:szCs w:val="32"/>
        </w:rPr>
      </w:pPr>
      <w:r>
        <w:rPr>
          <w:rFonts w:hint="eastAsia" w:ascii="方正仿宋_GBK"/>
          <w:sz w:val="32"/>
          <w:szCs w:val="32"/>
        </w:rPr>
        <w:t>（1）组织指挥我区石油天然气长输管道事故应急处置工作，指导各工作组开展相关工作。</w:t>
      </w:r>
    </w:p>
    <w:p>
      <w:pPr>
        <w:pStyle w:val="45"/>
        <w:ind w:firstLine="632" w:firstLineChars="200"/>
        <w:jc w:val="both"/>
        <w:rPr>
          <w:rFonts w:ascii="方正仿宋_GBK"/>
          <w:sz w:val="32"/>
          <w:szCs w:val="32"/>
        </w:rPr>
      </w:pPr>
      <w:r>
        <w:rPr>
          <w:rFonts w:hint="eastAsia" w:ascii="方正仿宋_GBK"/>
          <w:sz w:val="32"/>
          <w:szCs w:val="32"/>
        </w:rPr>
        <w:t>（2）综合分析事故预测预警信息，正确研判可能发生的事故以及紧急状态，评价其影响范围、程度，提出应对措施。</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3</w:t>
      </w:r>
      <w:r>
        <w:rPr>
          <w:rFonts w:hint="eastAsia" w:ascii="方正仿宋_GBK"/>
          <w:sz w:val="32"/>
          <w:szCs w:val="32"/>
        </w:rPr>
        <w:t>）做好事故信息汇总、上报工作；按分级响应的规定，做好处置协调工作。</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）协调海事部门、港航管理部门一起应对过江管道事故的应急处置工作。</w:t>
      </w:r>
    </w:p>
    <w:p>
      <w:pPr>
        <w:pStyle w:val="45"/>
        <w:ind w:firstLine="632" w:firstLineChars="200"/>
        <w:jc w:val="both"/>
        <w:rPr>
          <w:rFonts w:ascii="方正仿宋_GBK"/>
          <w:sz w:val="32"/>
          <w:szCs w:val="32"/>
        </w:rPr>
      </w:pPr>
      <w:r>
        <w:rPr>
          <w:rFonts w:hint="eastAsia" w:ascii="方正仿宋_GBK"/>
          <w:sz w:val="32"/>
          <w:szCs w:val="32"/>
        </w:rPr>
        <w:t>（5）组织或指导事故的调查处理和善后恢复等相关工作，决定应急救援暂停或终止，总结事故应急处置的经验教训并提出改进措施。</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6</w:t>
      </w:r>
      <w:r>
        <w:rPr>
          <w:rFonts w:hint="eastAsia" w:ascii="方正仿宋_GBK"/>
          <w:sz w:val="32"/>
          <w:szCs w:val="32"/>
        </w:rPr>
        <w:t>）完成应急处置其他相关工作任务。</w:t>
      </w:r>
    </w:p>
    <w:p>
      <w:pPr>
        <w:keepNext/>
        <w:keepLines/>
        <w:ind w:firstLine="632" w:firstLineChars="200"/>
        <w:outlineLvl w:val="2"/>
        <w:rPr>
          <w:rFonts w:ascii="仿宋_GB2312" w:eastAsia="仿宋_GB2312"/>
          <w:b/>
          <w:bCs/>
        </w:rPr>
      </w:pPr>
      <w:r>
        <w:rPr>
          <w:rFonts w:hint="eastAsia" w:ascii="仿宋_GB2312" w:eastAsia="仿宋_GB2312"/>
          <w:b/>
          <w:bCs/>
        </w:rPr>
        <w:t>2.3.2 应急指挥部办公室职责</w:t>
      </w:r>
    </w:p>
    <w:p>
      <w:pPr>
        <w:pStyle w:val="45"/>
        <w:ind w:firstLine="632" w:firstLineChars="200"/>
        <w:jc w:val="both"/>
        <w:rPr>
          <w:rFonts w:ascii="方正仿宋_GBK"/>
          <w:sz w:val="32"/>
          <w:szCs w:val="32"/>
        </w:rPr>
      </w:pPr>
      <w:r>
        <w:rPr>
          <w:rFonts w:hint="eastAsia" w:ascii="方正仿宋_GBK"/>
          <w:sz w:val="32"/>
          <w:szCs w:val="32"/>
        </w:rPr>
        <w:t>（1）负责应急值守、信息汇总、综合协调；执行指挥部的决定，统一组织协调。</w:t>
      </w:r>
    </w:p>
    <w:p>
      <w:pPr>
        <w:pStyle w:val="45"/>
        <w:ind w:firstLine="632" w:firstLineChars="200"/>
        <w:jc w:val="both"/>
        <w:rPr>
          <w:rFonts w:ascii="方正仿宋_GBK"/>
          <w:sz w:val="32"/>
          <w:szCs w:val="32"/>
        </w:rPr>
      </w:pPr>
      <w:r>
        <w:rPr>
          <w:rFonts w:hint="eastAsia" w:ascii="方正仿宋_GBK"/>
          <w:sz w:val="32"/>
          <w:szCs w:val="32"/>
        </w:rPr>
        <w:t>（2）组织《重庆市江北区石油天然气长输管道突发事件应急预案》的修订，指导镇街、管道企业做好石油天然气长输管道事故应急预案的编制、修订和备案工作。</w:t>
      </w:r>
    </w:p>
    <w:p>
      <w:pPr>
        <w:pStyle w:val="45"/>
        <w:ind w:firstLine="632" w:firstLineChars="200"/>
        <w:jc w:val="both"/>
        <w:rPr>
          <w:rFonts w:ascii="方正仿宋_GBK"/>
          <w:sz w:val="32"/>
          <w:szCs w:val="32"/>
        </w:rPr>
      </w:pPr>
      <w:r>
        <w:rPr>
          <w:rFonts w:hint="eastAsia" w:ascii="方正仿宋_GBK"/>
          <w:sz w:val="32"/>
          <w:szCs w:val="32"/>
        </w:rPr>
        <w:t>（3）督促检查石油天然气长输管道事故预案演练工作。</w:t>
      </w:r>
    </w:p>
    <w:p>
      <w:pPr>
        <w:pStyle w:val="45"/>
        <w:ind w:firstLine="632" w:firstLineChars="200"/>
        <w:jc w:val="both"/>
        <w:rPr>
          <w:rFonts w:ascii="方正仿宋_GBK"/>
          <w:sz w:val="32"/>
          <w:szCs w:val="32"/>
        </w:rPr>
      </w:pPr>
      <w:r>
        <w:rPr>
          <w:rFonts w:hint="eastAsia" w:ascii="方正仿宋_GBK"/>
          <w:sz w:val="32"/>
          <w:szCs w:val="32"/>
        </w:rPr>
        <w:t>（4）组织协调有关应对突发事件的科学研究、宣传教育和业务培训工作。</w:t>
      </w:r>
    </w:p>
    <w:p>
      <w:pPr>
        <w:pStyle w:val="45"/>
        <w:ind w:firstLine="632" w:firstLineChars="200"/>
        <w:jc w:val="both"/>
        <w:rPr>
          <w:rFonts w:ascii="方正仿宋_GBK"/>
          <w:sz w:val="32"/>
          <w:szCs w:val="32"/>
        </w:rPr>
      </w:pPr>
      <w:r>
        <w:rPr>
          <w:rFonts w:hint="eastAsia" w:ascii="方正仿宋_GBK"/>
          <w:sz w:val="32"/>
          <w:szCs w:val="32"/>
        </w:rPr>
        <w:t>（5）完成应急处置其他相关工作任务。</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5" w:name="_Toc119854382"/>
      <w:r>
        <w:rPr>
          <w:rFonts w:hint="eastAsia" w:ascii="方正楷体_GBK" w:hAnsi="方正楷体_GBK" w:eastAsia="方正楷体_GBK" w:cs="方正楷体_GBK"/>
          <w:b w:val="0"/>
          <w:bCs w:val="0"/>
        </w:rPr>
        <w:t xml:space="preserve">2.4 </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各工作组职责</w:t>
      </w:r>
      <w:bookmarkEnd w:id="15"/>
    </w:p>
    <w:p>
      <w:pPr>
        <w:keepNext/>
        <w:keepLines/>
        <w:ind w:firstLine="632" w:firstLineChars="200"/>
        <w:outlineLvl w:val="2"/>
        <w:rPr>
          <w:rFonts w:ascii="仿宋_GB2312" w:eastAsia="仿宋_GB2312"/>
          <w:b/>
          <w:bCs/>
        </w:rPr>
      </w:pPr>
      <w:r>
        <w:rPr>
          <w:rFonts w:hint="eastAsia" w:ascii="仿宋_GB2312" w:eastAsia="仿宋_GB2312"/>
          <w:b/>
          <w:bCs/>
        </w:rPr>
        <w:t>2.4.1 综合协调组</w:t>
      </w:r>
    </w:p>
    <w:p>
      <w:pPr>
        <w:pStyle w:val="45"/>
        <w:ind w:firstLine="632" w:firstLineChars="200"/>
        <w:jc w:val="both"/>
        <w:rPr>
          <w:rFonts w:ascii="方正仿宋_GBK"/>
          <w:sz w:val="32"/>
          <w:szCs w:val="32"/>
        </w:rPr>
      </w:pPr>
      <w:r>
        <w:rPr>
          <w:rFonts w:hint="eastAsia" w:ascii="方正仿宋_GBK"/>
          <w:sz w:val="32"/>
          <w:szCs w:val="32"/>
        </w:rPr>
        <w:t>牵头单位：区应急管理局</w:t>
      </w:r>
    </w:p>
    <w:p>
      <w:pPr>
        <w:pStyle w:val="45"/>
        <w:ind w:firstLine="632" w:firstLineChars="200"/>
        <w:jc w:val="both"/>
        <w:rPr>
          <w:rFonts w:ascii="方正仿宋_GBK"/>
          <w:sz w:val="32"/>
          <w:szCs w:val="32"/>
        </w:rPr>
      </w:pPr>
      <w:r>
        <w:rPr>
          <w:rFonts w:hint="eastAsia" w:ascii="方正仿宋_GBK"/>
          <w:sz w:val="32"/>
          <w:szCs w:val="32"/>
        </w:rPr>
        <w:t>成员单位：区发展改革委、区交通局、区卫生健康委、区市场监督管理局、区生态环境局、区住房城乡建委。</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rPr>
          <w:rFonts w:ascii="方正仿宋_GBK"/>
          <w:sz w:val="32"/>
          <w:szCs w:val="32"/>
        </w:rPr>
      </w:pPr>
      <w:r>
        <w:rPr>
          <w:rFonts w:hint="eastAsia" w:ascii="方正仿宋_GBK"/>
          <w:sz w:val="32"/>
          <w:szCs w:val="32"/>
        </w:rPr>
        <w:t>（1）负责组织专家对应急救援及现场处置提供专业技术支持；</w:t>
      </w:r>
    </w:p>
    <w:p>
      <w:pPr>
        <w:pStyle w:val="45"/>
        <w:ind w:firstLine="632" w:firstLineChars="200"/>
        <w:rPr>
          <w:rFonts w:ascii="方正仿宋_GBK"/>
          <w:sz w:val="32"/>
          <w:szCs w:val="32"/>
        </w:rPr>
      </w:pPr>
      <w:r>
        <w:rPr>
          <w:rFonts w:hint="eastAsia" w:ascii="方正仿宋_GBK"/>
          <w:sz w:val="32"/>
          <w:szCs w:val="32"/>
        </w:rPr>
        <w:t>（2）组织快速监测检验队伍，测定事件的环境污染和生态危害区域及危害程度，对事件造成的环境危害进行监测和监督处置；</w:t>
      </w:r>
    </w:p>
    <w:p>
      <w:pPr>
        <w:pStyle w:val="45"/>
        <w:ind w:firstLine="632" w:firstLineChars="200"/>
        <w:rPr>
          <w:rFonts w:ascii="方正仿宋_GBK"/>
          <w:sz w:val="32"/>
          <w:szCs w:val="32"/>
        </w:rPr>
      </w:pPr>
      <w:r>
        <w:rPr>
          <w:rFonts w:hint="eastAsia" w:ascii="方正仿宋_GBK"/>
          <w:sz w:val="32"/>
          <w:szCs w:val="32"/>
        </w:rPr>
        <w:t>（3）提供与应急救援有关的气象保障服务；</w:t>
      </w:r>
    </w:p>
    <w:p>
      <w:pPr>
        <w:pStyle w:val="45"/>
        <w:ind w:firstLine="632" w:firstLineChars="200"/>
        <w:rPr>
          <w:rFonts w:ascii="方正仿宋_GBK"/>
          <w:sz w:val="32"/>
          <w:szCs w:val="32"/>
        </w:rPr>
      </w:pPr>
      <w:r>
        <w:rPr>
          <w:rFonts w:hint="eastAsia" w:ascii="方正仿宋_GBK"/>
          <w:sz w:val="32"/>
          <w:szCs w:val="32"/>
        </w:rPr>
        <w:t>（4）过江管道发生事故时，负责联系、协调海事部门、港航管理部门；</w:t>
      </w:r>
    </w:p>
    <w:p>
      <w:pPr>
        <w:pStyle w:val="45"/>
        <w:ind w:firstLine="632" w:firstLineChars="200"/>
        <w:rPr>
          <w:rFonts w:ascii="方正仿宋_GBK"/>
          <w:sz w:val="32"/>
          <w:szCs w:val="32"/>
        </w:rPr>
      </w:pPr>
      <w:r>
        <w:rPr>
          <w:rFonts w:hint="eastAsia" w:ascii="方正仿宋_GBK"/>
          <w:sz w:val="32"/>
          <w:szCs w:val="32"/>
        </w:rPr>
        <w:t>（5）传达区现场指挥部有关指示；</w:t>
      </w:r>
    </w:p>
    <w:p>
      <w:pPr>
        <w:pStyle w:val="45"/>
        <w:ind w:firstLine="632" w:firstLineChars="200"/>
        <w:rPr>
          <w:rFonts w:ascii="方正仿宋_GBK"/>
          <w:sz w:val="32"/>
          <w:szCs w:val="32"/>
        </w:rPr>
      </w:pPr>
      <w:r>
        <w:rPr>
          <w:rFonts w:hint="eastAsia" w:ascii="方正仿宋_GBK"/>
          <w:sz w:val="32"/>
          <w:szCs w:val="32"/>
        </w:rPr>
        <w:t>（6）收集报送应急处置工作开展情况；</w:t>
      </w:r>
    </w:p>
    <w:p>
      <w:pPr>
        <w:pStyle w:val="45"/>
        <w:ind w:firstLine="632" w:firstLineChars="200"/>
        <w:rPr>
          <w:rFonts w:ascii="方正仿宋_GBK"/>
          <w:sz w:val="32"/>
          <w:szCs w:val="32"/>
        </w:rPr>
      </w:pPr>
      <w:r>
        <w:rPr>
          <w:rFonts w:hint="eastAsia" w:ascii="方正仿宋_GBK"/>
          <w:sz w:val="32"/>
          <w:szCs w:val="32"/>
        </w:rPr>
        <w:t>（7）组织协调、有效开展应急处置工作；</w:t>
      </w:r>
    </w:p>
    <w:p>
      <w:pPr>
        <w:pStyle w:val="45"/>
        <w:ind w:firstLine="632" w:firstLineChars="200"/>
        <w:jc w:val="both"/>
        <w:rPr>
          <w:rFonts w:ascii="方正仿宋_GBK"/>
          <w:sz w:val="32"/>
          <w:szCs w:val="32"/>
        </w:rPr>
      </w:pPr>
      <w:r>
        <w:rPr>
          <w:rFonts w:hint="eastAsia" w:ascii="方正仿宋_GBK"/>
          <w:sz w:val="32"/>
          <w:szCs w:val="32"/>
        </w:rPr>
        <w:t>（8）完成应急处置其他相关工作任务。</w:t>
      </w:r>
    </w:p>
    <w:p>
      <w:pPr>
        <w:keepNext/>
        <w:keepLines/>
        <w:ind w:firstLine="632" w:firstLineChars="200"/>
        <w:outlineLvl w:val="2"/>
        <w:rPr>
          <w:rFonts w:ascii="仿宋_GB2312" w:eastAsia="仿宋_GB2312"/>
          <w:b/>
          <w:bCs/>
        </w:rPr>
      </w:pPr>
      <w:r>
        <w:rPr>
          <w:rFonts w:hint="eastAsia" w:ascii="仿宋_GB2312" w:eastAsia="仿宋_GB2312"/>
          <w:b/>
          <w:bCs/>
        </w:rPr>
        <w:t>2.4.2 抢险救援组</w:t>
      </w:r>
    </w:p>
    <w:p>
      <w:pPr>
        <w:pStyle w:val="45"/>
        <w:ind w:firstLine="632" w:firstLineChars="200"/>
        <w:jc w:val="both"/>
        <w:rPr>
          <w:rFonts w:ascii="方正仿宋_GBK"/>
          <w:sz w:val="32"/>
          <w:szCs w:val="32"/>
        </w:rPr>
      </w:pPr>
      <w:r>
        <w:rPr>
          <w:rFonts w:hint="eastAsia" w:ascii="方正仿宋_GBK"/>
          <w:sz w:val="32"/>
          <w:szCs w:val="32"/>
        </w:rPr>
        <w:t>牵头单位：区发展改革委</w:t>
      </w:r>
    </w:p>
    <w:p>
      <w:pPr>
        <w:pStyle w:val="45"/>
        <w:ind w:firstLine="632" w:firstLineChars="200"/>
        <w:jc w:val="both"/>
        <w:rPr>
          <w:rFonts w:ascii="方正仿宋_GBK"/>
          <w:sz w:val="32"/>
          <w:szCs w:val="32"/>
        </w:rPr>
      </w:pPr>
      <w:r>
        <w:rPr>
          <w:rFonts w:hint="eastAsia" w:ascii="方正仿宋_GBK"/>
          <w:sz w:val="32"/>
          <w:szCs w:val="32"/>
        </w:rPr>
        <w:t>成员单位：区应急管理局、区消防救援支队、区公安分局、事发地镇街（港城管委会）、事发单位及其上级部门、专业抢险救援队伍等。</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jc w:val="both"/>
        <w:rPr>
          <w:rFonts w:ascii="方正仿宋_GBK"/>
          <w:sz w:val="32"/>
          <w:szCs w:val="32"/>
        </w:rPr>
      </w:pPr>
      <w:r>
        <w:rPr>
          <w:rFonts w:hint="eastAsia" w:ascii="方正仿宋_GBK"/>
          <w:sz w:val="32"/>
          <w:szCs w:val="32"/>
        </w:rPr>
        <w:t>（1）负责制定抢险救援方案并组织实施，根据指挥部的指令，迅速开展侦检、监测，及时查明事故初步原因和损害情况，判明危险范围和趋势，确定疏散和警戒范围；</w:t>
      </w:r>
    </w:p>
    <w:p>
      <w:pPr>
        <w:pStyle w:val="45"/>
        <w:ind w:firstLine="632" w:firstLineChars="200"/>
        <w:jc w:val="both"/>
        <w:rPr>
          <w:rFonts w:ascii="方正仿宋_GBK"/>
          <w:sz w:val="32"/>
          <w:szCs w:val="32"/>
        </w:rPr>
      </w:pPr>
      <w:r>
        <w:rPr>
          <w:rFonts w:hint="eastAsia" w:ascii="方正仿宋_GBK"/>
          <w:sz w:val="32"/>
          <w:szCs w:val="32"/>
        </w:rPr>
        <w:t>（2）指挥、协调涉事企业和各专业抢险救援队伍进行事故现场的险情控制和排险作业，通过关闭阀门、停止作业等方法切断油气输送管道进行危险源控制，防止事故扩大，采取必要措施防范次生、衍生事故的发生；</w:t>
      </w:r>
    </w:p>
    <w:p>
      <w:pPr>
        <w:pStyle w:val="45"/>
        <w:ind w:firstLine="632" w:firstLineChars="200"/>
        <w:jc w:val="both"/>
        <w:rPr>
          <w:rFonts w:ascii="方正仿宋_GBK"/>
          <w:sz w:val="32"/>
          <w:szCs w:val="32"/>
        </w:rPr>
      </w:pPr>
      <w:r>
        <w:rPr>
          <w:rFonts w:hint="eastAsia" w:ascii="方正仿宋_GBK"/>
          <w:sz w:val="32"/>
          <w:szCs w:val="32"/>
        </w:rPr>
        <w:t>（3）及时上报现场情况，提出救援暂停或应急终止的建议；</w:t>
      </w:r>
    </w:p>
    <w:p>
      <w:pPr>
        <w:pStyle w:val="45"/>
        <w:ind w:firstLine="632" w:firstLineChars="200"/>
        <w:jc w:val="both"/>
        <w:rPr>
          <w:rFonts w:ascii="方正仿宋_GBK"/>
          <w:sz w:val="32"/>
          <w:szCs w:val="32"/>
        </w:rPr>
      </w:pPr>
      <w:r>
        <w:rPr>
          <w:rFonts w:hint="eastAsia" w:ascii="方正仿宋_GBK"/>
          <w:sz w:val="32"/>
          <w:szCs w:val="32"/>
        </w:rPr>
        <w:t>（4）确定危险物质的成分及浓度，确定污染区域、范围及危害性质，对人员防护提出具体意见；</w:t>
      </w:r>
    </w:p>
    <w:p>
      <w:pPr>
        <w:pStyle w:val="45"/>
        <w:ind w:firstLine="632" w:firstLineChars="200"/>
        <w:jc w:val="both"/>
        <w:rPr>
          <w:rFonts w:ascii="方正仿宋_GBK"/>
          <w:sz w:val="32"/>
          <w:szCs w:val="32"/>
        </w:rPr>
      </w:pPr>
      <w:r>
        <w:rPr>
          <w:rFonts w:hint="eastAsia" w:ascii="方正仿宋_GBK"/>
          <w:sz w:val="32"/>
          <w:szCs w:val="32"/>
        </w:rPr>
        <w:t>（5）组织制定人员搜救方案，指导现场救援人员的安全防护，指导对事故中的污水、有害物质等进行收集封堵；</w:t>
      </w:r>
    </w:p>
    <w:p>
      <w:pPr>
        <w:pStyle w:val="45"/>
        <w:ind w:firstLine="632" w:firstLineChars="200"/>
        <w:jc w:val="both"/>
        <w:rPr>
          <w:rFonts w:ascii="方正仿宋_GBK"/>
          <w:sz w:val="32"/>
          <w:szCs w:val="32"/>
        </w:rPr>
      </w:pPr>
      <w:r>
        <w:rPr>
          <w:rFonts w:hint="eastAsia" w:ascii="方正仿宋_GBK"/>
          <w:sz w:val="32"/>
          <w:szCs w:val="32"/>
        </w:rPr>
        <w:t>（6）完成应急处置其他相关工作任务。</w:t>
      </w:r>
    </w:p>
    <w:p>
      <w:pPr>
        <w:keepNext/>
        <w:keepLines/>
        <w:ind w:firstLine="632" w:firstLineChars="200"/>
        <w:outlineLvl w:val="2"/>
        <w:rPr>
          <w:rFonts w:ascii="仿宋_GB2312" w:eastAsia="仿宋_GB2312"/>
          <w:b/>
          <w:bCs/>
        </w:rPr>
      </w:pPr>
      <w:r>
        <w:rPr>
          <w:rFonts w:ascii="仿宋_GB2312" w:eastAsia="仿宋_GB2312"/>
          <w:b/>
          <w:bCs/>
        </w:rPr>
        <w:t>2.4.3</w:t>
      </w:r>
      <w:r>
        <w:rPr>
          <w:rFonts w:hint="eastAsia" w:ascii="仿宋_GB2312" w:eastAsia="仿宋_GB2312"/>
          <w:b/>
          <w:bCs/>
        </w:rPr>
        <w:t xml:space="preserve"> 医疗救护组</w:t>
      </w:r>
    </w:p>
    <w:p>
      <w:pPr>
        <w:pStyle w:val="45"/>
        <w:ind w:firstLine="632" w:firstLineChars="200"/>
        <w:jc w:val="both"/>
        <w:rPr>
          <w:rFonts w:ascii="方正仿宋_GBK"/>
          <w:sz w:val="32"/>
          <w:szCs w:val="32"/>
        </w:rPr>
      </w:pPr>
      <w:r>
        <w:rPr>
          <w:rFonts w:hint="eastAsia" w:ascii="方正仿宋_GBK"/>
          <w:sz w:val="32"/>
          <w:szCs w:val="32"/>
        </w:rPr>
        <w:t>牵头单位：区卫生健康委</w:t>
      </w:r>
    </w:p>
    <w:p>
      <w:pPr>
        <w:pStyle w:val="45"/>
        <w:ind w:firstLine="632" w:firstLineChars="200"/>
        <w:jc w:val="both"/>
        <w:rPr>
          <w:rFonts w:ascii="方正仿宋_GBK"/>
          <w:sz w:val="32"/>
          <w:szCs w:val="32"/>
        </w:rPr>
      </w:pPr>
      <w:r>
        <w:rPr>
          <w:rFonts w:hint="eastAsia" w:ascii="方正仿宋_GBK"/>
          <w:sz w:val="32"/>
          <w:szCs w:val="32"/>
        </w:rPr>
        <w:t>成员单位：区级医院、事发地周边医疗单位、事发单位等。</w:t>
      </w:r>
    </w:p>
    <w:p>
      <w:pPr>
        <w:pStyle w:val="45"/>
        <w:ind w:firstLine="632" w:firstLineChars="200"/>
        <w:jc w:val="both"/>
        <w:rPr>
          <w:rFonts w:ascii="方正仿宋_GBK"/>
          <w:sz w:val="32"/>
          <w:szCs w:val="32"/>
        </w:rPr>
      </w:pPr>
      <w:r>
        <w:rPr>
          <w:rFonts w:hint="eastAsia" w:ascii="方正仿宋_GBK"/>
          <w:sz w:val="32"/>
          <w:szCs w:val="32"/>
        </w:rPr>
        <w:t>工作职责：负责对事发现场受伤人员进行现场急救、伤员转运、医疗救治，尽最大努力减少人员伤亡；完成应急处置其他相关工作任务。</w:t>
      </w:r>
    </w:p>
    <w:p>
      <w:pPr>
        <w:keepNext/>
        <w:keepLines/>
        <w:ind w:firstLine="632" w:firstLineChars="200"/>
        <w:outlineLvl w:val="2"/>
        <w:rPr>
          <w:rFonts w:ascii="仿宋_GB2312" w:eastAsia="仿宋_GB2312"/>
          <w:b/>
          <w:bCs/>
        </w:rPr>
      </w:pPr>
      <w:r>
        <w:rPr>
          <w:rFonts w:ascii="仿宋_GB2312" w:eastAsia="仿宋_GB2312"/>
          <w:b/>
          <w:bCs/>
        </w:rPr>
        <w:t>2.4.4</w:t>
      </w:r>
      <w:r>
        <w:rPr>
          <w:rFonts w:hint="eastAsia" w:ascii="仿宋_GB2312" w:eastAsia="仿宋_GB2312"/>
          <w:b/>
          <w:bCs/>
        </w:rPr>
        <w:t xml:space="preserve"> 治安警戒组</w:t>
      </w:r>
    </w:p>
    <w:p>
      <w:pPr>
        <w:pStyle w:val="45"/>
        <w:ind w:firstLine="632" w:firstLineChars="200"/>
        <w:jc w:val="both"/>
        <w:rPr>
          <w:rFonts w:ascii="方正仿宋_GBK"/>
          <w:sz w:val="32"/>
          <w:szCs w:val="32"/>
        </w:rPr>
      </w:pPr>
      <w:r>
        <w:rPr>
          <w:rFonts w:hint="eastAsia" w:ascii="方正仿宋_GBK"/>
          <w:sz w:val="32"/>
          <w:szCs w:val="32"/>
        </w:rPr>
        <w:t>牵头单位：区公安分局</w:t>
      </w:r>
    </w:p>
    <w:p>
      <w:pPr>
        <w:pStyle w:val="45"/>
        <w:ind w:firstLine="632" w:firstLineChars="200"/>
        <w:jc w:val="both"/>
        <w:rPr>
          <w:rFonts w:ascii="方正仿宋_GBK"/>
          <w:sz w:val="32"/>
          <w:szCs w:val="32"/>
        </w:rPr>
      </w:pPr>
      <w:r>
        <w:rPr>
          <w:rFonts w:hint="eastAsia" w:ascii="方正仿宋_GBK"/>
          <w:sz w:val="32"/>
          <w:szCs w:val="32"/>
        </w:rPr>
        <w:t>成员单位：公安部门有关警种、事发地派出所、事发地镇街（港城管委会）等。</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jc w:val="both"/>
        <w:rPr>
          <w:rFonts w:ascii="方正仿宋_GBK"/>
          <w:sz w:val="32"/>
          <w:szCs w:val="32"/>
        </w:rPr>
      </w:pPr>
      <w:r>
        <w:rPr>
          <w:rFonts w:hint="eastAsia" w:ascii="方正仿宋_GBK"/>
          <w:sz w:val="32"/>
          <w:szCs w:val="32"/>
        </w:rPr>
        <w:t>（1）负责组织公安民警及当地有关人员，根据事故现场具体情况设置警戒区；</w:t>
      </w:r>
    </w:p>
    <w:p>
      <w:pPr>
        <w:pStyle w:val="45"/>
        <w:ind w:firstLine="632" w:firstLineChars="200"/>
        <w:jc w:val="both"/>
        <w:rPr>
          <w:rFonts w:ascii="方正仿宋_GBK"/>
          <w:sz w:val="32"/>
          <w:szCs w:val="32"/>
        </w:rPr>
      </w:pPr>
      <w:r>
        <w:rPr>
          <w:rFonts w:hint="eastAsia" w:ascii="方正仿宋_GBK"/>
          <w:sz w:val="32"/>
          <w:szCs w:val="32"/>
        </w:rPr>
        <w:t>（2）控制事故现场及周边地区、道路，组织人员、车辆有序疏散；</w:t>
      </w:r>
    </w:p>
    <w:p>
      <w:pPr>
        <w:pStyle w:val="45"/>
        <w:ind w:firstLine="632" w:firstLineChars="200"/>
        <w:jc w:val="both"/>
        <w:rPr>
          <w:rFonts w:ascii="方正仿宋_GBK"/>
          <w:sz w:val="32"/>
          <w:szCs w:val="32"/>
        </w:rPr>
      </w:pPr>
      <w:r>
        <w:rPr>
          <w:rFonts w:hint="eastAsia" w:ascii="方正仿宋_GBK"/>
          <w:sz w:val="32"/>
          <w:szCs w:val="32"/>
        </w:rPr>
        <w:t>（3）保障抢险救援工作正常开展，维持社会秩序稳定；</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）完成应急处置其他相关工作任务。</w:t>
      </w:r>
    </w:p>
    <w:p>
      <w:pPr>
        <w:keepNext/>
        <w:keepLines/>
        <w:ind w:firstLine="632" w:firstLineChars="200"/>
        <w:outlineLvl w:val="2"/>
        <w:rPr>
          <w:rFonts w:ascii="仿宋_GB2312" w:eastAsia="仿宋_GB2312"/>
          <w:b/>
          <w:bCs/>
        </w:rPr>
      </w:pPr>
      <w:r>
        <w:rPr>
          <w:rFonts w:hint="eastAsia" w:ascii="仿宋_GB2312" w:eastAsia="仿宋_GB2312"/>
          <w:b/>
          <w:bCs/>
        </w:rPr>
        <w:t>2.4.5 疏散安置组</w:t>
      </w:r>
    </w:p>
    <w:p>
      <w:pPr>
        <w:pStyle w:val="45"/>
        <w:ind w:firstLine="632" w:firstLineChars="200"/>
        <w:rPr>
          <w:rFonts w:ascii="方正仿宋_GBK"/>
          <w:sz w:val="32"/>
          <w:szCs w:val="32"/>
        </w:rPr>
      </w:pPr>
      <w:r>
        <w:rPr>
          <w:rFonts w:hint="eastAsia" w:ascii="方正仿宋_GBK"/>
          <w:sz w:val="32"/>
          <w:szCs w:val="32"/>
        </w:rPr>
        <w:t>牵头单位：事发地镇街（港城管委会）</w:t>
      </w:r>
    </w:p>
    <w:p>
      <w:pPr>
        <w:pStyle w:val="45"/>
        <w:ind w:firstLine="632" w:firstLineChars="200"/>
        <w:rPr>
          <w:rFonts w:ascii="方正仿宋_GBK"/>
          <w:sz w:val="32"/>
          <w:szCs w:val="32"/>
        </w:rPr>
      </w:pPr>
      <w:r>
        <w:rPr>
          <w:rFonts w:hint="eastAsia" w:ascii="方正仿宋_GBK"/>
          <w:sz w:val="32"/>
          <w:szCs w:val="32"/>
        </w:rPr>
        <w:t>成员单位：区公安分局、区民政局、区交通局、事发单位等。</w:t>
      </w:r>
    </w:p>
    <w:p>
      <w:pPr>
        <w:pStyle w:val="45"/>
        <w:ind w:firstLine="632" w:firstLineChars="200"/>
        <w:jc w:val="both"/>
        <w:rPr>
          <w:rFonts w:ascii="方正仿宋_GBK"/>
          <w:sz w:val="32"/>
          <w:szCs w:val="32"/>
        </w:rPr>
      </w:pPr>
      <w:r>
        <w:rPr>
          <w:rFonts w:hint="eastAsia" w:ascii="方正仿宋_GBK"/>
          <w:sz w:val="32"/>
          <w:szCs w:val="32"/>
        </w:rPr>
        <w:t>工作职责：负责有关人员的紧急疏散和安置工作，必要时采取强制疏散措施，并保证被疏散人员的基本生活；完成应急处置其他相关工作任务。</w:t>
      </w:r>
    </w:p>
    <w:p>
      <w:pPr>
        <w:keepNext/>
        <w:keepLines/>
        <w:ind w:firstLine="632" w:firstLineChars="200"/>
        <w:outlineLvl w:val="2"/>
        <w:rPr>
          <w:rFonts w:ascii="仿宋_GB2312" w:eastAsia="仿宋_GB2312"/>
          <w:b/>
          <w:bCs/>
        </w:rPr>
      </w:pPr>
      <w:r>
        <w:rPr>
          <w:rFonts w:hint="eastAsia" w:ascii="仿宋_GB2312" w:eastAsia="仿宋_GB2312"/>
          <w:b/>
          <w:bCs/>
        </w:rPr>
        <w:t>2.4.</w:t>
      </w:r>
      <w:r>
        <w:rPr>
          <w:rFonts w:ascii="仿宋_GB2312" w:eastAsia="仿宋_GB2312"/>
          <w:b/>
          <w:bCs/>
        </w:rPr>
        <w:t>6</w:t>
      </w:r>
      <w:r>
        <w:rPr>
          <w:rFonts w:hint="eastAsia" w:ascii="仿宋_GB2312" w:eastAsia="仿宋_GB2312"/>
          <w:b/>
          <w:bCs/>
        </w:rPr>
        <w:t xml:space="preserve"> 后勤保障组</w:t>
      </w:r>
    </w:p>
    <w:p>
      <w:pPr>
        <w:pStyle w:val="45"/>
        <w:ind w:firstLine="632" w:firstLineChars="200"/>
        <w:jc w:val="both"/>
        <w:rPr>
          <w:rFonts w:ascii="方正仿宋_GBK"/>
          <w:sz w:val="32"/>
          <w:szCs w:val="32"/>
        </w:rPr>
      </w:pPr>
      <w:r>
        <w:rPr>
          <w:rFonts w:hint="eastAsia" w:ascii="方正仿宋_GBK"/>
          <w:sz w:val="32"/>
          <w:szCs w:val="32"/>
        </w:rPr>
        <w:t>牵头单位：事发地镇街（港城管委会）</w:t>
      </w:r>
    </w:p>
    <w:p>
      <w:pPr>
        <w:pStyle w:val="45"/>
        <w:ind w:firstLine="632" w:firstLineChars="200"/>
        <w:jc w:val="both"/>
        <w:rPr>
          <w:rFonts w:ascii="方正仿宋_GBK"/>
          <w:sz w:val="32"/>
          <w:szCs w:val="32"/>
        </w:rPr>
      </w:pPr>
      <w:r>
        <w:rPr>
          <w:rFonts w:hint="eastAsia" w:ascii="方正仿宋_GBK"/>
          <w:sz w:val="32"/>
          <w:szCs w:val="32"/>
        </w:rPr>
        <w:t>成员单位：区发展改革委、区财政局、区民政局、区交通局、区城市管理局、事发单位等。</w:t>
      </w:r>
    </w:p>
    <w:p>
      <w:pPr>
        <w:pStyle w:val="45"/>
        <w:ind w:firstLine="632" w:firstLineChars="200"/>
        <w:jc w:val="both"/>
        <w:rPr>
          <w:rFonts w:ascii="方正仿宋_GBK"/>
          <w:sz w:val="32"/>
          <w:szCs w:val="32"/>
        </w:rPr>
      </w:pPr>
      <w:r>
        <w:rPr>
          <w:rFonts w:hint="eastAsia" w:ascii="方正仿宋_GBK"/>
          <w:sz w:val="32"/>
          <w:szCs w:val="32"/>
        </w:rPr>
        <w:t>工作职责：负责抢险物资及装备供应、道路修护、组织运送撤离人员及物资等后勤保障工作；协调抢险救援物资的运输，保障应急通讯的正常使用；完成应急处置其他相关工作任务。</w:t>
      </w:r>
    </w:p>
    <w:p>
      <w:pPr>
        <w:keepNext/>
        <w:keepLines/>
        <w:ind w:firstLine="632" w:firstLineChars="200"/>
        <w:outlineLvl w:val="2"/>
        <w:rPr>
          <w:rFonts w:ascii="仿宋_GB2312" w:eastAsia="仿宋_GB2312"/>
          <w:b/>
          <w:bCs/>
        </w:rPr>
      </w:pPr>
      <w:r>
        <w:rPr>
          <w:rFonts w:hint="eastAsia" w:ascii="仿宋_GB2312" w:eastAsia="仿宋_GB2312"/>
          <w:b/>
          <w:bCs/>
        </w:rPr>
        <w:t>2.4.</w:t>
      </w:r>
      <w:r>
        <w:rPr>
          <w:rFonts w:ascii="仿宋_GB2312" w:eastAsia="仿宋_GB2312"/>
          <w:b/>
          <w:bCs/>
        </w:rPr>
        <w:t>7</w:t>
      </w:r>
      <w:r>
        <w:rPr>
          <w:rFonts w:hint="eastAsia" w:ascii="仿宋_GB2312" w:eastAsia="仿宋_GB2312"/>
          <w:b/>
          <w:bCs/>
        </w:rPr>
        <w:t xml:space="preserve"> 新闻报道组</w:t>
      </w:r>
    </w:p>
    <w:p>
      <w:pPr>
        <w:pStyle w:val="45"/>
        <w:ind w:firstLine="632" w:firstLineChars="200"/>
        <w:jc w:val="both"/>
        <w:rPr>
          <w:rFonts w:ascii="方正仿宋_GBK"/>
          <w:sz w:val="32"/>
          <w:szCs w:val="32"/>
        </w:rPr>
      </w:pPr>
      <w:r>
        <w:rPr>
          <w:rFonts w:hint="eastAsia" w:ascii="方正仿宋_GBK"/>
          <w:sz w:val="32"/>
          <w:szCs w:val="32"/>
        </w:rPr>
        <w:t>牵头单位：区融媒体中心</w:t>
      </w:r>
    </w:p>
    <w:p>
      <w:pPr>
        <w:pStyle w:val="45"/>
        <w:ind w:firstLine="632" w:firstLineChars="200"/>
        <w:jc w:val="both"/>
        <w:rPr>
          <w:rFonts w:ascii="方正仿宋_GBK"/>
          <w:sz w:val="32"/>
          <w:szCs w:val="32"/>
        </w:rPr>
      </w:pPr>
      <w:r>
        <w:rPr>
          <w:rFonts w:hint="eastAsia" w:ascii="方正仿宋_GBK"/>
          <w:sz w:val="32"/>
          <w:szCs w:val="32"/>
        </w:rPr>
        <w:t>成员单位：区委网信办、区应急管理局、区发展改革委等。</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1</w:t>
      </w:r>
      <w:r>
        <w:rPr>
          <w:rFonts w:hint="eastAsia" w:ascii="方正仿宋_GBK"/>
          <w:sz w:val="32"/>
          <w:szCs w:val="32"/>
        </w:rPr>
        <w:t>）负责现场各级各类媒体管理，搞好舆论引导，组织媒体向公众宣传自救防护措施；</w:t>
      </w:r>
    </w:p>
    <w:p>
      <w:pPr>
        <w:pStyle w:val="45"/>
        <w:ind w:firstLine="632" w:firstLineChars="200"/>
        <w:jc w:val="both"/>
        <w:rPr>
          <w:rFonts w:ascii="方正仿宋_GBK"/>
          <w:sz w:val="32"/>
          <w:szCs w:val="32"/>
        </w:rPr>
      </w:pPr>
      <w:r>
        <w:rPr>
          <w:rFonts w:hint="eastAsia" w:ascii="方正仿宋_GBK"/>
          <w:sz w:val="32"/>
          <w:szCs w:val="32"/>
        </w:rPr>
        <w:t>（2）负责社会舆情的收集、分析和研判，负责与上级应急办公室及新闻媒体联系，配合做好新闻报道舆论引导工作；</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3</w:t>
      </w:r>
      <w:r>
        <w:rPr>
          <w:rFonts w:hint="eastAsia" w:ascii="方正仿宋_GBK"/>
          <w:sz w:val="32"/>
          <w:szCs w:val="32"/>
        </w:rPr>
        <w:t>）负责事故和救援信息的收集，并根据需要对公众、媒体统一发布事故和救援的相关信息；</w:t>
      </w:r>
    </w:p>
    <w:p>
      <w:pPr>
        <w:pStyle w:val="45"/>
        <w:ind w:firstLine="632" w:firstLineChars="200"/>
        <w:jc w:val="both"/>
        <w:rPr>
          <w:rFonts w:ascii="方正仿宋_GBK"/>
          <w:sz w:val="32"/>
          <w:szCs w:val="32"/>
        </w:rPr>
      </w:pPr>
      <w:r>
        <w:rPr>
          <w:rFonts w:hint="eastAsia" w:ascii="方正仿宋_GBK"/>
          <w:sz w:val="32"/>
          <w:szCs w:val="32"/>
        </w:rPr>
        <w:t>（4）完成应急处置其他相关工作任务。</w:t>
      </w:r>
    </w:p>
    <w:p>
      <w:pPr>
        <w:keepNext/>
        <w:keepLines/>
        <w:ind w:firstLine="632" w:firstLineChars="200"/>
        <w:outlineLvl w:val="2"/>
        <w:rPr>
          <w:rFonts w:ascii="仿宋_GB2312" w:eastAsia="仿宋_GB2312"/>
          <w:b/>
          <w:bCs/>
        </w:rPr>
      </w:pPr>
      <w:r>
        <w:rPr>
          <w:rFonts w:ascii="仿宋_GB2312" w:eastAsia="仿宋_GB2312"/>
          <w:b/>
          <w:bCs/>
        </w:rPr>
        <w:t>2.4.8</w:t>
      </w:r>
      <w:r>
        <w:rPr>
          <w:rFonts w:hint="eastAsia" w:ascii="仿宋_GB2312" w:eastAsia="仿宋_GB2312"/>
          <w:b/>
          <w:bCs/>
        </w:rPr>
        <w:t xml:space="preserve"> 善后工作组</w:t>
      </w:r>
    </w:p>
    <w:p>
      <w:pPr>
        <w:pStyle w:val="45"/>
        <w:ind w:firstLine="632" w:firstLineChars="200"/>
        <w:jc w:val="both"/>
        <w:rPr>
          <w:rFonts w:ascii="方正仿宋_GBK"/>
          <w:sz w:val="32"/>
          <w:szCs w:val="32"/>
        </w:rPr>
      </w:pPr>
      <w:r>
        <w:rPr>
          <w:rFonts w:hint="eastAsia" w:ascii="方正仿宋_GBK"/>
          <w:sz w:val="32"/>
          <w:szCs w:val="32"/>
        </w:rPr>
        <w:t>牵头单位：事发地镇街（港城管委会）</w:t>
      </w:r>
    </w:p>
    <w:p>
      <w:pPr>
        <w:pStyle w:val="45"/>
        <w:ind w:firstLine="632" w:firstLineChars="200"/>
        <w:jc w:val="both"/>
        <w:rPr>
          <w:rFonts w:ascii="方正仿宋_GBK"/>
          <w:sz w:val="32"/>
          <w:szCs w:val="32"/>
        </w:rPr>
      </w:pPr>
      <w:r>
        <w:rPr>
          <w:rFonts w:hint="eastAsia" w:ascii="方正仿宋_GBK"/>
          <w:sz w:val="32"/>
          <w:szCs w:val="32"/>
        </w:rPr>
        <w:t>成员单位：事发单位、区发展改革委、区公安分局、区民政局、区人力社保局、有关保险机构等。</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jc w:val="both"/>
        <w:rPr>
          <w:rFonts w:ascii="方正仿宋_GBK"/>
          <w:sz w:val="32"/>
          <w:szCs w:val="32"/>
        </w:rPr>
      </w:pPr>
      <w:r>
        <w:rPr>
          <w:rFonts w:hint="eastAsia" w:ascii="方正仿宋_GBK"/>
          <w:sz w:val="32"/>
          <w:szCs w:val="32"/>
        </w:rPr>
        <w:t>（1）负责伤亡人员及家属的安抚、抚恤、理赔等善后工作；</w:t>
      </w:r>
    </w:p>
    <w:p>
      <w:pPr>
        <w:pStyle w:val="45"/>
        <w:ind w:firstLine="632" w:firstLineChars="200"/>
        <w:jc w:val="both"/>
        <w:rPr>
          <w:rFonts w:ascii="方正仿宋_GBK"/>
          <w:sz w:val="32"/>
          <w:szCs w:val="32"/>
        </w:rPr>
      </w:pPr>
      <w:r>
        <w:rPr>
          <w:rFonts w:hint="eastAsia" w:ascii="方正仿宋_GBK"/>
          <w:sz w:val="32"/>
          <w:szCs w:val="32"/>
        </w:rPr>
        <w:t>（2）做好矛盾纠纷化解和受影响人员及家属的情绪安抚、法律服务等工作，防止出现群体性事件，维护社会稳定；</w:t>
      </w:r>
    </w:p>
    <w:p>
      <w:pPr>
        <w:pStyle w:val="45"/>
        <w:ind w:firstLine="632" w:firstLineChars="200"/>
        <w:jc w:val="both"/>
        <w:rPr>
          <w:rFonts w:ascii="方正仿宋_GBK"/>
          <w:sz w:val="32"/>
          <w:szCs w:val="32"/>
        </w:rPr>
      </w:pPr>
      <w:r>
        <w:rPr>
          <w:rFonts w:hint="eastAsia" w:ascii="方正仿宋_GBK"/>
          <w:sz w:val="32"/>
          <w:szCs w:val="32"/>
        </w:rPr>
        <w:t>（3）完成应急处置其他相关工作任务。</w:t>
      </w:r>
    </w:p>
    <w:p>
      <w:pPr>
        <w:keepNext/>
        <w:keepLines/>
        <w:ind w:firstLine="632" w:firstLineChars="200"/>
        <w:outlineLvl w:val="2"/>
        <w:rPr>
          <w:rFonts w:ascii="仿宋_GB2312" w:eastAsia="仿宋_GB2312"/>
          <w:b/>
          <w:bCs/>
        </w:rPr>
      </w:pPr>
      <w:r>
        <w:rPr>
          <w:rFonts w:ascii="仿宋_GB2312" w:eastAsia="仿宋_GB2312"/>
          <w:b/>
          <w:bCs/>
        </w:rPr>
        <w:t>2.4.9</w:t>
      </w:r>
      <w:r>
        <w:rPr>
          <w:rFonts w:hint="eastAsia" w:ascii="仿宋_GB2312" w:eastAsia="仿宋_GB2312"/>
          <w:b/>
          <w:bCs/>
        </w:rPr>
        <w:t xml:space="preserve"> 事故调查组</w:t>
      </w:r>
    </w:p>
    <w:p>
      <w:pPr>
        <w:pStyle w:val="45"/>
        <w:ind w:firstLine="632" w:firstLineChars="200"/>
        <w:jc w:val="both"/>
        <w:rPr>
          <w:rFonts w:ascii="方正仿宋_GBK"/>
          <w:sz w:val="32"/>
          <w:szCs w:val="32"/>
        </w:rPr>
      </w:pPr>
      <w:r>
        <w:rPr>
          <w:rFonts w:hint="eastAsia" w:ascii="方正仿宋_GBK"/>
          <w:sz w:val="32"/>
          <w:szCs w:val="32"/>
        </w:rPr>
        <w:t>牵头单位：区应急管理局</w:t>
      </w:r>
    </w:p>
    <w:p>
      <w:pPr>
        <w:pStyle w:val="45"/>
        <w:ind w:firstLine="632" w:firstLineChars="200"/>
        <w:jc w:val="both"/>
        <w:rPr>
          <w:rFonts w:ascii="方正仿宋_GBK"/>
          <w:sz w:val="32"/>
          <w:szCs w:val="32"/>
        </w:rPr>
      </w:pPr>
      <w:r>
        <w:rPr>
          <w:rFonts w:hint="eastAsia" w:ascii="方正仿宋_GBK"/>
          <w:sz w:val="32"/>
          <w:szCs w:val="32"/>
        </w:rPr>
        <w:t>成员单位：区发展改革委、区市场监督管理局、区公安分局、区总工会等。</w:t>
      </w:r>
    </w:p>
    <w:p>
      <w:pPr>
        <w:pStyle w:val="45"/>
        <w:ind w:firstLine="632" w:firstLineChars="200"/>
        <w:jc w:val="both"/>
        <w:rPr>
          <w:rFonts w:ascii="方正仿宋_GBK"/>
          <w:sz w:val="32"/>
          <w:szCs w:val="32"/>
        </w:rPr>
      </w:pPr>
      <w:r>
        <w:rPr>
          <w:rFonts w:hint="eastAsia" w:ascii="方正仿宋_GBK"/>
          <w:sz w:val="32"/>
          <w:szCs w:val="32"/>
        </w:rPr>
        <w:t>工作职责：</w:t>
      </w:r>
    </w:p>
    <w:p>
      <w:pPr>
        <w:pStyle w:val="45"/>
        <w:ind w:firstLine="632" w:firstLineChars="200"/>
        <w:rPr>
          <w:rFonts w:ascii="方正仿宋_GBK"/>
          <w:sz w:val="32"/>
          <w:szCs w:val="32"/>
        </w:rPr>
      </w:pPr>
      <w:r>
        <w:rPr>
          <w:rFonts w:hint="eastAsia" w:ascii="方正仿宋_GBK"/>
          <w:sz w:val="32"/>
          <w:szCs w:val="32"/>
        </w:rPr>
        <w:t>（1）查明事故发生的经过、原因、人员伤亡情况及直接经济损失；</w:t>
      </w:r>
    </w:p>
    <w:p>
      <w:pPr>
        <w:pStyle w:val="45"/>
        <w:ind w:firstLine="632" w:firstLineChars="200"/>
        <w:rPr>
          <w:rFonts w:ascii="方正仿宋_GBK"/>
          <w:sz w:val="32"/>
          <w:szCs w:val="32"/>
        </w:rPr>
      </w:pPr>
      <w:r>
        <w:rPr>
          <w:rFonts w:hint="eastAsia" w:ascii="方正仿宋_GBK"/>
          <w:sz w:val="32"/>
          <w:szCs w:val="32"/>
        </w:rPr>
        <w:t>（2）认定事故的性质和事故责任；</w:t>
      </w:r>
    </w:p>
    <w:p>
      <w:pPr>
        <w:pStyle w:val="45"/>
        <w:ind w:firstLine="632" w:firstLineChars="200"/>
        <w:rPr>
          <w:rFonts w:ascii="方正仿宋_GBK"/>
          <w:sz w:val="32"/>
          <w:szCs w:val="32"/>
        </w:rPr>
      </w:pPr>
      <w:r>
        <w:rPr>
          <w:rFonts w:hint="eastAsia" w:ascii="方正仿宋_GBK"/>
          <w:sz w:val="32"/>
          <w:szCs w:val="32"/>
        </w:rPr>
        <w:t>（3）提出对事故责任者的处理建议；</w:t>
      </w:r>
    </w:p>
    <w:p>
      <w:pPr>
        <w:pStyle w:val="45"/>
        <w:ind w:firstLine="632" w:firstLineChars="200"/>
        <w:rPr>
          <w:rFonts w:ascii="方正仿宋_GBK"/>
          <w:sz w:val="32"/>
          <w:szCs w:val="32"/>
        </w:rPr>
      </w:pPr>
      <w:r>
        <w:rPr>
          <w:rFonts w:hint="eastAsia" w:ascii="方正仿宋_GBK"/>
          <w:sz w:val="32"/>
          <w:szCs w:val="32"/>
        </w:rPr>
        <w:t>（4）总结事故教训，提出防范和整改措施；</w:t>
      </w:r>
    </w:p>
    <w:p>
      <w:pPr>
        <w:pStyle w:val="45"/>
        <w:ind w:firstLine="632" w:firstLineChars="200"/>
        <w:jc w:val="both"/>
        <w:rPr>
          <w:rFonts w:ascii="方正仿宋_GBK"/>
          <w:sz w:val="32"/>
          <w:szCs w:val="32"/>
        </w:rPr>
      </w:pPr>
      <w:r>
        <w:rPr>
          <w:rFonts w:hint="eastAsia" w:ascii="方正仿宋_GBK"/>
          <w:sz w:val="32"/>
          <w:szCs w:val="32"/>
        </w:rPr>
        <w:t>（5）提交事故调查报告。</w:t>
      </w:r>
    </w:p>
    <w:p>
      <w:pPr>
        <w:pStyle w:val="45"/>
        <w:ind w:firstLine="632" w:firstLineChars="200"/>
        <w:jc w:val="both"/>
        <w:rPr>
          <w:rFonts w:ascii="方正仿宋_GBK"/>
          <w:sz w:val="32"/>
          <w:szCs w:val="32"/>
        </w:rPr>
      </w:pPr>
      <w:r>
        <w:rPr>
          <w:rFonts w:hint="eastAsia" w:ascii="方正仿宋_GBK"/>
          <w:sz w:val="32"/>
          <w:szCs w:val="32"/>
        </w:rPr>
        <w:t>（6）完成应急处置其他相关工作任务。</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6" w:name="_Toc119854383"/>
      <w:r>
        <w:rPr>
          <w:rFonts w:hint="eastAsia" w:ascii="方正楷体_GBK" w:hAnsi="方正楷体_GBK" w:eastAsia="方正楷体_GBK" w:cs="方正楷体_GBK"/>
          <w:b w:val="0"/>
          <w:bCs w:val="0"/>
        </w:rPr>
        <w:t>2.</w:t>
      </w:r>
      <w:r>
        <w:rPr>
          <w:rFonts w:ascii="方正楷体_GBK" w:hAnsi="方正楷体_GBK" w:eastAsia="方正楷体_GBK" w:cs="方正楷体_GBK"/>
          <w:b w:val="0"/>
          <w:bCs w:val="0"/>
        </w:rPr>
        <w:t>5</w:t>
      </w:r>
      <w:r>
        <w:rPr>
          <w:rFonts w:hint="eastAsia" w:ascii="方正楷体_GBK" w:hAnsi="方正楷体_GBK" w:eastAsia="方正楷体_GBK" w:cs="方正楷体_GBK"/>
          <w:b w:val="0"/>
          <w:bCs w:val="0"/>
        </w:rPr>
        <w:t xml:space="preserve"> </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成员单位应急职责</w:t>
      </w:r>
      <w:bookmarkEnd w:id="16"/>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1 </w:t>
      </w:r>
      <w:r>
        <w:rPr>
          <w:rFonts w:hint="eastAsia" w:ascii="仿宋_GB2312" w:eastAsia="仿宋_GB2312"/>
          <w:b/>
          <w:bCs/>
        </w:rPr>
        <w:t>区发展改革委</w:t>
      </w:r>
    </w:p>
    <w:p>
      <w:pPr>
        <w:pStyle w:val="45"/>
        <w:ind w:firstLine="632" w:firstLineChars="200"/>
        <w:jc w:val="both"/>
        <w:rPr>
          <w:rFonts w:ascii="方正仿宋_GBK"/>
          <w:sz w:val="32"/>
          <w:szCs w:val="32"/>
        </w:rPr>
      </w:pPr>
      <w:r>
        <w:rPr>
          <w:rFonts w:hint="eastAsia" w:ascii="方正仿宋_GBK"/>
          <w:sz w:val="32"/>
          <w:szCs w:val="32"/>
        </w:rPr>
        <w:t>负责牵头组织事故抢险救援；协助开展事故调查工作；组织专家制定救援技术方案；调集相关专业救援队伍、专业应急装备和器材参与救援；向市发展改革委提出技术指导及援助请求。</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2</w:t>
      </w:r>
      <w:r>
        <w:rPr>
          <w:rFonts w:hint="eastAsia" w:ascii="仿宋_GB2312" w:eastAsia="仿宋_GB2312"/>
          <w:b/>
          <w:bCs/>
        </w:rPr>
        <w:t xml:space="preserve"> 区应急管理局</w:t>
      </w:r>
    </w:p>
    <w:p>
      <w:pPr>
        <w:pStyle w:val="45"/>
        <w:ind w:firstLine="632" w:firstLineChars="200"/>
        <w:jc w:val="both"/>
        <w:rPr>
          <w:rFonts w:ascii="方正仿宋_GBK"/>
          <w:sz w:val="32"/>
          <w:szCs w:val="32"/>
        </w:rPr>
      </w:pPr>
      <w:r>
        <w:rPr>
          <w:rFonts w:hint="eastAsia" w:ascii="方正仿宋_GBK"/>
          <w:sz w:val="32"/>
          <w:szCs w:val="32"/>
        </w:rPr>
        <w:t>负责统筹协调一般、较大油气管道事故的应急处置工作，传达区指挥部指令；按照有关规定负责开展事故调查工作；向区政府、市应急办报告事故相关信息。</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3 </w:t>
      </w:r>
      <w:r>
        <w:rPr>
          <w:rFonts w:hint="eastAsia" w:ascii="仿宋_GB2312" w:eastAsia="仿宋_GB2312"/>
          <w:b/>
          <w:bCs/>
        </w:rPr>
        <w:t>区消防救援支队</w:t>
      </w:r>
    </w:p>
    <w:p>
      <w:pPr>
        <w:pStyle w:val="45"/>
        <w:ind w:firstLine="632" w:firstLineChars="200"/>
        <w:rPr>
          <w:rFonts w:ascii="方正仿宋_GBK"/>
          <w:sz w:val="32"/>
          <w:szCs w:val="32"/>
        </w:rPr>
      </w:pPr>
      <w:r>
        <w:rPr>
          <w:rFonts w:hint="eastAsia" w:ascii="方正仿宋_GBK"/>
          <w:sz w:val="32"/>
          <w:szCs w:val="32"/>
        </w:rPr>
        <w:t>组织区油气管道事故应急救援分队参与应急救援；在事故救援专家指导下实施抢险救援工作；对事故被困人员进行救助。</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.4</w:t>
      </w:r>
      <w:r>
        <w:rPr>
          <w:rFonts w:ascii="仿宋_GB2312" w:eastAsia="仿宋_GB2312"/>
          <w:b/>
          <w:bCs/>
        </w:rPr>
        <w:t xml:space="preserve"> </w:t>
      </w:r>
      <w:r>
        <w:rPr>
          <w:rFonts w:hint="eastAsia" w:ascii="仿宋_GB2312" w:eastAsia="仿宋_GB2312"/>
          <w:b/>
          <w:bCs/>
        </w:rPr>
        <w:t>区市场监管局</w:t>
      </w:r>
    </w:p>
    <w:p>
      <w:pPr>
        <w:pStyle w:val="45"/>
        <w:ind w:firstLine="632" w:firstLineChars="200"/>
        <w:jc w:val="both"/>
        <w:rPr>
          <w:rFonts w:ascii="方正仿宋_GBK"/>
          <w:sz w:val="32"/>
          <w:szCs w:val="32"/>
        </w:rPr>
      </w:pPr>
      <w:r>
        <w:rPr>
          <w:rFonts w:hint="eastAsia" w:ascii="方正仿宋_GBK"/>
          <w:sz w:val="32"/>
          <w:szCs w:val="32"/>
        </w:rPr>
        <w:t>负责参与制定事故现场油气长输管道等特种设备的抢险救援方案；配合有关部门组织检验机构对事故有关的特种设备和遗留的产品进行质量检验。负责制定并实施食品限制计划，参与油气管道事故发生时的食品污染监测。</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5 </w:t>
      </w:r>
      <w:r>
        <w:rPr>
          <w:rFonts w:hint="eastAsia" w:ascii="仿宋_GB2312" w:eastAsia="仿宋_GB2312"/>
          <w:b/>
          <w:bCs/>
        </w:rPr>
        <w:t>区公安分局</w:t>
      </w:r>
    </w:p>
    <w:p>
      <w:pPr>
        <w:pStyle w:val="45"/>
        <w:ind w:firstLine="632" w:firstLineChars="200"/>
        <w:jc w:val="both"/>
        <w:rPr>
          <w:rFonts w:ascii="方正仿宋_GBK"/>
          <w:sz w:val="32"/>
          <w:szCs w:val="32"/>
        </w:rPr>
      </w:pPr>
      <w:r>
        <w:rPr>
          <w:rFonts w:hint="eastAsia" w:ascii="方正仿宋_GBK"/>
          <w:sz w:val="32"/>
          <w:szCs w:val="32"/>
        </w:rPr>
        <w:t>参与事故应急救援工作，负责指挥事故现场警戒、道路交通管制、维护事故现场的治安、配合当地党政组织人员疏散、撤离工作。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6 </w:t>
      </w:r>
      <w:r>
        <w:rPr>
          <w:rFonts w:hint="eastAsia" w:ascii="仿宋_GB2312" w:eastAsia="仿宋_GB2312"/>
          <w:b/>
          <w:bCs/>
        </w:rPr>
        <w:t>区经济信息委</w:t>
      </w:r>
    </w:p>
    <w:p>
      <w:pPr>
        <w:pStyle w:val="45"/>
        <w:ind w:firstLine="632" w:firstLineChars="200"/>
        <w:jc w:val="both"/>
        <w:rPr>
          <w:rFonts w:ascii="方正仿宋_GBK"/>
          <w:sz w:val="32"/>
          <w:szCs w:val="32"/>
        </w:rPr>
      </w:pPr>
      <w:r>
        <w:rPr>
          <w:rFonts w:hint="eastAsia" w:ascii="方正仿宋_GBK"/>
          <w:sz w:val="32"/>
          <w:szCs w:val="32"/>
        </w:rPr>
        <w:t>负责组织基础电信企业提供应急通信保障，协调保障事故现场供电。</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7 </w:t>
      </w:r>
      <w:r>
        <w:rPr>
          <w:rFonts w:hint="eastAsia" w:ascii="仿宋_GB2312" w:eastAsia="仿宋_GB2312"/>
          <w:b/>
          <w:bCs/>
        </w:rPr>
        <w:t>区商务委</w:t>
      </w:r>
    </w:p>
    <w:p>
      <w:pPr>
        <w:pStyle w:val="45"/>
        <w:ind w:firstLine="632" w:firstLineChars="200"/>
        <w:jc w:val="both"/>
        <w:rPr>
          <w:rFonts w:ascii="方正仿宋_GBK"/>
          <w:sz w:val="32"/>
          <w:szCs w:val="32"/>
        </w:rPr>
      </w:pPr>
      <w:r>
        <w:rPr>
          <w:rFonts w:hint="eastAsia" w:ascii="方正仿宋_GBK"/>
          <w:sz w:val="32"/>
          <w:szCs w:val="32"/>
        </w:rPr>
        <w:t>负责组织生活必需品等重要商品市场供应，维护市场稳定；保障事故应对工作所需生活物资。</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8 </w:t>
      </w:r>
      <w:r>
        <w:rPr>
          <w:rFonts w:hint="eastAsia" w:ascii="仿宋_GB2312" w:eastAsia="仿宋_GB2312"/>
          <w:b/>
          <w:bCs/>
        </w:rPr>
        <w:t>区交通局</w:t>
      </w:r>
    </w:p>
    <w:p>
      <w:pPr>
        <w:pStyle w:val="45"/>
        <w:ind w:firstLine="632" w:firstLineChars="200"/>
        <w:jc w:val="both"/>
        <w:rPr>
          <w:rFonts w:ascii="方正仿宋_GBK"/>
          <w:sz w:val="32"/>
          <w:szCs w:val="32"/>
        </w:rPr>
      </w:pPr>
      <w:r>
        <w:rPr>
          <w:rFonts w:hint="eastAsia" w:ascii="方正仿宋_GBK"/>
          <w:sz w:val="32"/>
          <w:szCs w:val="32"/>
        </w:rPr>
        <w:t>负责油气管道事故抢险救援的公路水路应急运输保障工作以及协调海事部门、港航管理部门一起应对过江管道事故的应急处置工作。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9 </w:t>
      </w:r>
      <w:r>
        <w:rPr>
          <w:rFonts w:hint="eastAsia" w:ascii="仿宋_GB2312" w:eastAsia="仿宋_GB2312"/>
          <w:b/>
          <w:bCs/>
        </w:rPr>
        <w:t>区生态环境局</w:t>
      </w:r>
    </w:p>
    <w:p>
      <w:pPr>
        <w:pStyle w:val="45"/>
        <w:ind w:firstLine="632" w:firstLineChars="200"/>
        <w:jc w:val="both"/>
        <w:rPr>
          <w:rFonts w:ascii="方正仿宋_GBK"/>
          <w:sz w:val="32"/>
          <w:szCs w:val="32"/>
        </w:rPr>
      </w:pPr>
      <w:r>
        <w:rPr>
          <w:rFonts w:hint="eastAsia" w:ascii="方正仿宋_GBK"/>
          <w:sz w:val="32"/>
          <w:szCs w:val="32"/>
        </w:rPr>
        <w:t>负责事故现场及周边区域环境的应急监测，提出防止事态扩大和控制污染的要求或建议，并对事故现场污染物的清除以及生态破坏的恢复工作予以指导。</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w:t>
      </w:r>
      <w:r>
        <w:rPr>
          <w:rFonts w:ascii="仿宋_GB2312" w:eastAsia="仿宋_GB2312"/>
          <w:b/>
          <w:bCs/>
        </w:rPr>
        <w:t xml:space="preserve">0 </w:t>
      </w:r>
      <w:r>
        <w:rPr>
          <w:rFonts w:hint="eastAsia" w:ascii="仿宋_GB2312" w:eastAsia="仿宋_GB2312"/>
          <w:b/>
          <w:bCs/>
        </w:rPr>
        <w:t>区规划自然资源局</w:t>
      </w:r>
    </w:p>
    <w:p>
      <w:pPr>
        <w:pStyle w:val="45"/>
        <w:ind w:firstLine="632" w:firstLineChars="200"/>
        <w:jc w:val="both"/>
        <w:rPr>
          <w:rFonts w:ascii="方正仿宋_GBK"/>
          <w:sz w:val="32"/>
          <w:szCs w:val="32"/>
        </w:rPr>
      </w:pPr>
      <w:r>
        <w:rPr>
          <w:rFonts w:hint="eastAsia" w:ascii="方正仿宋_GBK"/>
          <w:sz w:val="32"/>
          <w:szCs w:val="32"/>
        </w:rPr>
        <w:t>负责提供事故周边区域已有地理信息资料；负责监测和预报全区地质灾害预警信息，分析并及时提供影响事故发生地域的地质灾害情况；利用无人机等技术装备快速采集、处理事故现场遥感影像、高清视频等信息，并及时提供给指挥部。</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w:t>
      </w:r>
      <w:r>
        <w:rPr>
          <w:rFonts w:ascii="仿宋_GB2312" w:eastAsia="仿宋_GB2312"/>
          <w:b/>
          <w:bCs/>
        </w:rPr>
        <w:t xml:space="preserve">1 </w:t>
      </w:r>
      <w:r>
        <w:rPr>
          <w:rFonts w:hint="eastAsia" w:ascii="仿宋_GB2312" w:eastAsia="仿宋_GB2312"/>
          <w:b/>
          <w:bCs/>
        </w:rPr>
        <w:t>区住房城乡建委</w:t>
      </w:r>
    </w:p>
    <w:p>
      <w:pPr>
        <w:pStyle w:val="45"/>
        <w:ind w:firstLine="632" w:firstLineChars="200"/>
        <w:jc w:val="both"/>
        <w:rPr>
          <w:rFonts w:ascii="方正仿宋_GBK"/>
          <w:sz w:val="32"/>
          <w:szCs w:val="32"/>
        </w:rPr>
      </w:pPr>
      <w:r>
        <w:rPr>
          <w:rFonts w:hint="eastAsia" w:ascii="方正仿宋_GBK"/>
          <w:sz w:val="32"/>
          <w:szCs w:val="32"/>
        </w:rPr>
        <w:t>负责协助油气长输管道事故周边建构筑物的抢险救援、事故评估和调查处理工作；组织协调本行业专业救援队伍，调用大型建筑机械，协助提供必要的抢险器材和物资。</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w:t>
      </w:r>
      <w:r>
        <w:rPr>
          <w:rFonts w:ascii="仿宋_GB2312" w:eastAsia="仿宋_GB2312"/>
          <w:b/>
          <w:bCs/>
        </w:rPr>
        <w:t xml:space="preserve">2 </w:t>
      </w:r>
      <w:r>
        <w:rPr>
          <w:rFonts w:hint="eastAsia" w:ascii="仿宋_GB2312" w:eastAsia="仿宋_GB2312"/>
          <w:b/>
          <w:bCs/>
        </w:rPr>
        <w:t>区城市管理局</w:t>
      </w:r>
    </w:p>
    <w:p>
      <w:pPr>
        <w:pStyle w:val="45"/>
        <w:ind w:firstLine="632" w:firstLineChars="200"/>
        <w:jc w:val="both"/>
        <w:rPr>
          <w:rFonts w:ascii="方正仿宋_GBK"/>
          <w:sz w:val="32"/>
          <w:szCs w:val="32"/>
        </w:rPr>
      </w:pPr>
      <w:r>
        <w:rPr>
          <w:rFonts w:hint="eastAsia" w:ascii="方正仿宋_GBK"/>
          <w:sz w:val="32"/>
          <w:szCs w:val="32"/>
        </w:rPr>
        <w:t>油气长输管道影响到市政设施时，组织有关方面进行抢险救援；提供抢险技术支持和相关资料；协调保障事故现场供水。</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.13</w:t>
      </w:r>
      <w:r>
        <w:rPr>
          <w:rFonts w:ascii="仿宋_GB2312" w:eastAsia="仿宋_GB2312"/>
          <w:b/>
          <w:bCs/>
        </w:rPr>
        <w:t xml:space="preserve"> </w:t>
      </w:r>
      <w:r>
        <w:rPr>
          <w:rFonts w:hint="eastAsia" w:ascii="仿宋_GB2312" w:eastAsia="仿宋_GB2312"/>
          <w:b/>
          <w:bCs/>
        </w:rPr>
        <w:t>区卫生健康委</w:t>
      </w:r>
    </w:p>
    <w:p>
      <w:pPr>
        <w:pStyle w:val="45"/>
        <w:ind w:firstLine="632" w:firstLineChars="200"/>
        <w:jc w:val="both"/>
        <w:rPr>
          <w:rFonts w:ascii="方正仿宋_GBK"/>
          <w:sz w:val="32"/>
          <w:szCs w:val="32"/>
        </w:rPr>
      </w:pPr>
      <w:r>
        <w:rPr>
          <w:rFonts w:hint="eastAsia" w:ascii="方正仿宋_GBK"/>
          <w:sz w:val="32"/>
          <w:szCs w:val="32"/>
        </w:rPr>
        <w:t>负责在事故现场设置临时医疗急救区；对伤员进行紧急医疗处置，及时转运伤员到指定医院；统计伤亡人员情况。</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14 </w:t>
      </w:r>
      <w:r>
        <w:rPr>
          <w:rFonts w:hint="eastAsia" w:ascii="仿宋_GB2312" w:eastAsia="仿宋_GB2312"/>
          <w:b/>
          <w:bCs/>
        </w:rPr>
        <w:t>区财政局</w:t>
      </w:r>
    </w:p>
    <w:p>
      <w:pPr>
        <w:pStyle w:val="45"/>
        <w:ind w:firstLine="632" w:firstLineChars="200"/>
        <w:jc w:val="both"/>
        <w:rPr>
          <w:rFonts w:ascii="方正仿宋_GBK"/>
          <w:sz w:val="32"/>
          <w:szCs w:val="32"/>
        </w:rPr>
      </w:pPr>
      <w:r>
        <w:rPr>
          <w:rFonts w:hint="eastAsia" w:ascii="方正仿宋_GBK"/>
          <w:sz w:val="32"/>
          <w:szCs w:val="32"/>
        </w:rPr>
        <w:t>负责油气管道事故应对工作经费保障。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15 </w:t>
      </w:r>
      <w:r>
        <w:rPr>
          <w:rFonts w:hint="eastAsia" w:ascii="仿宋_GB2312" w:eastAsia="仿宋_GB2312"/>
          <w:b/>
          <w:bCs/>
        </w:rPr>
        <w:t>区民政局</w:t>
      </w:r>
    </w:p>
    <w:p>
      <w:pPr>
        <w:pStyle w:val="45"/>
        <w:ind w:firstLine="632" w:firstLineChars="200"/>
        <w:jc w:val="both"/>
        <w:rPr>
          <w:rFonts w:ascii="方正仿宋_GBK"/>
          <w:sz w:val="32"/>
          <w:szCs w:val="32"/>
        </w:rPr>
      </w:pPr>
      <w:r>
        <w:rPr>
          <w:rFonts w:hint="eastAsia" w:ascii="方正仿宋_GBK"/>
          <w:sz w:val="32"/>
          <w:szCs w:val="32"/>
        </w:rPr>
        <w:t>协助事发地镇街（港城管委会）做好受影响群众的安置、安抚工作；负责政府救助、死亡人员丧葬等有关事宜和善后工作。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16 </w:t>
      </w:r>
      <w:r>
        <w:rPr>
          <w:rFonts w:hint="eastAsia" w:ascii="仿宋_GB2312" w:eastAsia="仿宋_GB2312"/>
          <w:b/>
          <w:bCs/>
        </w:rPr>
        <w:t>区人力社保局</w:t>
      </w:r>
    </w:p>
    <w:p>
      <w:pPr>
        <w:pStyle w:val="45"/>
        <w:ind w:firstLine="632" w:firstLineChars="200"/>
        <w:jc w:val="both"/>
        <w:rPr>
          <w:rFonts w:ascii="方正仿宋_GBK"/>
          <w:sz w:val="32"/>
          <w:szCs w:val="32"/>
        </w:rPr>
      </w:pPr>
      <w:r>
        <w:rPr>
          <w:rFonts w:hint="eastAsia" w:ascii="方正仿宋_GBK"/>
          <w:sz w:val="32"/>
          <w:szCs w:val="32"/>
        </w:rPr>
        <w:t>负责工伤保险有关事宜；参与善后处理工作。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17 </w:t>
      </w:r>
      <w:r>
        <w:rPr>
          <w:rFonts w:hint="eastAsia" w:ascii="仿宋_GB2312" w:eastAsia="仿宋_GB2312"/>
          <w:b/>
          <w:bCs/>
        </w:rPr>
        <w:t>区医疗保障局</w:t>
      </w:r>
    </w:p>
    <w:p>
      <w:pPr>
        <w:pStyle w:val="45"/>
        <w:ind w:firstLine="632" w:firstLineChars="200"/>
        <w:jc w:val="both"/>
        <w:rPr>
          <w:rFonts w:ascii="方正仿宋_GBK"/>
          <w:sz w:val="32"/>
          <w:szCs w:val="32"/>
        </w:rPr>
      </w:pPr>
      <w:r>
        <w:rPr>
          <w:rFonts w:hint="eastAsia" w:ascii="方正仿宋_GBK"/>
          <w:sz w:val="32"/>
          <w:szCs w:val="32"/>
        </w:rPr>
        <w:t>负责医疗保险等有关事宜。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w:t>
      </w:r>
      <w:r>
        <w:rPr>
          <w:rFonts w:ascii="仿宋_GB2312" w:eastAsia="仿宋_GB2312"/>
          <w:b/>
          <w:bCs/>
        </w:rPr>
        <w:t xml:space="preserve">8 </w:t>
      </w:r>
      <w:r>
        <w:rPr>
          <w:rFonts w:hint="eastAsia" w:ascii="仿宋_GB2312" w:eastAsia="仿宋_GB2312"/>
          <w:b/>
          <w:bCs/>
        </w:rPr>
        <w:t>区融媒体中心</w:t>
      </w:r>
    </w:p>
    <w:p>
      <w:pPr>
        <w:pStyle w:val="45"/>
        <w:ind w:firstLine="632" w:firstLineChars="200"/>
        <w:jc w:val="both"/>
        <w:rPr>
          <w:rFonts w:ascii="方正仿宋_GBK"/>
          <w:sz w:val="32"/>
          <w:szCs w:val="32"/>
        </w:rPr>
      </w:pPr>
      <w:r>
        <w:rPr>
          <w:rFonts w:hint="eastAsia" w:ascii="方正仿宋_GBK"/>
          <w:sz w:val="32"/>
          <w:szCs w:val="32"/>
        </w:rPr>
        <w:t>负责起草新闻通稿，组织新闻发布会，正确引导舆论；做好现场新闻媒体接待和服务工作。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.1</w:t>
      </w:r>
      <w:r>
        <w:rPr>
          <w:rFonts w:ascii="仿宋_GB2312" w:eastAsia="仿宋_GB2312"/>
          <w:b/>
          <w:bCs/>
        </w:rPr>
        <w:t xml:space="preserve">9 </w:t>
      </w:r>
      <w:r>
        <w:rPr>
          <w:rFonts w:hint="eastAsia" w:ascii="仿宋_GB2312" w:eastAsia="仿宋_GB2312"/>
          <w:b/>
          <w:bCs/>
        </w:rPr>
        <w:t>区委网信办</w:t>
      </w:r>
    </w:p>
    <w:p>
      <w:pPr>
        <w:pStyle w:val="45"/>
        <w:ind w:firstLine="632" w:firstLineChars="200"/>
        <w:jc w:val="both"/>
        <w:rPr>
          <w:rFonts w:ascii="方正仿宋_GBK"/>
          <w:sz w:val="32"/>
          <w:szCs w:val="32"/>
        </w:rPr>
      </w:pPr>
      <w:r>
        <w:rPr>
          <w:rFonts w:hint="eastAsia" w:ascii="方正仿宋_GBK"/>
          <w:sz w:val="32"/>
          <w:szCs w:val="32"/>
        </w:rPr>
        <w:t>负责监测网络舆情，会同有关部门开展网络舆情引导，及时澄清网络谣言。</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w:t>
      </w:r>
      <w:r>
        <w:rPr>
          <w:rFonts w:ascii="仿宋_GB2312" w:eastAsia="仿宋_GB2312"/>
          <w:b/>
          <w:bCs/>
        </w:rPr>
        <w:t xml:space="preserve">20 </w:t>
      </w:r>
      <w:r>
        <w:rPr>
          <w:rFonts w:hint="eastAsia" w:ascii="仿宋_GB2312" w:eastAsia="仿宋_GB2312"/>
          <w:b/>
          <w:bCs/>
        </w:rPr>
        <w:t>区纪委监委</w:t>
      </w:r>
    </w:p>
    <w:p>
      <w:pPr>
        <w:pStyle w:val="45"/>
        <w:ind w:firstLine="632" w:firstLineChars="200"/>
        <w:jc w:val="both"/>
        <w:rPr>
          <w:rFonts w:ascii="方正仿宋_GBK"/>
          <w:sz w:val="32"/>
          <w:szCs w:val="32"/>
        </w:rPr>
      </w:pPr>
      <w:r>
        <w:rPr>
          <w:rFonts w:hint="eastAsia" w:ascii="方正仿宋_GBK"/>
          <w:sz w:val="32"/>
          <w:szCs w:val="32"/>
        </w:rPr>
        <w:t>依法对区政府各部门、国家公务员和国家行政机关任命的其他工作人员实施监督，查处失职、渎职行为。</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.2</w:t>
      </w:r>
      <w:r>
        <w:rPr>
          <w:rFonts w:ascii="仿宋_GB2312" w:eastAsia="仿宋_GB2312"/>
          <w:b/>
          <w:bCs/>
        </w:rPr>
        <w:t xml:space="preserve">1 </w:t>
      </w:r>
      <w:r>
        <w:rPr>
          <w:rFonts w:hint="eastAsia" w:ascii="仿宋_GB2312" w:eastAsia="仿宋_GB2312"/>
          <w:b/>
          <w:bCs/>
        </w:rPr>
        <w:t>区总工会</w:t>
      </w:r>
    </w:p>
    <w:p>
      <w:pPr>
        <w:pStyle w:val="45"/>
        <w:ind w:firstLine="632" w:firstLineChars="200"/>
        <w:jc w:val="both"/>
        <w:rPr>
          <w:rFonts w:ascii="方正仿宋_GBK"/>
          <w:sz w:val="32"/>
          <w:szCs w:val="32"/>
        </w:rPr>
      </w:pPr>
      <w:r>
        <w:rPr>
          <w:rFonts w:hint="eastAsia" w:ascii="方正仿宋_GBK"/>
          <w:sz w:val="32"/>
          <w:szCs w:val="32"/>
        </w:rPr>
        <w:t>负责指导企业做好事故善后处理工作，参与事故的调查处理工作。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.2</w:t>
      </w:r>
      <w:r>
        <w:rPr>
          <w:rFonts w:ascii="仿宋_GB2312" w:eastAsia="仿宋_GB2312"/>
          <w:b/>
          <w:bCs/>
        </w:rPr>
        <w:t xml:space="preserve">2 </w:t>
      </w:r>
      <w:r>
        <w:rPr>
          <w:rFonts w:hint="eastAsia" w:ascii="仿宋_GB2312" w:eastAsia="仿宋_GB2312"/>
          <w:b/>
          <w:bCs/>
        </w:rPr>
        <w:t>事发地镇街、港城管委会</w:t>
      </w:r>
    </w:p>
    <w:p>
      <w:pPr>
        <w:pStyle w:val="45"/>
        <w:ind w:firstLine="632" w:firstLineChars="200"/>
        <w:jc w:val="both"/>
        <w:rPr>
          <w:rFonts w:ascii="方正仿宋_GBK"/>
          <w:sz w:val="32"/>
          <w:szCs w:val="32"/>
        </w:rPr>
      </w:pPr>
      <w:r>
        <w:rPr>
          <w:rFonts w:hint="eastAsia" w:ascii="方正仿宋_GBK"/>
          <w:sz w:val="32"/>
          <w:szCs w:val="32"/>
        </w:rPr>
        <w:t>负责及时报告事故有关情况，启动有关应急预案，调集抢险救援力量开展应急处置，最大限度地减少人员伤亡、财产损失和环境危害；牵头做好善后处理工作；为事故抢险救援提供后勤保障。</w:t>
      </w:r>
    </w:p>
    <w:p>
      <w:pPr>
        <w:keepNext/>
        <w:keepLines/>
        <w:ind w:firstLine="632" w:firstLineChars="200"/>
        <w:outlineLvl w:val="2"/>
        <w:rPr>
          <w:rFonts w:ascii="仿宋_GB2312" w:eastAsia="仿宋_GB2312"/>
          <w:b/>
          <w:bCs/>
        </w:rPr>
      </w:pPr>
      <w:r>
        <w:rPr>
          <w:rFonts w:hint="eastAsia" w:ascii="仿宋_GB2312" w:eastAsia="仿宋_GB2312"/>
          <w:b/>
          <w:bCs/>
        </w:rPr>
        <w:t>2.</w:t>
      </w:r>
      <w:r>
        <w:rPr>
          <w:rFonts w:ascii="仿宋_GB2312" w:eastAsia="仿宋_GB2312"/>
          <w:b/>
          <w:bCs/>
        </w:rPr>
        <w:t>5</w:t>
      </w:r>
      <w:r>
        <w:rPr>
          <w:rFonts w:hint="eastAsia" w:ascii="仿宋_GB2312" w:eastAsia="仿宋_GB2312"/>
          <w:b/>
          <w:bCs/>
        </w:rPr>
        <w:t>.2</w:t>
      </w:r>
      <w:r>
        <w:rPr>
          <w:rFonts w:ascii="仿宋_GB2312" w:eastAsia="仿宋_GB2312"/>
          <w:b/>
          <w:bCs/>
        </w:rPr>
        <w:t xml:space="preserve">3 </w:t>
      </w:r>
      <w:r>
        <w:rPr>
          <w:rFonts w:hint="eastAsia" w:ascii="仿宋_GB2312" w:eastAsia="仿宋_GB2312"/>
          <w:b/>
          <w:bCs/>
        </w:rPr>
        <w:t>油气长输管道运营企业</w:t>
      </w:r>
    </w:p>
    <w:p>
      <w:pPr>
        <w:pStyle w:val="45"/>
        <w:ind w:firstLine="632" w:firstLineChars="200"/>
        <w:jc w:val="both"/>
        <w:rPr>
          <w:rFonts w:ascii="方正仿宋_GBK"/>
          <w:sz w:val="32"/>
          <w:szCs w:val="32"/>
        </w:rPr>
      </w:pPr>
      <w:r>
        <w:rPr>
          <w:rFonts w:hint="eastAsia" w:ascii="方正仿宋_GBK"/>
          <w:sz w:val="32"/>
          <w:szCs w:val="32"/>
        </w:rPr>
        <w:t>负责启动本单位事故应急预案，提供事故风险评估情况，组织本单位应急救援队伍和专家对事故进行先期处置，防止事态进一步扩大；配合做好事故调查工作。</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17" w:name="_Toc119854384"/>
      <w:r>
        <w:rPr>
          <w:rFonts w:hint="eastAsia" w:ascii="方正黑体_GBK" w:hAnsi="Times New Roman" w:eastAsia="方正黑体_GBK"/>
          <w:b w:val="0"/>
          <w:bCs/>
          <w:sz w:val="32"/>
          <w:szCs w:val="32"/>
        </w:rPr>
        <w:t>3  预警及信息报告</w:t>
      </w:r>
      <w:bookmarkEnd w:id="17"/>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8" w:name="_Toc119854385"/>
      <w:r>
        <w:rPr>
          <w:rFonts w:hint="eastAsia" w:ascii="方正楷体_GBK" w:hAnsi="方正楷体_GBK" w:eastAsia="方正楷体_GBK" w:cs="方正楷体_GBK"/>
          <w:b w:val="0"/>
          <w:bCs w:val="0"/>
        </w:rPr>
        <w:t>3.1  风险管理与预防</w:t>
      </w:r>
      <w:bookmarkEnd w:id="18"/>
    </w:p>
    <w:p>
      <w:pPr>
        <w:pStyle w:val="45"/>
        <w:ind w:firstLine="632" w:firstLineChars="200"/>
        <w:jc w:val="both"/>
        <w:rPr>
          <w:rFonts w:ascii="方正仿宋_GBK"/>
          <w:sz w:val="32"/>
          <w:szCs w:val="32"/>
        </w:rPr>
      </w:pPr>
      <w:r>
        <w:rPr>
          <w:rFonts w:hint="eastAsia" w:ascii="方正仿宋_GBK"/>
          <w:sz w:val="32"/>
          <w:szCs w:val="32"/>
        </w:rPr>
        <w:t>油气长输管道运营企业要严格落实企业主体责任，建立健全并严格执行石油天然气长输管道安全管理制度，配备必要的监测监控设施设备，做好石油天然气长输管道事故风险的识别、登记、评估、防控和隐患排查整治等工作，并将相关信息及时录入重庆市江北区风险信息管理系统。要加强对油气长输管道人口密集型高后果区等重点目标和重要部位的安全运行监测，认真开展管道风险评估，识别影响管道完整性的危害因素，分析管道失效的可能性及后果，判定风险水平并采取相应风险防范措施、提出事故处置措施。发现可能引发事故的情况，要立即报告区政府和区发展改革委。</w:t>
      </w:r>
    </w:p>
    <w:p>
      <w:pPr>
        <w:pStyle w:val="45"/>
        <w:ind w:firstLine="632" w:firstLineChars="200"/>
        <w:jc w:val="both"/>
        <w:rPr>
          <w:rFonts w:ascii="方正仿宋_GBK"/>
          <w:sz w:val="32"/>
          <w:szCs w:val="32"/>
        </w:rPr>
      </w:pPr>
      <w:r>
        <w:rPr>
          <w:rFonts w:hint="eastAsia" w:ascii="方正仿宋_GBK"/>
          <w:sz w:val="32"/>
          <w:szCs w:val="32"/>
        </w:rPr>
        <w:t>石油天然气长输管道途经的各镇街（港城管委会）要完善和强化以预防为主的日常监督检查机制，切实抓好石油天然气长输管道风险隐患动态排查、风险信息动态更新和风险隐患动态防控等各项工作，加强石油天然气长输管道重点隐患区、危险源的排查，制定风险控制方案，落实相应的工程措施、技术措施、管理措施加以管控，及时发现并防范可能出现的险情。</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9" w:name="_Toc119854386"/>
      <w:r>
        <w:rPr>
          <w:rFonts w:hint="eastAsia" w:ascii="方正楷体_GBK" w:hAnsi="方正楷体_GBK" w:eastAsia="方正楷体_GBK" w:cs="方正楷体_GBK"/>
          <w:b w:val="0"/>
          <w:bCs w:val="0"/>
        </w:rPr>
        <w:t>3.2  监测与预警</w:t>
      </w:r>
      <w:bookmarkEnd w:id="19"/>
    </w:p>
    <w:p>
      <w:pPr>
        <w:pStyle w:val="45"/>
        <w:ind w:firstLine="632" w:firstLineChars="200"/>
        <w:jc w:val="both"/>
        <w:rPr>
          <w:rFonts w:ascii="方正仿宋_GBK"/>
          <w:sz w:val="32"/>
          <w:szCs w:val="32"/>
        </w:rPr>
      </w:pPr>
      <w:r>
        <w:rPr>
          <w:rFonts w:hint="eastAsia" w:ascii="方正仿宋_GBK"/>
          <w:sz w:val="32"/>
          <w:szCs w:val="32"/>
        </w:rPr>
        <w:t>石油天然气长输管道途经的各镇街（港城管委会）及有关油气管道运营企业要建立健全事故监测预警机制，对石油天然气长输管道涉及的危险源进行监控和信息分析，对可能引发事故或其他灾害的信息，按规定及时上报区发展改革委。</w:t>
      </w:r>
    </w:p>
    <w:p>
      <w:pPr>
        <w:pStyle w:val="45"/>
        <w:ind w:firstLine="632" w:firstLineChars="200"/>
        <w:jc w:val="both"/>
        <w:rPr>
          <w:rFonts w:ascii="方正仿宋_GBK"/>
          <w:sz w:val="32"/>
          <w:szCs w:val="32"/>
        </w:rPr>
      </w:pPr>
      <w:r>
        <w:rPr>
          <w:rFonts w:hint="eastAsia" w:ascii="方正仿宋_GBK"/>
          <w:sz w:val="32"/>
          <w:szCs w:val="32"/>
        </w:rPr>
        <w:t>区规划自然资源局牵头与区发展改革委、油气长输管道运营企业建立地质灾害监测预报预警联动机制。区规划自然资源局制作并发布全区地质灾害预警信息，管道企业制作因气象和地质因素引发的次生、衍生灾害预警信息，并报告当地政府和区发展改革委。</w:t>
      </w:r>
    </w:p>
    <w:p>
      <w:pPr>
        <w:pStyle w:val="45"/>
        <w:ind w:firstLine="632" w:firstLineChars="200"/>
        <w:jc w:val="both"/>
        <w:rPr>
          <w:rFonts w:ascii="方正仿宋_GBK"/>
          <w:sz w:val="32"/>
          <w:szCs w:val="32"/>
        </w:rPr>
      </w:pPr>
      <w:r>
        <w:rPr>
          <w:rFonts w:hint="eastAsia" w:ascii="方正仿宋_GBK"/>
          <w:sz w:val="32"/>
          <w:szCs w:val="32"/>
        </w:rPr>
        <w:t>区发展改革委负责统一接收、处理、统计分析事故信息，对事故预警信息进行核实研判后及时上报区政府和区政府应急委。</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0" w:name="_Toc119854387"/>
      <w:r>
        <w:rPr>
          <w:rFonts w:hint="eastAsia" w:ascii="方正楷体_GBK" w:hAnsi="方正楷体_GBK" w:eastAsia="方正楷体_GBK" w:cs="方正楷体_GBK"/>
          <w:b w:val="0"/>
          <w:bCs w:val="0"/>
        </w:rPr>
        <w:t>3.3  预警级别</w:t>
      </w:r>
      <w:bookmarkEnd w:id="20"/>
    </w:p>
    <w:p>
      <w:pPr>
        <w:pStyle w:val="45"/>
        <w:ind w:firstLine="632" w:firstLineChars="200"/>
        <w:jc w:val="both"/>
        <w:rPr>
          <w:rFonts w:ascii="方正仿宋_GBK"/>
          <w:sz w:val="32"/>
          <w:szCs w:val="32"/>
        </w:rPr>
      </w:pPr>
      <w:r>
        <w:rPr>
          <w:rFonts w:hint="eastAsia" w:ascii="方正仿宋_GBK"/>
          <w:sz w:val="32"/>
          <w:szCs w:val="32"/>
        </w:rPr>
        <w:t>根据石油天然气长输管道事故发生的紧急程度、发展态势和可能造成危害的严重程度，预警级别由高到低依次为一级、二级、三级、四级，分别用红色、橙色、黄色、蓝色标示，一级为最高级别。</w:t>
      </w:r>
    </w:p>
    <w:p>
      <w:pPr>
        <w:pStyle w:val="45"/>
        <w:ind w:firstLine="632" w:firstLineChars="200"/>
        <w:jc w:val="both"/>
        <w:rPr>
          <w:rFonts w:ascii="方正仿宋_GBK"/>
          <w:sz w:val="32"/>
          <w:szCs w:val="32"/>
        </w:rPr>
      </w:pPr>
      <w:r>
        <w:rPr>
          <w:rFonts w:hint="eastAsia" w:ascii="方正仿宋_GBK"/>
          <w:sz w:val="32"/>
          <w:szCs w:val="32"/>
        </w:rPr>
        <w:t>一级预警（红色）：风险特别重大，预计将要发生特别重大事故。事件会随时发生，事态正在趋于严重。</w:t>
      </w:r>
    </w:p>
    <w:p>
      <w:pPr>
        <w:pStyle w:val="45"/>
        <w:ind w:firstLine="632" w:firstLineChars="200"/>
        <w:jc w:val="both"/>
        <w:rPr>
          <w:rFonts w:ascii="方正仿宋_GBK"/>
          <w:sz w:val="32"/>
          <w:szCs w:val="32"/>
        </w:rPr>
      </w:pPr>
      <w:r>
        <w:rPr>
          <w:rFonts w:hint="eastAsia" w:ascii="方正仿宋_GBK"/>
          <w:sz w:val="32"/>
          <w:szCs w:val="32"/>
        </w:rPr>
        <w:t>二级预警（橙色）：风险重大，预计将要发生重大以上事故。事件即将发生，事态正在逐步扩大。</w:t>
      </w:r>
    </w:p>
    <w:p>
      <w:pPr>
        <w:pStyle w:val="45"/>
        <w:ind w:firstLine="632" w:firstLineChars="200"/>
        <w:jc w:val="both"/>
        <w:rPr>
          <w:rFonts w:ascii="方正仿宋_GBK"/>
          <w:sz w:val="32"/>
          <w:szCs w:val="32"/>
        </w:rPr>
      </w:pPr>
      <w:r>
        <w:rPr>
          <w:rFonts w:hint="eastAsia" w:ascii="方正仿宋_GBK"/>
          <w:sz w:val="32"/>
          <w:szCs w:val="32"/>
        </w:rPr>
        <w:t>三级预警（黄色）：风险较大，预计将要发生较大以上事故。事件已经临近，事态有扩大的趋势。</w:t>
      </w:r>
    </w:p>
    <w:p>
      <w:pPr>
        <w:pStyle w:val="45"/>
        <w:ind w:firstLine="632" w:firstLineChars="200"/>
        <w:jc w:val="both"/>
        <w:rPr>
          <w:rFonts w:ascii="方正仿宋_GBK"/>
          <w:sz w:val="32"/>
          <w:szCs w:val="32"/>
        </w:rPr>
      </w:pPr>
      <w:r>
        <w:rPr>
          <w:rFonts w:hint="eastAsia" w:ascii="方正仿宋_GBK"/>
          <w:sz w:val="32"/>
          <w:szCs w:val="32"/>
        </w:rPr>
        <w:t>四级预警（蓝色）：风险一般，预计将要发生一般以上事故。事件即将来临，事态可能会扩大。</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1" w:name="_Toc119854388"/>
      <w:r>
        <w:rPr>
          <w:rFonts w:hint="eastAsia" w:ascii="方正楷体_GBK" w:hAnsi="方正楷体_GBK" w:eastAsia="方正楷体_GBK" w:cs="方正楷体_GBK"/>
          <w:b w:val="0"/>
          <w:bCs w:val="0"/>
        </w:rPr>
        <w:t>3.4  预警信息发布</w:t>
      </w:r>
      <w:bookmarkEnd w:id="21"/>
    </w:p>
    <w:p>
      <w:pPr>
        <w:pStyle w:val="45"/>
        <w:ind w:firstLine="632" w:firstLineChars="200"/>
        <w:jc w:val="both"/>
        <w:rPr>
          <w:rFonts w:ascii="方正仿宋_GBK"/>
          <w:sz w:val="32"/>
          <w:szCs w:val="32"/>
        </w:rPr>
      </w:pPr>
      <w:r>
        <w:rPr>
          <w:rFonts w:hint="eastAsia" w:ascii="方正仿宋_GBK"/>
          <w:sz w:val="32"/>
          <w:szCs w:val="32"/>
        </w:rPr>
        <w:t>（1）发布权限。蓝色和黄色预警信息由区政府或区政府授权区级有关部门发布；橙色和红色预警信息报请市政府或市政府授权市级有关部门发布。区发展改革委负责根据有关部门以及油气长输管道运营企业监测、预测情况，预估可能的影响范围和危害程度，向同级政府提出预警级别建议。</w:t>
      </w:r>
    </w:p>
    <w:p>
      <w:pPr>
        <w:pStyle w:val="45"/>
        <w:ind w:firstLine="632" w:firstLineChars="200"/>
        <w:jc w:val="both"/>
        <w:rPr>
          <w:rFonts w:ascii="方正仿宋_GBK"/>
          <w:sz w:val="32"/>
          <w:szCs w:val="32"/>
        </w:rPr>
      </w:pPr>
      <w:r>
        <w:rPr>
          <w:rFonts w:hint="eastAsia" w:ascii="方正仿宋_GBK"/>
          <w:sz w:val="32"/>
          <w:szCs w:val="32"/>
        </w:rPr>
        <w:t>（2）发布内容。预警信息内容包括：发布单位、发布时间、可能发生事故的类别、起始时间、可能影响范围、预警级别、警示事项、事态发展、相关措施、咨询电话等。</w:t>
      </w:r>
    </w:p>
    <w:p>
      <w:pPr>
        <w:pStyle w:val="45"/>
        <w:ind w:firstLine="632" w:firstLineChars="200"/>
        <w:jc w:val="both"/>
        <w:rPr>
          <w:rFonts w:ascii="方正仿宋_GBK"/>
          <w:sz w:val="32"/>
          <w:szCs w:val="32"/>
        </w:rPr>
      </w:pPr>
      <w:r>
        <w:rPr>
          <w:rFonts w:hint="eastAsia" w:ascii="方正仿宋_GBK"/>
          <w:sz w:val="32"/>
          <w:szCs w:val="32"/>
        </w:rPr>
        <w:t>（3）发布途径。预警信息应当通过事故信息发布平台、事故预警信息平台或电视、广播、报纸、微博、微信、手机短信等途径向公众发布。广播站、电视台、报社、网站和电信运营单位应当及时、准确、无偿地向社会公众传播预警信息。</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2" w:name="_Toc119854389"/>
      <w:r>
        <w:rPr>
          <w:rFonts w:hint="eastAsia" w:ascii="方正楷体_GBK" w:hAnsi="方正楷体_GBK" w:eastAsia="方正楷体_GBK" w:cs="方正楷体_GBK"/>
          <w:b w:val="0"/>
          <w:bCs w:val="0"/>
        </w:rPr>
        <w:t>3.5  预警行动</w:t>
      </w:r>
      <w:bookmarkEnd w:id="22"/>
    </w:p>
    <w:p>
      <w:pPr>
        <w:pStyle w:val="45"/>
        <w:ind w:firstLine="632" w:firstLineChars="200"/>
        <w:jc w:val="both"/>
        <w:rPr>
          <w:rFonts w:ascii="方正仿宋_GBK"/>
          <w:sz w:val="32"/>
          <w:szCs w:val="32"/>
        </w:rPr>
      </w:pPr>
      <w:r>
        <w:rPr>
          <w:rFonts w:hint="eastAsia" w:ascii="方正仿宋_GBK"/>
          <w:sz w:val="32"/>
          <w:szCs w:val="32"/>
        </w:rPr>
        <w:t>预警信息发布后，有关镇街、区政府有关部门和单位可视情况采取以下措施：</w:t>
      </w:r>
    </w:p>
    <w:p>
      <w:pPr>
        <w:pStyle w:val="45"/>
        <w:ind w:firstLine="632" w:firstLineChars="200"/>
        <w:jc w:val="both"/>
        <w:rPr>
          <w:rFonts w:ascii="方正仿宋_GBK"/>
          <w:sz w:val="32"/>
          <w:szCs w:val="32"/>
        </w:rPr>
      </w:pPr>
      <w:r>
        <w:rPr>
          <w:rFonts w:hint="eastAsia" w:ascii="方正仿宋_GBK"/>
          <w:sz w:val="32"/>
          <w:szCs w:val="32"/>
        </w:rPr>
        <w:t>（1）及时研判。组织油气长输管道运营企业和有关部门、机构及专家及时进行分析研判，预估可能的影响范围和危害程度，制定相应防范应对措施。</w:t>
      </w:r>
    </w:p>
    <w:p>
      <w:pPr>
        <w:pStyle w:val="45"/>
        <w:ind w:firstLine="632" w:firstLineChars="200"/>
        <w:jc w:val="both"/>
        <w:rPr>
          <w:rFonts w:ascii="方正仿宋_GBK"/>
          <w:sz w:val="32"/>
          <w:szCs w:val="32"/>
        </w:rPr>
      </w:pPr>
      <w:r>
        <w:rPr>
          <w:rFonts w:hint="eastAsia" w:ascii="方正仿宋_GBK"/>
          <w:sz w:val="32"/>
          <w:szCs w:val="32"/>
        </w:rPr>
        <w:t>（2）防范处置。视情况在涉险区域设置警示标志，利用各种渠道告知公众避险，提前疏散、转移可能受到危害的人员，并进行妥善安置，必要时实施交通管制，封闭危险区域和道路。</w:t>
      </w:r>
    </w:p>
    <w:p>
      <w:pPr>
        <w:pStyle w:val="45"/>
        <w:ind w:firstLine="632" w:firstLineChars="200"/>
        <w:jc w:val="both"/>
        <w:rPr>
          <w:rFonts w:ascii="方正仿宋_GBK"/>
          <w:sz w:val="32"/>
          <w:szCs w:val="32"/>
        </w:rPr>
      </w:pPr>
      <w:r>
        <w:rPr>
          <w:rFonts w:hint="eastAsia" w:ascii="方正仿宋_GBK"/>
          <w:sz w:val="32"/>
          <w:szCs w:val="32"/>
        </w:rPr>
        <w:t>（3）应急准备。通知应急救援队伍进入待命状态，并调集应急所需物资和设备，必要时可调配事故发生地周边企业石油天然气长输管道应急保障队伍。</w:t>
      </w:r>
    </w:p>
    <w:p>
      <w:pPr>
        <w:pStyle w:val="45"/>
        <w:ind w:firstLine="632" w:firstLineChars="200"/>
        <w:jc w:val="both"/>
        <w:rPr>
          <w:rFonts w:ascii="方正仿宋_GBK"/>
          <w:sz w:val="32"/>
          <w:szCs w:val="32"/>
        </w:rPr>
      </w:pPr>
      <w:r>
        <w:rPr>
          <w:rFonts w:hint="eastAsia" w:ascii="方正仿宋_GBK"/>
          <w:sz w:val="32"/>
          <w:szCs w:val="32"/>
        </w:rPr>
        <w:t>（4）舆论引导。及时准确发布事态最新情况，公布咨询电话，组织专家解读，加强舆情监测，做好舆论引导工作。</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3" w:name="_Toc119854390"/>
      <w:r>
        <w:rPr>
          <w:rFonts w:hint="eastAsia" w:ascii="方正楷体_GBK" w:hAnsi="方正楷体_GBK" w:eastAsia="方正楷体_GBK" w:cs="方正楷体_GBK"/>
          <w:b w:val="0"/>
          <w:bCs w:val="0"/>
        </w:rPr>
        <w:t>3.6  预警调整与解除</w:t>
      </w:r>
      <w:bookmarkEnd w:id="23"/>
    </w:p>
    <w:p>
      <w:pPr>
        <w:pStyle w:val="45"/>
        <w:ind w:firstLine="632" w:firstLineChars="200"/>
        <w:jc w:val="both"/>
        <w:rPr>
          <w:rFonts w:ascii="方正仿宋_GBK"/>
          <w:sz w:val="32"/>
          <w:szCs w:val="32"/>
        </w:rPr>
      </w:pPr>
      <w:r>
        <w:rPr>
          <w:rFonts w:hint="eastAsia" w:ascii="方正仿宋_GBK"/>
          <w:sz w:val="32"/>
          <w:szCs w:val="32"/>
        </w:rPr>
        <w:t>预警信息发布后，预警信息发布单位应当加强信息收集、分析、研判工作，及时掌握险情发展态势和排险进展，并根据事态发展，按照有关规定适时调整预警级别并重新发布。确定不可能发生石油天然气长输管道事故或危险已经解除时，预警信息发布单位应当及时宣布解除预警，终止相关预警措施。</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4" w:name="_Toc119854391"/>
      <w:r>
        <w:rPr>
          <w:rFonts w:hint="eastAsia" w:ascii="方正楷体_GBK" w:hAnsi="方正楷体_GBK" w:eastAsia="方正楷体_GBK" w:cs="方正楷体_GBK"/>
          <w:b w:val="0"/>
          <w:bCs w:val="0"/>
        </w:rPr>
        <w:t>3.7  信息报告</w:t>
      </w:r>
      <w:bookmarkEnd w:id="24"/>
    </w:p>
    <w:p>
      <w:pPr>
        <w:keepNext/>
        <w:keepLines/>
        <w:ind w:firstLine="632" w:firstLineChars="200"/>
        <w:outlineLvl w:val="2"/>
        <w:rPr>
          <w:rFonts w:ascii="仿宋_GB2312" w:eastAsia="仿宋_GB2312"/>
          <w:b/>
          <w:bCs/>
        </w:rPr>
      </w:pPr>
      <w:r>
        <w:rPr>
          <w:rFonts w:hint="eastAsia" w:ascii="仿宋_GB2312" w:eastAsia="仿宋_GB2312"/>
          <w:b/>
          <w:bCs/>
        </w:rPr>
        <w:t>3.7.1</w:t>
      </w:r>
      <w:r>
        <w:rPr>
          <w:rFonts w:ascii="仿宋_GB2312" w:eastAsia="仿宋_GB2312"/>
          <w:b/>
          <w:bCs/>
        </w:rPr>
        <w:t xml:space="preserve"> </w:t>
      </w:r>
      <w:r>
        <w:rPr>
          <w:rFonts w:hint="eastAsia" w:ascii="仿宋_GB2312" w:eastAsia="仿宋_GB2312"/>
          <w:b/>
          <w:bCs/>
        </w:rPr>
        <w:t>报送程序</w:t>
      </w:r>
    </w:p>
    <w:p>
      <w:pPr>
        <w:pStyle w:val="45"/>
        <w:ind w:firstLine="632" w:firstLineChars="200"/>
        <w:jc w:val="both"/>
        <w:rPr>
          <w:rFonts w:ascii="方正仿宋_GBK"/>
          <w:sz w:val="32"/>
          <w:szCs w:val="32"/>
        </w:rPr>
      </w:pPr>
      <w:r>
        <w:rPr>
          <w:rFonts w:hint="eastAsia" w:ascii="方正仿宋_GBK"/>
          <w:sz w:val="32"/>
          <w:szCs w:val="32"/>
        </w:rPr>
        <w:t>发生事故后，事故发生单位应立即向属地镇街（港城管委会）、区发展改革委、区应急管理局报告。有关单位和个人可通过“110”“119”报警电话报告。区发展改革委和区应急管理局接到报告后应立即对事故情况进行核实，发生较大及以上石油天然气长输管道事故，有关部门应采取一切措施尽快掌握情况，力争30分钟内电话报告、60分钟内书面报告区政府应急委。区政府应急委应在60分钟内向市政府应急办报告。</w:t>
      </w:r>
    </w:p>
    <w:p>
      <w:pPr>
        <w:keepNext/>
        <w:keepLines/>
        <w:ind w:firstLine="632" w:firstLineChars="200"/>
        <w:outlineLvl w:val="2"/>
        <w:rPr>
          <w:rFonts w:ascii="仿宋_GB2312" w:eastAsia="仿宋_GB2312"/>
          <w:b/>
          <w:bCs/>
        </w:rPr>
      </w:pPr>
      <w:r>
        <w:rPr>
          <w:rFonts w:hint="eastAsia" w:ascii="仿宋_GB2312" w:eastAsia="仿宋_GB2312"/>
          <w:b/>
          <w:bCs/>
        </w:rPr>
        <w:t>3.7.2</w:t>
      </w:r>
      <w:r>
        <w:rPr>
          <w:rFonts w:ascii="仿宋_GB2312" w:eastAsia="仿宋_GB2312"/>
          <w:b/>
          <w:bCs/>
        </w:rPr>
        <w:t xml:space="preserve"> </w:t>
      </w:r>
      <w:r>
        <w:rPr>
          <w:rFonts w:hint="eastAsia" w:ascii="仿宋_GB2312" w:eastAsia="仿宋_GB2312"/>
          <w:b/>
          <w:bCs/>
        </w:rPr>
        <w:t>报告内容</w:t>
      </w:r>
    </w:p>
    <w:p>
      <w:pPr>
        <w:pStyle w:val="45"/>
        <w:ind w:firstLine="632" w:firstLineChars="200"/>
        <w:jc w:val="both"/>
        <w:rPr>
          <w:rFonts w:ascii="方正仿宋_GBK"/>
          <w:sz w:val="32"/>
          <w:szCs w:val="32"/>
        </w:rPr>
      </w:pPr>
      <w:r>
        <w:rPr>
          <w:rFonts w:hint="eastAsia" w:ascii="方正仿宋_GBK"/>
          <w:sz w:val="32"/>
          <w:szCs w:val="32"/>
        </w:rPr>
        <w:t>报告内容包括：</w:t>
      </w:r>
    </w:p>
    <w:p>
      <w:pPr>
        <w:pStyle w:val="45"/>
        <w:ind w:firstLine="632" w:firstLineChars="200"/>
        <w:jc w:val="both"/>
        <w:rPr>
          <w:rFonts w:ascii="方正仿宋_GBK"/>
          <w:sz w:val="32"/>
          <w:szCs w:val="32"/>
        </w:rPr>
      </w:pPr>
      <w:r>
        <w:rPr>
          <w:rFonts w:hint="eastAsia" w:ascii="方正仿宋_GBK"/>
          <w:sz w:val="32"/>
          <w:szCs w:val="32"/>
        </w:rPr>
        <w:t>（1）事故发生单位概况；</w:t>
      </w:r>
    </w:p>
    <w:p>
      <w:pPr>
        <w:pStyle w:val="45"/>
        <w:ind w:firstLine="632" w:firstLineChars="200"/>
        <w:jc w:val="both"/>
        <w:rPr>
          <w:rFonts w:ascii="方正仿宋_GBK"/>
          <w:sz w:val="32"/>
          <w:szCs w:val="32"/>
        </w:rPr>
      </w:pPr>
      <w:r>
        <w:rPr>
          <w:rFonts w:hint="eastAsia" w:ascii="方正仿宋_GBK"/>
          <w:sz w:val="32"/>
          <w:szCs w:val="32"/>
        </w:rPr>
        <w:t>（2）事故发生的时间、地点以及事故现场情况；</w:t>
      </w:r>
    </w:p>
    <w:p>
      <w:pPr>
        <w:pStyle w:val="45"/>
        <w:ind w:firstLine="632" w:firstLineChars="200"/>
        <w:jc w:val="both"/>
        <w:rPr>
          <w:rFonts w:ascii="方正仿宋_GBK"/>
          <w:sz w:val="32"/>
          <w:szCs w:val="32"/>
        </w:rPr>
      </w:pPr>
      <w:r>
        <w:rPr>
          <w:rFonts w:hint="eastAsia" w:ascii="方正仿宋_GBK"/>
          <w:sz w:val="32"/>
          <w:szCs w:val="32"/>
        </w:rPr>
        <w:t>（3）事故的简要经过；</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）事故已经造成或者可能造成的伤亡人数（包括下落不明的人数）和初步估计的直接经济损失；</w:t>
      </w:r>
    </w:p>
    <w:p>
      <w:pPr>
        <w:pStyle w:val="45"/>
        <w:ind w:firstLine="632" w:firstLineChars="200"/>
        <w:jc w:val="both"/>
        <w:rPr>
          <w:rFonts w:ascii="方正仿宋_GBK"/>
          <w:sz w:val="32"/>
          <w:szCs w:val="32"/>
        </w:rPr>
      </w:pPr>
      <w:r>
        <w:rPr>
          <w:rFonts w:hint="eastAsia" w:ascii="方正仿宋_GBK"/>
          <w:sz w:val="32"/>
          <w:szCs w:val="32"/>
        </w:rPr>
        <w:t>（5）已经采取的处置措施及事故控制情况；</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6</w:t>
      </w:r>
      <w:r>
        <w:rPr>
          <w:rFonts w:hint="eastAsia" w:ascii="方正仿宋_GBK"/>
          <w:sz w:val="32"/>
          <w:szCs w:val="32"/>
        </w:rPr>
        <w:t>）事故发生的初步原因分析、初判等级；</w:t>
      </w:r>
    </w:p>
    <w:p>
      <w:pPr>
        <w:pStyle w:val="45"/>
        <w:ind w:firstLine="632" w:firstLineChars="200"/>
        <w:jc w:val="both"/>
        <w:rPr>
          <w:rFonts w:ascii="方正仿宋_GBK"/>
          <w:sz w:val="32"/>
          <w:szCs w:val="32"/>
        </w:rPr>
      </w:pPr>
      <w:r>
        <w:rPr>
          <w:rFonts w:hint="eastAsia" w:ascii="方正仿宋_GBK"/>
          <w:sz w:val="32"/>
          <w:szCs w:val="32"/>
        </w:rPr>
        <w:t>（7）下一步拟采取的处置措施、建议及需协调解决的事项。</w:t>
      </w:r>
    </w:p>
    <w:p>
      <w:pPr>
        <w:keepNext/>
        <w:keepLines/>
        <w:ind w:firstLine="632" w:firstLineChars="200"/>
        <w:outlineLvl w:val="2"/>
        <w:rPr>
          <w:rFonts w:ascii="仿宋_GB2312" w:eastAsia="仿宋_GB2312"/>
          <w:b/>
          <w:bCs/>
        </w:rPr>
      </w:pPr>
      <w:r>
        <w:rPr>
          <w:rFonts w:hint="eastAsia" w:ascii="仿宋_GB2312" w:eastAsia="仿宋_GB2312"/>
          <w:b/>
          <w:bCs/>
        </w:rPr>
        <w:t>3.7.3</w:t>
      </w:r>
      <w:r>
        <w:rPr>
          <w:rFonts w:ascii="仿宋_GB2312" w:eastAsia="仿宋_GB2312"/>
          <w:b/>
          <w:bCs/>
        </w:rPr>
        <w:t xml:space="preserve"> </w:t>
      </w:r>
      <w:r>
        <w:rPr>
          <w:rFonts w:hint="eastAsia" w:ascii="仿宋_GB2312" w:eastAsia="仿宋_GB2312"/>
          <w:b/>
          <w:bCs/>
        </w:rPr>
        <w:t>信息续报</w:t>
      </w:r>
    </w:p>
    <w:p>
      <w:pPr>
        <w:pStyle w:val="45"/>
        <w:ind w:firstLine="632" w:firstLineChars="200"/>
        <w:jc w:val="both"/>
        <w:rPr>
          <w:rFonts w:ascii="方正仿宋_GBK"/>
          <w:sz w:val="32"/>
          <w:szCs w:val="32"/>
        </w:rPr>
      </w:pPr>
      <w:r>
        <w:rPr>
          <w:rFonts w:hint="eastAsia" w:ascii="方正仿宋_GBK"/>
          <w:sz w:val="32"/>
          <w:szCs w:val="32"/>
        </w:rPr>
        <w:t>对首报要素不齐全或事故衍生出新情况、处置工作有新进展的，要及时续报，每天不少于1次。应急处置结束后要及时终报，包括处置措施、过程、结果，潜在或间接危害及损失、社会影响、处理后的遗留问题等。</w:t>
      </w:r>
    </w:p>
    <w:p>
      <w:pPr>
        <w:keepNext/>
        <w:keepLines/>
        <w:ind w:firstLine="632" w:firstLineChars="200"/>
        <w:outlineLvl w:val="2"/>
        <w:rPr>
          <w:rFonts w:ascii="仿宋_GB2312" w:eastAsia="仿宋_GB2312"/>
          <w:b/>
          <w:bCs/>
        </w:rPr>
      </w:pPr>
      <w:r>
        <w:rPr>
          <w:rFonts w:hint="eastAsia" w:ascii="仿宋_GB2312" w:eastAsia="仿宋_GB2312"/>
          <w:b/>
          <w:bCs/>
        </w:rPr>
        <w:t>3.7.4</w:t>
      </w:r>
      <w:r>
        <w:rPr>
          <w:rFonts w:ascii="仿宋_GB2312" w:eastAsia="仿宋_GB2312"/>
          <w:b/>
          <w:bCs/>
        </w:rPr>
        <w:t xml:space="preserve"> </w:t>
      </w:r>
      <w:r>
        <w:rPr>
          <w:rFonts w:hint="eastAsia" w:ascii="仿宋_GB2312" w:eastAsia="仿宋_GB2312"/>
          <w:b/>
          <w:bCs/>
        </w:rPr>
        <w:t>信息通报</w:t>
      </w:r>
    </w:p>
    <w:p>
      <w:pPr>
        <w:pStyle w:val="45"/>
        <w:ind w:firstLine="632" w:firstLineChars="200"/>
        <w:jc w:val="both"/>
        <w:rPr>
          <w:rFonts w:ascii="方正仿宋_GBK"/>
          <w:sz w:val="32"/>
          <w:szCs w:val="32"/>
        </w:rPr>
      </w:pPr>
      <w:r>
        <w:rPr>
          <w:rFonts w:hint="eastAsia" w:ascii="方正仿宋_GBK"/>
          <w:sz w:val="32"/>
          <w:szCs w:val="32"/>
        </w:rPr>
        <w:t>石油天然气长输管道事故发生后，区发展改革委应当及时通报同级有关部门。因生产安全事故、交通事故、自然灾害等因素可能引发石油天然气长输管道事故的，有关部门、有关单位应当及时向区发展改革委通报。</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25" w:name="_Toc119854392"/>
      <w:r>
        <w:rPr>
          <w:rFonts w:hint="eastAsia" w:ascii="方正黑体_GBK" w:hAnsi="Times New Roman" w:eastAsia="方正黑体_GBK"/>
          <w:b w:val="0"/>
          <w:bCs/>
          <w:sz w:val="32"/>
          <w:szCs w:val="32"/>
        </w:rPr>
        <w:t>4  应急响应</w:t>
      </w:r>
      <w:bookmarkEnd w:id="25"/>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6" w:name="_Toc119854393"/>
      <w:r>
        <w:rPr>
          <w:rFonts w:hint="eastAsia" w:ascii="方正楷体_GBK" w:hAnsi="方正楷体_GBK" w:eastAsia="方正楷体_GBK" w:cs="方正楷体_GBK"/>
          <w:b w:val="0"/>
          <w:bCs w:val="0"/>
        </w:rPr>
        <w:t>4.1  响应分级</w:t>
      </w:r>
      <w:bookmarkEnd w:id="26"/>
    </w:p>
    <w:p>
      <w:pPr>
        <w:pStyle w:val="45"/>
        <w:ind w:firstLine="632" w:firstLineChars="200"/>
        <w:jc w:val="both"/>
        <w:rPr>
          <w:rFonts w:ascii="方正仿宋_GBK"/>
          <w:sz w:val="32"/>
          <w:szCs w:val="32"/>
        </w:rPr>
      </w:pPr>
      <w:r>
        <w:rPr>
          <w:rFonts w:hint="eastAsia" w:ascii="方正仿宋_GBK"/>
          <w:sz w:val="32"/>
          <w:szCs w:val="32"/>
        </w:rPr>
        <w:t>按照事故的严重程度、影响范围和应急处置能力，油气长输管道突发事件应急响应等级分为Ⅰ级、Ⅱ级、Ⅲ级、Ⅳ级。发生特别重大、重大石油天然气长输管道事故，分别启动Ⅰ级、Ⅱ级应急响应，由区政府应急委报请市政府应急委牵头应对。发生较大、一般石油天然气长输管道事故，分别启动Ⅲ级、Ⅳ级应急响应，由区政府、事发地镇街（港城管委会）负责应对工作。</w:t>
      </w:r>
    </w:p>
    <w:p>
      <w:pPr>
        <w:pStyle w:val="45"/>
        <w:ind w:firstLine="632" w:firstLineChars="200"/>
        <w:jc w:val="both"/>
        <w:rPr>
          <w:rFonts w:ascii="方正仿宋_GBK"/>
          <w:sz w:val="32"/>
          <w:szCs w:val="32"/>
        </w:rPr>
      </w:pPr>
      <w:r>
        <w:rPr>
          <w:rFonts w:hint="eastAsia" w:ascii="方正仿宋_GBK"/>
          <w:sz w:val="32"/>
          <w:szCs w:val="32"/>
        </w:rPr>
        <w:t>应急响应启动后，应当根据事故造成的损失情况和发展态势适时调整响应级别，避免响应不足或响应过度。随着事态发展，需向市政府应急委请求支援时，由区政府应急委负责协调。</w:t>
      </w:r>
    </w:p>
    <w:p>
      <w:pPr>
        <w:pStyle w:val="45"/>
        <w:ind w:firstLine="632" w:firstLineChars="200"/>
        <w:jc w:val="both"/>
        <w:rPr>
          <w:rFonts w:ascii="方正仿宋_GBK"/>
          <w:sz w:val="32"/>
          <w:szCs w:val="32"/>
        </w:rPr>
      </w:pPr>
      <w:r>
        <w:rPr>
          <w:rFonts w:hint="eastAsia" w:ascii="方正仿宋_GBK"/>
          <w:sz w:val="32"/>
          <w:szCs w:val="32"/>
        </w:rPr>
        <w:t>石油天然气长输管道事故应急处置实行分级处置、分级响应、属地管理的原则，一般及较大事故由油气长输管道事发地镇街（港城管委会）、区政府负责指挥处置，必要时请示市级有关部门、有关单位给予指导、支持，事发地镇街（港城管委会）、事故发生单位和有关部门按照各自职责，分工负责，密切配合，迅速有效开展应急救援和善后工作。</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7" w:name="_Toc119854394"/>
      <w:r>
        <w:rPr>
          <w:rFonts w:hint="eastAsia" w:ascii="方正楷体_GBK" w:hAnsi="方正楷体_GBK" w:eastAsia="方正楷体_GBK" w:cs="方正楷体_GBK"/>
          <w:b w:val="0"/>
          <w:bCs w:val="0"/>
        </w:rPr>
        <w:t>4.</w:t>
      </w:r>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 xml:space="preserve"> </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响应程序</w:t>
      </w:r>
      <w:bookmarkEnd w:id="27"/>
    </w:p>
    <w:p>
      <w:pPr>
        <w:pStyle w:val="45"/>
        <w:ind w:firstLine="632" w:firstLineChars="200"/>
        <w:jc w:val="both"/>
        <w:rPr>
          <w:rFonts w:ascii="方正仿宋_GBK"/>
          <w:sz w:val="32"/>
          <w:szCs w:val="32"/>
        </w:rPr>
      </w:pPr>
      <w:r>
        <w:rPr>
          <w:rFonts w:hint="eastAsia" w:ascii="方正仿宋_GBK"/>
          <w:sz w:val="32"/>
          <w:szCs w:val="32"/>
        </w:rPr>
        <w:t>较大、一般油气长输管道事故发生后，区油气管道应急指挥部分别启动Ⅲ级、Ⅳ级响应，并根据需要设立现场指挥部，下设综合协调组、抢险救援组、治安警戒组、医疗救护组、疏散安置组、后勤保障组、新闻报道组、事故调查组、善后工作组，具体开展应急处置工作，负责领导、指挥和协调抢险救援工作。</w:t>
      </w:r>
    </w:p>
    <w:p>
      <w:pPr>
        <w:pStyle w:val="45"/>
        <w:ind w:firstLine="632" w:firstLineChars="200"/>
        <w:jc w:val="both"/>
        <w:rPr>
          <w:rFonts w:ascii="方正仿宋_GBK"/>
          <w:sz w:val="32"/>
          <w:szCs w:val="32"/>
        </w:rPr>
      </w:pPr>
      <w:r>
        <w:rPr>
          <w:rFonts w:hint="eastAsia" w:ascii="方正仿宋_GBK"/>
          <w:sz w:val="32"/>
          <w:szCs w:val="32"/>
        </w:rPr>
        <w:t>突发事件应急响应程序主要包括：</w:t>
      </w:r>
    </w:p>
    <w:p>
      <w:pPr>
        <w:pStyle w:val="45"/>
        <w:ind w:firstLine="632" w:firstLineChars="200"/>
        <w:jc w:val="both"/>
        <w:rPr>
          <w:rFonts w:ascii="方正仿宋_GBK"/>
          <w:sz w:val="32"/>
          <w:szCs w:val="32"/>
        </w:rPr>
      </w:pPr>
      <w:r>
        <w:rPr>
          <w:rFonts w:hint="eastAsia" w:ascii="方正仿宋_GBK"/>
          <w:sz w:val="32"/>
          <w:szCs w:val="32"/>
        </w:rPr>
        <w:t>（1）发生事故的管道企业要迅速切断油气来源，封锁事故现场和危险区域，迅速撤离、疏散现场人员，设置警示标志，同时设法保护相邻装置、设备，严禁一切火源，切断一切电源，防止静电火花，并尽快将易燃易爆物品搬离危险区域，防止事态扩大和引发次生事故。</w:t>
      </w:r>
    </w:p>
    <w:p>
      <w:pPr>
        <w:pStyle w:val="45"/>
        <w:ind w:firstLine="632" w:firstLineChars="200"/>
        <w:jc w:val="both"/>
        <w:rPr>
          <w:rFonts w:ascii="方正仿宋_GBK"/>
          <w:sz w:val="32"/>
          <w:szCs w:val="32"/>
        </w:rPr>
      </w:pPr>
      <w:r>
        <w:rPr>
          <w:rFonts w:hint="eastAsia" w:ascii="方正仿宋_GBK"/>
          <w:sz w:val="32"/>
          <w:szCs w:val="32"/>
        </w:rPr>
        <w:t>（2）事发地镇街（港城管委会）应迅速组织周围群众撤离危险区域，维护好社会治安，同时做好撤离人员的生活安置工作。及时制定和实施应急救援方案（灭火、堵漏等），并依照有关信息公开规定，及时公布事件信息，适时组织后续发布。</w:t>
      </w:r>
    </w:p>
    <w:p>
      <w:pPr>
        <w:pStyle w:val="45"/>
        <w:ind w:firstLine="632" w:firstLineChars="200"/>
        <w:jc w:val="both"/>
        <w:rPr>
          <w:rFonts w:ascii="方正仿宋_GBK"/>
          <w:sz w:val="32"/>
          <w:szCs w:val="32"/>
        </w:rPr>
      </w:pPr>
      <w:r>
        <w:rPr>
          <w:rFonts w:hint="eastAsia" w:ascii="方正仿宋_GBK"/>
          <w:sz w:val="32"/>
          <w:szCs w:val="32"/>
        </w:rPr>
        <w:t>（3）事发地公安部门应迅速赶赴事故现场，加强现场保护，确定警戒区域，树立警戒牌，安排警戒人员，警戒线内禁止无关人员进入，并根据风速、风向及气体浓度适时调整警戒区域，维护现场治安和交通秩序。</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设置警戒线和划定安全区域，对事故现场和周边地区进行可燃气体和有毒气体分析检测、大气环境监测和气象预报，必要时向周边居民发出警报。做好重要设施和目标的保护工作，防止对江河、湖泊、交通干线等造成重大影响。</w:t>
      </w:r>
    </w:p>
    <w:p>
      <w:pPr>
        <w:pStyle w:val="45"/>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5</w:t>
      </w:r>
      <w:r>
        <w:rPr>
          <w:rFonts w:hint="eastAsia" w:ascii="方正仿宋_GBK"/>
          <w:sz w:val="32"/>
          <w:szCs w:val="32"/>
        </w:rPr>
        <w:t>）做好现场救援人员人身安全防护，进入警戒范围内的救援人员必须佩戴各种防护器具，避免烧伤、中毒、噪音等伤害。医疗救护组应根据需要立即调集急救车辆和人员、医疗设备，转运伤员，做好医疗救护工作。</w:t>
      </w:r>
    </w:p>
    <w:p>
      <w:pPr>
        <w:pStyle w:val="45"/>
        <w:ind w:firstLine="632" w:firstLineChars="200"/>
        <w:jc w:val="both"/>
        <w:rPr>
          <w:rFonts w:ascii="方正仿宋_GBK"/>
          <w:sz w:val="32"/>
          <w:szCs w:val="32"/>
        </w:rPr>
      </w:pPr>
      <w:r>
        <w:rPr>
          <w:rFonts w:hint="eastAsia" w:ascii="方正仿宋_GBK"/>
          <w:sz w:val="32"/>
          <w:szCs w:val="32"/>
        </w:rPr>
        <w:t>（6）对需要疏散的周边居民，各工作组应按照职责分工迅速实施；因抢救人员、防止事故扩大，需要移动现场物件时，有关部门应采取标志、记录、拍照、摄像和绘制现场图等措施进行现场标识，妥善保护好现场。</w:t>
      </w:r>
    </w:p>
    <w:p>
      <w:pPr>
        <w:pStyle w:val="45"/>
        <w:ind w:firstLine="632" w:firstLineChars="200"/>
        <w:rPr>
          <w:rFonts w:ascii="方正仿宋_GBK"/>
          <w:sz w:val="32"/>
          <w:szCs w:val="32"/>
        </w:rPr>
      </w:pPr>
      <w:r>
        <w:rPr>
          <w:rFonts w:hint="eastAsia" w:ascii="方正仿宋_GBK"/>
          <w:sz w:val="32"/>
          <w:szCs w:val="32"/>
        </w:rPr>
        <w:t>（7）对管道泄漏点位或部位实施堵漏，泄漏口面积较小、管内压力较低的情况下，可以酌情实施堵漏。如果泄漏面积大，管内压力高的情况下，不能采用堵漏办法时，应采用疏导方法。</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8" w:name="_Toc119854395"/>
      <w:r>
        <w:rPr>
          <w:rFonts w:hint="eastAsia" w:ascii="方正楷体_GBK" w:hAnsi="方正楷体_GBK" w:eastAsia="方正楷体_GBK" w:cs="方正楷体_GBK"/>
          <w:b w:val="0"/>
          <w:bCs w:val="0"/>
        </w:rPr>
        <w:t>4.3  应急处置</w:t>
      </w:r>
      <w:bookmarkEnd w:id="28"/>
    </w:p>
    <w:p>
      <w:pPr>
        <w:keepNext/>
        <w:keepLines/>
        <w:ind w:firstLine="632" w:firstLineChars="200"/>
        <w:outlineLvl w:val="2"/>
        <w:rPr>
          <w:rFonts w:ascii="仿宋_GB2312" w:eastAsia="仿宋_GB2312"/>
          <w:b/>
          <w:bCs/>
        </w:rPr>
      </w:pPr>
      <w:r>
        <w:rPr>
          <w:rFonts w:hint="eastAsia" w:ascii="仿宋_GB2312" w:eastAsia="仿宋_GB2312"/>
          <w:b/>
          <w:bCs/>
        </w:rPr>
        <w:t>4.</w:t>
      </w:r>
      <w:r>
        <w:rPr>
          <w:rFonts w:ascii="仿宋_GB2312" w:eastAsia="仿宋_GB2312"/>
          <w:b/>
          <w:bCs/>
        </w:rPr>
        <w:t>3.1</w:t>
      </w:r>
      <w:r>
        <w:rPr>
          <w:rFonts w:hint="eastAsia" w:ascii="仿宋_GB2312" w:eastAsia="仿宋_GB2312"/>
          <w:b/>
          <w:bCs/>
        </w:rPr>
        <w:t xml:space="preserve"> 先期处置</w:t>
      </w:r>
    </w:p>
    <w:p>
      <w:pPr>
        <w:pStyle w:val="45"/>
        <w:ind w:firstLine="632" w:firstLineChars="200"/>
        <w:jc w:val="both"/>
        <w:rPr>
          <w:rFonts w:ascii="方正仿宋_GBK"/>
          <w:sz w:val="32"/>
          <w:szCs w:val="32"/>
        </w:rPr>
      </w:pPr>
      <w:r>
        <w:rPr>
          <w:rFonts w:hint="eastAsia" w:ascii="方正仿宋_GBK"/>
          <w:sz w:val="32"/>
          <w:szCs w:val="32"/>
        </w:rPr>
        <w:t>油气长输管道事故发生后，事故发生单位为先期处置的主要责任单位，单位主要负责人为抢险救援指挥的第一责任人，应立即组织开展抢险救援工作，同时电话报告事发地镇街（港城管委会）及区发展改革委和区应急管理局。</w:t>
      </w:r>
    </w:p>
    <w:p>
      <w:pPr>
        <w:pStyle w:val="45"/>
        <w:ind w:firstLine="632" w:firstLineChars="200"/>
        <w:jc w:val="both"/>
        <w:rPr>
          <w:rFonts w:ascii="方正仿宋_GBK"/>
          <w:sz w:val="32"/>
          <w:szCs w:val="32"/>
        </w:rPr>
      </w:pPr>
      <w:r>
        <w:rPr>
          <w:rFonts w:hint="eastAsia" w:ascii="方正仿宋_GBK"/>
          <w:sz w:val="32"/>
          <w:szCs w:val="32"/>
        </w:rPr>
        <w:t>油气长输管道事故发生地及途经镇街（港城管委会）、区政府有关部门、有关单位接到油气长输管道事故报告后，应立即启动本级预案，严格按照“以人为本，抢险先救人”的原则，立即指挥、协调有关部门和单位开展先期处置，紧急疏散周边人员，对事故现场进行警戒，采取有效处置措施，全力救治伤员，控制事态发展，防止次生、衍生事故的发生，并及时向区政府应急委报告。</w:t>
      </w:r>
    </w:p>
    <w:p>
      <w:pPr>
        <w:keepNext/>
        <w:keepLines/>
        <w:ind w:firstLine="632" w:firstLineChars="200"/>
        <w:outlineLvl w:val="2"/>
        <w:rPr>
          <w:rFonts w:ascii="仿宋_GB2312" w:eastAsia="仿宋_GB2312"/>
          <w:b/>
          <w:bCs/>
        </w:rPr>
      </w:pPr>
      <w:r>
        <w:rPr>
          <w:rFonts w:hint="eastAsia" w:ascii="仿宋_GB2312" w:eastAsia="仿宋_GB2312"/>
          <w:b/>
          <w:bCs/>
        </w:rPr>
        <w:t>4.</w:t>
      </w:r>
      <w:r>
        <w:rPr>
          <w:rFonts w:ascii="仿宋_GB2312" w:eastAsia="仿宋_GB2312"/>
          <w:b/>
          <w:bCs/>
        </w:rPr>
        <w:t>3.</w:t>
      </w:r>
      <w:r>
        <w:rPr>
          <w:rFonts w:hint="eastAsia" w:ascii="仿宋_GB2312" w:eastAsia="仿宋_GB2312"/>
          <w:b/>
          <w:bCs/>
        </w:rPr>
        <w:t>2 分级处置</w:t>
      </w:r>
    </w:p>
    <w:p>
      <w:pPr>
        <w:pStyle w:val="45"/>
        <w:ind w:firstLine="632" w:firstLineChars="200"/>
        <w:rPr>
          <w:rFonts w:ascii="方正仿宋_GBK"/>
          <w:sz w:val="32"/>
          <w:szCs w:val="32"/>
        </w:rPr>
      </w:pPr>
      <w:r>
        <w:rPr>
          <w:rFonts w:hint="eastAsia" w:ascii="方正仿宋_GBK"/>
          <w:sz w:val="32"/>
          <w:szCs w:val="32"/>
        </w:rPr>
        <w:t>（1）一般突发事件（Ⅳ级）：由区油气管道应急办提出建议，报区油气管道应急指挥部指挥长批准启动应急响应，副指挥长赶赴现场进行指挥协调处置，主要内容包括：与事发油气管道运营企业核实突发事件准确信息以及现场抢险救援相关情况；组织专家赶赴现场并对事态进行研判，严防次生灾害，及时将信息报告区油气管道应急指挥部；组织开展现场侦察、人员搜救、管道抢修、周边警戒、人员疏散、信息发布等工作；当突发事件发展到区本级难以控制和处置前，提请启动相应的上一级应急预案。</w:t>
      </w:r>
    </w:p>
    <w:p>
      <w:pPr>
        <w:pStyle w:val="45"/>
        <w:ind w:firstLine="632" w:firstLineChars="200"/>
        <w:rPr>
          <w:rFonts w:ascii="方正仿宋_GBK"/>
          <w:sz w:val="32"/>
          <w:szCs w:val="32"/>
        </w:rPr>
      </w:pPr>
      <w:r>
        <w:rPr>
          <w:rFonts w:hint="eastAsia" w:ascii="方正仿宋_GBK"/>
          <w:sz w:val="32"/>
          <w:szCs w:val="32"/>
        </w:rPr>
        <w:t>（2）较大突发事件（Ⅲ级）：在一般油气管道突发事件处置的基础上，区油气管道应急指挥部根据突发事件发展态势，迅速组织可能受到突发事件危害的单位和居民疏散；因油气管道突发事件造成人员伤害的，先搜寻、抢救、转运受伤人员；迅速开展现场清理、物件转移和环境监测等。</w:t>
      </w:r>
    </w:p>
    <w:p>
      <w:pPr>
        <w:pStyle w:val="45"/>
        <w:ind w:firstLine="632" w:firstLineChars="200"/>
        <w:jc w:val="both"/>
        <w:rPr>
          <w:rFonts w:ascii="方正仿宋_GBK"/>
          <w:sz w:val="32"/>
          <w:szCs w:val="32"/>
        </w:rPr>
      </w:pPr>
      <w:r>
        <w:rPr>
          <w:rFonts w:hint="eastAsia" w:ascii="方正仿宋_GBK"/>
          <w:sz w:val="32"/>
          <w:szCs w:val="32"/>
        </w:rPr>
        <w:t>（3）重大、特别重大突发事件（Ⅱ级、Ⅰ级）：在国务院或市油气管道应急指挥部领导下开展相关处置工作。</w:t>
      </w:r>
    </w:p>
    <w:p>
      <w:pPr>
        <w:keepNext/>
        <w:keepLines/>
        <w:ind w:firstLine="632" w:firstLineChars="200"/>
        <w:outlineLvl w:val="2"/>
        <w:rPr>
          <w:rFonts w:ascii="仿宋_GB2312" w:eastAsia="仿宋_GB2312"/>
          <w:b/>
          <w:bCs/>
        </w:rPr>
      </w:pPr>
      <w:r>
        <w:rPr>
          <w:rFonts w:hint="eastAsia" w:ascii="仿宋_GB2312" w:eastAsia="仿宋_GB2312"/>
          <w:b/>
          <w:bCs/>
        </w:rPr>
        <w:t>4.3.3 处置措施</w:t>
      </w:r>
    </w:p>
    <w:p>
      <w:pPr>
        <w:pStyle w:val="45"/>
        <w:ind w:firstLine="632" w:firstLineChars="200"/>
        <w:jc w:val="both"/>
        <w:rPr>
          <w:rFonts w:ascii="方正仿宋_GBK"/>
          <w:sz w:val="32"/>
          <w:szCs w:val="32"/>
        </w:rPr>
      </w:pPr>
      <w:r>
        <w:rPr>
          <w:rFonts w:hint="eastAsia" w:ascii="方正仿宋_GBK"/>
          <w:sz w:val="32"/>
          <w:szCs w:val="32"/>
        </w:rPr>
        <w:t>事发地镇街（港城管委会）、区政府有关部门和单位根据工作需要和事故诱因及发展态势，可采取以下处置措施：</w:t>
      </w:r>
    </w:p>
    <w:p>
      <w:pPr>
        <w:pStyle w:val="45"/>
        <w:ind w:firstLine="632" w:firstLineChars="200"/>
        <w:jc w:val="both"/>
        <w:rPr>
          <w:rFonts w:ascii="方正仿宋_GBK"/>
          <w:sz w:val="32"/>
          <w:szCs w:val="32"/>
        </w:rPr>
      </w:pPr>
      <w:r>
        <w:rPr>
          <w:rFonts w:hint="eastAsia" w:ascii="方正仿宋_GBK"/>
          <w:sz w:val="32"/>
          <w:szCs w:val="32"/>
        </w:rPr>
        <w:t>（1）人员搜救。搜救被困人员，转运安置获救人员和伤员，同时避免造成次生伤害。</w:t>
      </w:r>
    </w:p>
    <w:p>
      <w:pPr>
        <w:pStyle w:val="45"/>
        <w:ind w:firstLine="632" w:firstLineChars="200"/>
        <w:jc w:val="both"/>
        <w:rPr>
          <w:rFonts w:ascii="方正仿宋_GBK"/>
          <w:sz w:val="32"/>
          <w:szCs w:val="32"/>
        </w:rPr>
      </w:pPr>
      <w:r>
        <w:rPr>
          <w:rFonts w:hint="eastAsia" w:ascii="方正仿宋_GBK"/>
          <w:sz w:val="32"/>
          <w:szCs w:val="32"/>
        </w:rPr>
        <w:t>（2）隔离疏散。根据油气长输管道事故发生地的地理环境和人员密集程度等情况，设立现场警戒区、交通管制区和重点防护区；确定受威胁人员疏散方式和途径，有组织、有秩序地及时疏散转移受威胁人员和可能受影响地区的居民，并妥善做好转移人员的安置工作。</w:t>
      </w:r>
    </w:p>
    <w:p>
      <w:pPr>
        <w:pStyle w:val="45"/>
        <w:ind w:firstLine="632" w:firstLineChars="200"/>
        <w:jc w:val="both"/>
        <w:rPr>
          <w:rFonts w:ascii="方正仿宋_GBK"/>
          <w:sz w:val="32"/>
          <w:szCs w:val="32"/>
        </w:rPr>
      </w:pPr>
      <w:r>
        <w:rPr>
          <w:rFonts w:hint="eastAsia" w:ascii="方正仿宋_GBK"/>
          <w:sz w:val="32"/>
          <w:szCs w:val="32"/>
        </w:rPr>
        <w:t>（3）医疗救援。迅速调集医疗力量赶赴现场，实施诊断治疗；及时转运重症伤员，掌握救治进展情况；视情增派医疗专家、调配急需药物；做好伤员心理抚慰。</w:t>
      </w:r>
    </w:p>
    <w:p>
      <w:pPr>
        <w:pStyle w:val="45"/>
        <w:ind w:firstLine="632" w:firstLineChars="200"/>
        <w:jc w:val="both"/>
        <w:rPr>
          <w:rFonts w:ascii="方正仿宋_GBK"/>
          <w:sz w:val="32"/>
          <w:szCs w:val="32"/>
        </w:rPr>
      </w:pPr>
      <w:r>
        <w:rPr>
          <w:rFonts w:hint="eastAsia" w:ascii="方正仿宋_GBK"/>
          <w:sz w:val="32"/>
          <w:szCs w:val="32"/>
        </w:rPr>
        <w:t>（4）控制危险源，处置危险物。通过关闭事发段管道前后阀门、停止作业等方法切断油气输送管道进行危险源控制，防止事故扩大。</w:t>
      </w:r>
    </w:p>
    <w:p>
      <w:pPr>
        <w:pStyle w:val="45"/>
        <w:ind w:firstLine="632" w:firstLineChars="200"/>
        <w:jc w:val="both"/>
        <w:rPr>
          <w:rFonts w:ascii="方正仿宋_GBK"/>
          <w:sz w:val="32"/>
          <w:szCs w:val="32"/>
        </w:rPr>
      </w:pPr>
      <w:r>
        <w:rPr>
          <w:rFonts w:hint="eastAsia" w:ascii="方正仿宋_GBK"/>
          <w:sz w:val="32"/>
          <w:szCs w:val="32"/>
        </w:rPr>
        <w:t>（5）舆论引导。借助电视、广播、报纸、网络等途径，运用微博、微信、移动客户端等新媒体平台，通过发布新闻通稿、举行新闻发布会等形式，主动、及时、准确向社会发布事故信息和应对情况，回应社会关切，澄清不实信息，正确引导社会舆论。</w:t>
      </w:r>
    </w:p>
    <w:p>
      <w:pPr>
        <w:pStyle w:val="45"/>
        <w:ind w:firstLine="632" w:firstLineChars="200"/>
        <w:jc w:val="both"/>
        <w:rPr>
          <w:rFonts w:ascii="方正仿宋_GBK"/>
          <w:sz w:val="32"/>
          <w:szCs w:val="32"/>
        </w:rPr>
      </w:pPr>
      <w:r>
        <w:rPr>
          <w:rFonts w:hint="eastAsia" w:ascii="方正仿宋_GBK"/>
          <w:sz w:val="32"/>
          <w:szCs w:val="32"/>
        </w:rPr>
        <w:t>（6）维护稳定。做好事发现场及周边区域的保护和警戒，维持治安秩序。严厉打击借机传播谣言制造社会恐慌等违法犯罪行为，做好矛盾纠纷化解和受影响人员及家属的情绪安抚、法律服务等工作，防止出现群体性事件，维护社会稳定。</w:t>
      </w:r>
    </w:p>
    <w:p>
      <w:pPr>
        <w:pStyle w:val="45"/>
        <w:ind w:firstLine="632" w:firstLineChars="200"/>
        <w:jc w:val="both"/>
        <w:rPr>
          <w:rFonts w:ascii="方正仿宋_GBK"/>
          <w:sz w:val="32"/>
          <w:szCs w:val="32"/>
        </w:rPr>
      </w:pPr>
      <w:r>
        <w:rPr>
          <w:rFonts w:hint="eastAsia" w:ascii="方正仿宋_GBK"/>
          <w:sz w:val="32"/>
          <w:szCs w:val="32"/>
        </w:rPr>
        <w:t>（7）保障居民基本生活。供水、供电等部门应当采取措施，确保居民用水、用电需求；物资供应部门要迅速组织应急物资和生活必需品的生产、调配和运输，保障受影响居民的基本生活。</w:t>
      </w:r>
    </w:p>
    <w:p>
      <w:pPr>
        <w:pStyle w:val="45"/>
        <w:ind w:firstLine="632" w:firstLineChars="200"/>
        <w:jc w:val="both"/>
        <w:rPr>
          <w:rFonts w:ascii="方正仿宋_GBK"/>
          <w:sz w:val="32"/>
          <w:szCs w:val="32"/>
        </w:rPr>
      </w:pPr>
      <w:r>
        <w:rPr>
          <w:rFonts w:hint="eastAsia" w:ascii="方正仿宋_GBK"/>
          <w:sz w:val="32"/>
          <w:szCs w:val="32"/>
        </w:rPr>
        <w:t>（8）采取必要措施防止发生次生、衍生安全或环保事件。</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9" w:name="_Toc119854396"/>
      <w:r>
        <w:rPr>
          <w:rFonts w:hint="eastAsia" w:ascii="方正楷体_GBK" w:hAnsi="方正楷体_GBK" w:eastAsia="方正楷体_GBK" w:cs="方正楷体_GBK"/>
          <w:b w:val="0"/>
          <w:bCs w:val="0"/>
        </w:rPr>
        <w:t>4.</w:t>
      </w:r>
      <w:r>
        <w:rPr>
          <w:rFonts w:ascii="方正楷体_GBK" w:hAnsi="方正楷体_GBK" w:eastAsia="方正楷体_GBK" w:cs="方正楷体_GBK"/>
          <w:b w:val="0"/>
          <w:bCs w:val="0"/>
        </w:rPr>
        <w:t xml:space="preserve">4 </w:t>
      </w:r>
      <w:r>
        <w:rPr>
          <w:rFonts w:hint="eastAsia" w:ascii="方正楷体_GBK" w:hAnsi="方正楷体_GBK" w:eastAsia="方正楷体_GBK" w:cs="方正楷体_GBK"/>
          <w:b w:val="0"/>
          <w:bCs w:val="0"/>
        </w:rPr>
        <w:t xml:space="preserve"> 扩大应急</w:t>
      </w:r>
      <w:bookmarkEnd w:id="29"/>
    </w:p>
    <w:p>
      <w:pPr>
        <w:pStyle w:val="45"/>
        <w:ind w:firstLine="632" w:firstLineChars="200"/>
        <w:jc w:val="both"/>
        <w:rPr>
          <w:rFonts w:ascii="方正仿宋_GBK"/>
          <w:sz w:val="32"/>
          <w:szCs w:val="32"/>
        </w:rPr>
      </w:pPr>
      <w:r>
        <w:rPr>
          <w:rFonts w:hint="eastAsia" w:ascii="方正仿宋_GBK"/>
          <w:sz w:val="32"/>
          <w:szCs w:val="32"/>
        </w:rPr>
        <w:t>区政府实施相应处置措施后仍未能有效控制事态发展的事故，区政府应急委应立即对事故性质、类别、危害程度、影响范围、防护措施、发展趋势等进行评估并上报市政府应急办，请求市政府应急支援，决定是否启动市级层面的应急预案，接受市油气管道应急指挥部的统一指挥。</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0" w:name="_Toc119854397"/>
      <w:r>
        <w:rPr>
          <w:rFonts w:hint="eastAsia" w:ascii="方正楷体_GBK" w:hAnsi="方正楷体_GBK" w:eastAsia="方正楷体_GBK" w:cs="方正楷体_GBK"/>
          <w:b w:val="0"/>
          <w:bCs w:val="0"/>
        </w:rPr>
        <w:t>4.</w:t>
      </w:r>
      <w:r>
        <w:rPr>
          <w:rFonts w:ascii="方正楷体_GBK" w:hAnsi="方正楷体_GBK" w:eastAsia="方正楷体_GBK" w:cs="方正楷体_GBK"/>
          <w:b w:val="0"/>
          <w:bCs w:val="0"/>
        </w:rPr>
        <w:t>5</w:t>
      </w:r>
      <w:r>
        <w:rPr>
          <w:rFonts w:hint="eastAsia" w:ascii="方正楷体_GBK" w:hAnsi="方正楷体_GBK" w:eastAsia="方正楷体_GBK" w:cs="方正楷体_GBK"/>
          <w:b w:val="0"/>
          <w:bCs w:val="0"/>
        </w:rPr>
        <w:t xml:space="preserve">  响应终止</w:t>
      </w:r>
      <w:bookmarkEnd w:id="30"/>
    </w:p>
    <w:p>
      <w:pPr>
        <w:pStyle w:val="45"/>
        <w:ind w:firstLine="632" w:firstLineChars="200"/>
        <w:jc w:val="both"/>
        <w:rPr>
          <w:rFonts w:ascii="方正仿宋_GBK"/>
          <w:sz w:val="32"/>
          <w:szCs w:val="32"/>
        </w:rPr>
      </w:pPr>
      <w:r>
        <w:rPr>
          <w:rFonts w:hint="eastAsia" w:ascii="方正仿宋_GBK"/>
          <w:sz w:val="32"/>
          <w:szCs w:val="32"/>
        </w:rPr>
        <w:t>应急结束是指油气长输管道突发事件应急处置工作已基本完成，次生、衍生和突发事件危害基本消除，事态得到全面控制，应急救援工作即告结束。应急救援工作结束后，特别重大突发事件、重大突发事件由国务院、市油气管道应急指挥部作出终止响应决定；较大突发事件、一般突发事件由区油气管道应急指挥部或授权现场应急处置指挥部宣布响应终止。</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31" w:name="_Toc119854398"/>
      <w:r>
        <w:rPr>
          <w:rFonts w:hint="eastAsia" w:ascii="方正黑体_GBK" w:hAnsi="Times New Roman" w:eastAsia="方正黑体_GBK"/>
          <w:b w:val="0"/>
          <w:bCs/>
          <w:sz w:val="32"/>
          <w:szCs w:val="32"/>
        </w:rPr>
        <w:t>5  后期处置</w:t>
      </w:r>
      <w:bookmarkEnd w:id="31"/>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2" w:name="_Toc119854399"/>
      <w:r>
        <w:rPr>
          <w:rFonts w:hint="eastAsia" w:ascii="方正楷体_GBK" w:hAnsi="方正楷体_GBK" w:eastAsia="方正楷体_GBK" w:cs="方正楷体_GBK"/>
          <w:b w:val="0"/>
          <w:bCs w:val="0"/>
        </w:rPr>
        <w:t>5.1  现场恢复</w:t>
      </w:r>
      <w:bookmarkEnd w:id="32"/>
    </w:p>
    <w:p>
      <w:pPr>
        <w:pStyle w:val="45"/>
        <w:ind w:firstLine="632" w:firstLineChars="200"/>
        <w:jc w:val="both"/>
        <w:rPr>
          <w:rFonts w:ascii="方正仿宋_GBK"/>
          <w:sz w:val="32"/>
          <w:szCs w:val="32"/>
        </w:rPr>
      </w:pPr>
      <w:r>
        <w:rPr>
          <w:rFonts w:hint="eastAsia" w:ascii="方正仿宋_GBK"/>
          <w:sz w:val="32"/>
          <w:szCs w:val="32"/>
        </w:rPr>
        <w:t>（1）现场恢复前应配合相关单位进行必要的调查取证工作。</w:t>
      </w:r>
    </w:p>
    <w:p>
      <w:pPr>
        <w:pStyle w:val="45"/>
        <w:ind w:firstLine="632" w:firstLineChars="200"/>
        <w:jc w:val="both"/>
        <w:rPr>
          <w:rFonts w:ascii="方正仿宋_GBK"/>
          <w:sz w:val="32"/>
          <w:szCs w:val="32"/>
        </w:rPr>
      </w:pPr>
      <w:r>
        <w:rPr>
          <w:rFonts w:hint="eastAsia" w:ascii="方正仿宋_GBK"/>
          <w:sz w:val="32"/>
          <w:szCs w:val="32"/>
        </w:rPr>
        <w:t>（2）督促事故责任单位进行现场清理、洗消处理等，清理过程中要制定并落实相关的安全措施。</w:t>
      </w:r>
    </w:p>
    <w:p>
      <w:pPr>
        <w:pStyle w:val="45"/>
        <w:ind w:firstLine="632" w:firstLineChars="200"/>
        <w:jc w:val="both"/>
        <w:rPr>
          <w:rFonts w:ascii="方正仿宋_GBK"/>
          <w:sz w:val="32"/>
          <w:szCs w:val="32"/>
        </w:rPr>
      </w:pPr>
      <w:r>
        <w:rPr>
          <w:rFonts w:hint="eastAsia" w:ascii="方正仿宋_GBK"/>
          <w:sz w:val="32"/>
          <w:szCs w:val="32"/>
        </w:rPr>
        <w:t>（3）督促事故责任单位协调有关单位处置污染物，最大限度地控制环境污染。</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3" w:name="_Toc119854400"/>
      <w:r>
        <w:rPr>
          <w:rFonts w:hint="eastAsia" w:ascii="方正楷体_GBK" w:hAnsi="方正楷体_GBK" w:eastAsia="方正楷体_GBK" w:cs="方正楷体_GBK"/>
          <w:b w:val="0"/>
          <w:bCs w:val="0"/>
        </w:rPr>
        <w:t>5.</w:t>
      </w:r>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 xml:space="preserve">  善后处理</w:t>
      </w:r>
      <w:bookmarkEnd w:id="33"/>
    </w:p>
    <w:p>
      <w:pPr>
        <w:pStyle w:val="45"/>
        <w:ind w:firstLine="632" w:firstLineChars="200"/>
        <w:jc w:val="both"/>
        <w:rPr>
          <w:rFonts w:ascii="方正仿宋_GBK"/>
          <w:sz w:val="32"/>
          <w:szCs w:val="32"/>
        </w:rPr>
      </w:pPr>
      <w:r>
        <w:rPr>
          <w:rFonts w:hint="eastAsia" w:ascii="方正仿宋_GBK"/>
          <w:sz w:val="32"/>
          <w:szCs w:val="32"/>
        </w:rPr>
        <w:t>由事发地镇街（港城管委会）牵头，事故责任单位按照有关政策的规定，对事故伤亡人员给予赔付救治，并承担事故调查和处置的全部费用。对在救援工作中受伤、致残、牺牲的人员，按照国家有关规定，给予相应的补助和抚恤；在抢险过程中紧急调用的物资、设备和占用的场地，由征用部门提出补偿明细，按照国家规定给予补偿。</w:t>
      </w:r>
    </w:p>
    <w:p>
      <w:pPr>
        <w:keepNext/>
        <w:keepLines/>
        <w:ind w:firstLine="632" w:firstLineChars="200"/>
        <w:outlineLvl w:val="2"/>
        <w:rPr>
          <w:rFonts w:ascii="仿宋_GB2312" w:eastAsia="仿宋_GB2312"/>
          <w:b/>
          <w:bCs/>
        </w:rPr>
      </w:pPr>
      <w:r>
        <w:rPr>
          <w:rFonts w:hint="eastAsia" w:ascii="仿宋_GB2312" w:eastAsia="仿宋_GB2312"/>
          <w:b/>
          <w:bCs/>
        </w:rPr>
        <w:t>5.</w:t>
      </w:r>
      <w:r>
        <w:rPr>
          <w:rFonts w:ascii="仿宋_GB2312" w:eastAsia="仿宋_GB2312"/>
          <w:b/>
          <w:bCs/>
        </w:rPr>
        <w:t>2.1</w:t>
      </w:r>
      <w:r>
        <w:rPr>
          <w:rFonts w:hint="eastAsia" w:ascii="仿宋_GB2312" w:eastAsia="仿宋_GB2312"/>
          <w:b/>
          <w:bCs/>
        </w:rPr>
        <w:t xml:space="preserve"> 社会救助</w:t>
      </w:r>
    </w:p>
    <w:p>
      <w:pPr>
        <w:pStyle w:val="45"/>
        <w:ind w:firstLine="632" w:firstLineChars="200"/>
        <w:jc w:val="both"/>
        <w:rPr>
          <w:rFonts w:ascii="方正仿宋_GBK"/>
          <w:sz w:val="32"/>
          <w:szCs w:val="32"/>
        </w:rPr>
      </w:pPr>
      <w:r>
        <w:rPr>
          <w:rFonts w:hint="eastAsia" w:ascii="方正仿宋_GBK"/>
          <w:sz w:val="32"/>
          <w:szCs w:val="32"/>
        </w:rPr>
        <w:t>油气长输管道突发事件发生后，社会、个人和外国机构向受事故影响人员捐赠的资金和物资，统一由区政府接受捐赠办公室和区红十字会接收，并按规定加强管理和监督。</w:t>
      </w:r>
    </w:p>
    <w:p>
      <w:pPr>
        <w:keepNext/>
        <w:keepLines/>
        <w:ind w:firstLine="632" w:firstLineChars="200"/>
        <w:outlineLvl w:val="2"/>
        <w:rPr>
          <w:rFonts w:ascii="仿宋_GB2312" w:eastAsia="仿宋_GB2312"/>
          <w:b/>
          <w:bCs/>
        </w:rPr>
      </w:pPr>
      <w:r>
        <w:rPr>
          <w:rFonts w:hint="eastAsia" w:ascii="仿宋_GB2312" w:eastAsia="仿宋_GB2312"/>
          <w:b/>
          <w:bCs/>
        </w:rPr>
        <w:t>5.</w:t>
      </w:r>
      <w:r>
        <w:rPr>
          <w:rFonts w:ascii="仿宋_GB2312" w:eastAsia="仿宋_GB2312"/>
          <w:b/>
          <w:bCs/>
        </w:rPr>
        <w:t>2.2</w:t>
      </w:r>
      <w:r>
        <w:rPr>
          <w:rFonts w:hint="eastAsia" w:ascii="仿宋_GB2312" w:eastAsia="仿宋_GB2312"/>
          <w:b/>
          <w:bCs/>
        </w:rPr>
        <w:t xml:space="preserve"> 保险理赔</w:t>
      </w:r>
    </w:p>
    <w:p>
      <w:pPr>
        <w:pStyle w:val="45"/>
        <w:ind w:firstLine="632" w:firstLineChars="200"/>
        <w:jc w:val="both"/>
        <w:rPr>
          <w:rFonts w:ascii="方正仿宋_GBK"/>
          <w:sz w:val="32"/>
          <w:szCs w:val="32"/>
        </w:rPr>
      </w:pPr>
      <w:r>
        <w:rPr>
          <w:rFonts w:hint="eastAsia" w:ascii="方正仿宋_GBK"/>
          <w:sz w:val="32"/>
          <w:szCs w:val="32"/>
        </w:rPr>
        <w:t>油气管道事故发生后，区油气管道应急指挥部及时协调有关保险公司提前介入，及时做好保险理赔工作。</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4" w:name="_Toc119854401"/>
      <w:r>
        <w:rPr>
          <w:rFonts w:hint="eastAsia" w:ascii="方正楷体_GBK" w:hAnsi="方正楷体_GBK" w:eastAsia="方正楷体_GBK" w:cs="方正楷体_GBK"/>
          <w:b w:val="0"/>
          <w:bCs w:val="0"/>
        </w:rPr>
        <w:t>5.</w:t>
      </w:r>
      <w:r>
        <w:rPr>
          <w:rFonts w:ascii="方正楷体_GBK" w:hAnsi="方正楷体_GBK" w:eastAsia="方正楷体_GBK" w:cs="方正楷体_GBK"/>
          <w:b w:val="0"/>
          <w:bCs w:val="0"/>
        </w:rPr>
        <w:t>3</w:t>
      </w:r>
      <w:r>
        <w:rPr>
          <w:rFonts w:hint="eastAsia" w:ascii="方正楷体_GBK" w:hAnsi="方正楷体_GBK" w:eastAsia="方正楷体_GBK" w:cs="方正楷体_GBK"/>
          <w:b w:val="0"/>
          <w:bCs w:val="0"/>
        </w:rPr>
        <w:t xml:space="preserve">  事故调查</w:t>
      </w:r>
      <w:bookmarkEnd w:id="34"/>
    </w:p>
    <w:p>
      <w:pPr>
        <w:pStyle w:val="45"/>
        <w:ind w:firstLine="632" w:firstLineChars="200"/>
        <w:jc w:val="both"/>
        <w:rPr>
          <w:rFonts w:ascii="方正仿宋_GBK"/>
          <w:sz w:val="32"/>
          <w:szCs w:val="32"/>
        </w:rPr>
      </w:pPr>
      <w:r>
        <w:rPr>
          <w:rFonts w:hint="eastAsia" w:ascii="方正仿宋_GBK"/>
          <w:sz w:val="32"/>
          <w:szCs w:val="32"/>
        </w:rPr>
        <w:t>按照《生产安全事故报告和调查处理条例》组建事故调查组，对事故展开全面调查；查清事故发生的原因、经过，认定事故的性质和责任，提出对事故单位（责任人）的处理意见和防范措施。重大和特别重大事故报请市人民政府或国务院组织调查组进行调查；较大事故、一般事故由区政府负责组织调查，也可授权或者委托有关部门组织进行调查，特种设备较大事故由区市场监管局牵头组织调查，必要时区政府直接组成调查组或者授权区有关部门（单位）组成调查组。</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5" w:name="_Toc119854402"/>
      <w:r>
        <w:rPr>
          <w:rFonts w:hint="eastAsia" w:ascii="方正楷体_GBK" w:hAnsi="方正楷体_GBK" w:eastAsia="方正楷体_GBK" w:cs="方正楷体_GBK"/>
          <w:b w:val="0"/>
          <w:bCs w:val="0"/>
        </w:rPr>
        <w:t>5.</w:t>
      </w:r>
      <w:r>
        <w:rPr>
          <w:rFonts w:ascii="方正楷体_GBK" w:hAnsi="方正楷体_GBK" w:eastAsia="方正楷体_GBK" w:cs="方正楷体_GBK"/>
          <w:b w:val="0"/>
          <w:bCs w:val="0"/>
        </w:rPr>
        <w:t>4</w:t>
      </w:r>
      <w:r>
        <w:rPr>
          <w:rFonts w:hint="eastAsia" w:ascii="方正楷体_GBK" w:hAnsi="方正楷体_GBK" w:eastAsia="方正楷体_GBK" w:cs="方正楷体_GBK"/>
          <w:b w:val="0"/>
          <w:bCs w:val="0"/>
        </w:rPr>
        <w:t xml:space="preserve">  总结评估</w:t>
      </w:r>
      <w:bookmarkEnd w:id="35"/>
    </w:p>
    <w:p>
      <w:pPr>
        <w:pStyle w:val="45"/>
        <w:ind w:firstLine="632" w:firstLineChars="200"/>
        <w:jc w:val="both"/>
        <w:rPr>
          <w:rFonts w:ascii="方正仿宋_GBK"/>
          <w:sz w:val="32"/>
          <w:szCs w:val="32"/>
        </w:rPr>
      </w:pPr>
      <w:r>
        <w:rPr>
          <w:rFonts w:hint="eastAsia" w:ascii="方正仿宋_GBK"/>
          <w:sz w:val="32"/>
          <w:szCs w:val="32"/>
        </w:rPr>
        <w:t>（1）应急指挥部办公室负责收集、整理应急救援工作的记录、方案、文件等资料。</w:t>
      </w:r>
    </w:p>
    <w:p>
      <w:pPr>
        <w:pStyle w:val="45"/>
        <w:ind w:firstLine="632" w:firstLineChars="200"/>
        <w:jc w:val="both"/>
        <w:rPr>
          <w:rFonts w:ascii="方正仿宋_GBK"/>
          <w:sz w:val="32"/>
          <w:szCs w:val="32"/>
        </w:rPr>
      </w:pPr>
      <w:r>
        <w:rPr>
          <w:rFonts w:hint="eastAsia" w:ascii="方正仿宋_GBK"/>
          <w:sz w:val="32"/>
          <w:szCs w:val="32"/>
        </w:rPr>
        <w:t>（2）一般事故总结评估工作，由应急指挥部组织或协调相关参加应急救援的部门和专家对应急救援过程中的启动、决策、指挥和后勤保障等救援情况进行评估总结，分析总结应急救援经验教训，提出改进的意见和建议，并在善后处置工作结束后60天内，以书面形式报区政府及有关部门。</w:t>
      </w:r>
    </w:p>
    <w:p>
      <w:pPr>
        <w:pStyle w:val="45"/>
        <w:ind w:firstLine="632" w:firstLineChars="200"/>
        <w:jc w:val="both"/>
        <w:rPr>
          <w:rFonts w:ascii="方正仿宋_GBK"/>
          <w:sz w:val="32"/>
          <w:szCs w:val="32"/>
        </w:rPr>
      </w:pPr>
      <w:r>
        <w:rPr>
          <w:rFonts w:hint="eastAsia" w:ascii="方正仿宋_GBK"/>
          <w:sz w:val="32"/>
          <w:szCs w:val="32"/>
        </w:rPr>
        <w:t>（3）较大及以上级别事故的总结评估工作，由区政府或上级政府部门组织开展，事故责任单位及相关部门做好配合工作。</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lang w:val="en-US"/>
        </w:rPr>
      </w:pPr>
      <w:bookmarkStart w:id="36" w:name="_Toc119854403"/>
      <w:r>
        <w:rPr>
          <w:rFonts w:hint="eastAsia" w:ascii="方正黑体_GBK" w:hAnsi="Times New Roman" w:eastAsia="方正黑体_GBK"/>
          <w:b w:val="0"/>
          <w:bCs/>
          <w:sz w:val="32"/>
          <w:szCs w:val="32"/>
          <w:lang w:val="en-US"/>
        </w:rPr>
        <w:t xml:space="preserve">6  </w:t>
      </w:r>
      <w:r>
        <w:rPr>
          <w:rFonts w:hint="eastAsia" w:ascii="方正黑体_GBK" w:hAnsi="Times New Roman" w:eastAsia="方正黑体_GBK"/>
          <w:b w:val="0"/>
          <w:bCs/>
          <w:sz w:val="32"/>
          <w:szCs w:val="32"/>
        </w:rPr>
        <w:t>保障措施</w:t>
      </w:r>
      <w:bookmarkEnd w:id="36"/>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7" w:name="_Toc119854404"/>
      <w:r>
        <w:rPr>
          <w:rFonts w:hint="eastAsia" w:ascii="方正楷体_GBK" w:hAnsi="方正楷体_GBK" w:eastAsia="方正楷体_GBK" w:cs="方正楷体_GBK"/>
          <w:b w:val="0"/>
          <w:bCs w:val="0"/>
        </w:rPr>
        <w:t>6.1  通信与信息保障</w:t>
      </w:r>
      <w:bookmarkEnd w:id="37"/>
    </w:p>
    <w:p>
      <w:pPr>
        <w:pStyle w:val="45"/>
        <w:ind w:firstLine="632" w:firstLineChars="200"/>
        <w:jc w:val="both"/>
        <w:rPr>
          <w:rFonts w:ascii="方正仿宋_GBK"/>
          <w:sz w:val="32"/>
          <w:szCs w:val="32"/>
        </w:rPr>
      </w:pPr>
      <w:r>
        <w:rPr>
          <w:rFonts w:hint="eastAsia" w:ascii="方正仿宋_GBK"/>
          <w:sz w:val="32"/>
          <w:szCs w:val="32"/>
        </w:rPr>
        <w:t>充分利用油气管道事故信息采集、处理制度及通信联络指挥系统，保持与市政府和应急管理机构的通信联络，确保应急处置期间通讯畅通。</w:t>
      </w:r>
    </w:p>
    <w:p>
      <w:pPr>
        <w:pStyle w:val="45"/>
        <w:ind w:firstLine="632" w:firstLineChars="200"/>
        <w:jc w:val="both"/>
        <w:rPr>
          <w:rFonts w:ascii="方正仿宋_GBK"/>
          <w:sz w:val="32"/>
          <w:szCs w:val="32"/>
        </w:rPr>
      </w:pPr>
      <w:r>
        <w:rPr>
          <w:rFonts w:hint="eastAsia" w:ascii="方正仿宋_GBK"/>
          <w:sz w:val="32"/>
          <w:szCs w:val="32"/>
        </w:rPr>
        <w:t>现场指挥部成员单位及应急响应单位，分别确定一名负责人和联系人，保证24小时通讯畅通，确保应急信息交流和指挥的快速、顺畅、准确，做到信息资源共享。</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8" w:name="_Toc119854405"/>
      <w:r>
        <w:rPr>
          <w:rFonts w:hint="eastAsia" w:ascii="方正楷体_GBK" w:hAnsi="方正楷体_GBK" w:eastAsia="方正楷体_GBK" w:cs="方正楷体_GBK"/>
          <w:b w:val="0"/>
          <w:bCs w:val="0"/>
        </w:rPr>
        <w:t>6.2  应急队伍保障</w:t>
      </w:r>
      <w:bookmarkEnd w:id="38"/>
    </w:p>
    <w:p>
      <w:pPr>
        <w:pStyle w:val="45"/>
        <w:ind w:firstLine="632" w:firstLineChars="200"/>
        <w:jc w:val="both"/>
        <w:rPr>
          <w:rFonts w:ascii="方正仿宋_GBK"/>
          <w:sz w:val="32"/>
          <w:szCs w:val="32"/>
        </w:rPr>
      </w:pPr>
      <w:r>
        <w:rPr>
          <w:rFonts w:hint="eastAsia" w:ascii="方正仿宋_GBK"/>
          <w:sz w:val="32"/>
          <w:szCs w:val="32"/>
        </w:rPr>
        <w:t>油气长输管道运营企业专业应急救援队伍是应急救援工作的基础力量，应按照有关规定配备人员、装备，开展培训、演习；各成员单位应急救援队伍是突发事件的重要支援力量和补充力量，应合理确定队伍规模，加强日常培训和演练，提高应急响应和处置能力，满足工作需要；区油气管道应急指挥部应加强对应急队伍的监督检查，促使其保持战斗力，在应急响应时统一协调指挥调配应急救援队伍。</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9" w:name="_Toc119854406"/>
      <w:r>
        <w:rPr>
          <w:rFonts w:hint="eastAsia" w:ascii="方正楷体_GBK" w:hAnsi="方正楷体_GBK" w:eastAsia="方正楷体_GBK" w:cs="方正楷体_GBK"/>
          <w:b w:val="0"/>
          <w:bCs w:val="0"/>
        </w:rPr>
        <w:t>6.3  物资装备保障</w:t>
      </w:r>
      <w:bookmarkEnd w:id="39"/>
    </w:p>
    <w:p>
      <w:pPr>
        <w:pStyle w:val="45"/>
        <w:ind w:firstLine="632" w:firstLineChars="200"/>
        <w:jc w:val="both"/>
        <w:rPr>
          <w:rFonts w:ascii="方正仿宋_GBK"/>
          <w:sz w:val="32"/>
          <w:szCs w:val="32"/>
        </w:rPr>
      </w:pPr>
      <w:r>
        <w:rPr>
          <w:rFonts w:hint="eastAsia" w:ascii="方正仿宋_GBK"/>
          <w:sz w:val="32"/>
          <w:szCs w:val="32"/>
        </w:rPr>
        <w:t>抢险用吊车、铲车、挖掘机、推土机等大型机械由事发地镇街（港城管委会）负责协调保障；抢险用客运、货运等运输车辆由区交通局和事发地镇街（港城管委会）负责协调保障；现场医疗救护车辆、医务人员及应急药品器械由区卫生健康委负责协调保障；根据突发事故特点，消防救援部门应合理配备配置防护器材；现场抢救专用防护器材（防毒面具、各种呼吸器、防护服等）由事发单位、消防救援部门及企业救援队伍负责。通信部门负责提供通信联络设施，确保通信畅通。</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0" w:name="_Toc119854407"/>
      <w:r>
        <w:rPr>
          <w:rFonts w:hint="eastAsia" w:ascii="方正楷体_GBK" w:hAnsi="方正楷体_GBK" w:eastAsia="方正楷体_GBK" w:cs="方正楷体_GBK"/>
          <w:b w:val="0"/>
          <w:bCs w:val="0"/>
        </w:rPr>
        <w:t>6.4  技术储备保障</w:t>
      </w:r>
      <w:bookmarkEnd w:id="40"/>
    </w:p>
    <w:p>
      <w:pPr>
        <w:pStyle w:val="45"/>
        <w:ind w:firstLine="632" w:firstLineChars="200"/>
        <w:jc w:val="both"/>
        <w:rPr>
          <w:rFonts w:ascii="方正仿宋_GBK"/>
          <w:sz w:val="32"/>
          <w:szCs w:val="32"/>
        </w:rPr>
      </w:pPr>
      <w:r>
        <w:rPr>
          <w:rFonts w:hint="eastAsia" w:ascii="方正仿宋_GBK"/>
          <w:sz w:val="32"/>
          <w:szCs w:val="32"/>
        </w:rPr>
        <w:t>各部门和有关单位要充分利用现有的技术专家资源和技术储备资源，依托市能源局组建的市油气长输管道事故抢险救援专家库；市安委会、市减灾委组建的市应急管理专家库；市应急管理局组建的市应急救援专家库等技术专家队伍。应急状态时组织成立应急救援专家组，充分发挥相关行业、领域的机构和专家的作用，为应急救援提供技术支持和科学施救保障。</w:t>
      </w:r>
    </w:p>
    <w:p>
      <w:pPr>
        <w:pStyle w:val="45"/>
        <w:ind w:firstLine="632" w:firstLineChars="200"/>
        <w:jc w:val="both"/>
        <w:rPr>
          <w:rFonts w:ascii="方正仿宋_GBK"/>
          <w:sz w:val="32"/>
          <w:szCs w:val="32"/>
        </w:rPr>
      </w:pPr>
      <w:r>
        <w:rPr>
          <w:rFonts w:hint="eastAsia" w:ascii="方正仿宋_GBK"/>
          <w:sz w:val="32"/>
          <w:szCs w:val="32"/>
        </w:rPr>
        <w:t>鼓励有关单位大力推进先进技术、先进装备、先进方法的研发和配备，不断提高油气长输管道事故预防预警和应急处置智能化、数字化和科学化水平。</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1" w:name="_Toc119854408"/>
      <w:r>
        <w:rPr>
          <w:rFonts w:hint="eastAsia" w:ascii="方正楷体_GBK" w:hAnsi="方正楷体_GBK" w:eastAsia="方正楷体_GBK" w:cs="方正楷体_GBK"/>
          <w:b w:val="0"/>
          <w:bCs w:val="0"/>
        </w:rPr>
        <w:t>6.5  交通运输保障</w:t>
      </w:r>
      <w:bookmarkEnd w:id="41"/>
    </w:p>
    <w:p>
      <w:pPr>
        <w:pStyle w:val="45"/>
        <w:ind w:firstLine="632" w:firstLineChars="200"/>
        <w:jc w:val="both"/>
        <w:rPr>
          <w:rFonts w:ascii="方正仿宋_GBK"/>
          <w:sz w:val="32"/>
          <w:szCs w:val="32"/>
        </w:rPr>
      </w:pPr>
      <w:r>
        <w:rPr>
          <w:rFonts w:hint="eastAsia" w:ascii="方正仿宋_GBK"/>
          <w:sz w:val="32"/>
          <w:szCs w:val="32"/>
        </w:rPr>
        <w:t>根据应急救援需要，应急指挥部及时协调运输管理、公安、交管等部门提供交通运输保障；根据救援需要，及时将应急救援物资运输到位。</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2" w:name="_Toc119854409"/>
      <w:r>
        <w:rPr>
          <w:rFonts w:hint="eastAsia" w:ascii="方正楷体_GBK" w:hAnsi="方正楷体_GBK" w:eastAsia="方正楷体_GBK" w:cs="方正楷体_GBK"/>
          <w:b w:val="0"/>
          <w:bCs w:val="0"/>
        </w:rPr>
        <w:t>6.6  经费资金保障</w:t>
      </w:r>
      <w:bookmarkEnd w:id="42"/>
    </w:p>
    <w:p>
      <w:pPr>
        <w:pStyle w:val="45"/>
        <w:ind w:firstLine="632" w:firstLineChars="200"/>
        <w:jc w:val="both"/>
        <w:rPr>
          <w:rFonts w:ascii="方正仿宋_GBK"/>
          <w:sz w:val="32"/>
          <w:szCs w:val="32"/>
        </w:rPr>
      </w:pPr>
      <w:r>
        <w:rPr>
          <w:rFonts w:hint="eastAsia" w:ascii="方正仿宋_GBK"/>
          <w:sz w:val="32"/>
          <w:szCs w:val="32"/>
        </w:rPr>
        <w:t>油气长输管道运营企业应当落实事故应急救援抢险的各项资金，做好事故应急救援必要的资金准备。</w:t>
      </w:r>
    </w:p>
    <w:p>
      <w:pPr>
        <w:pStyle w:val="45"/>
        <w:ind w:firstLine="632" w:firstLineChars="200"/>
        <w:jc w:val="both"/>
        <w:rPr>
          <w:rFonts w:ascii="方正仿宋_GBK"/>
          <w:sz w:val="32"/>
          <w:szCs w:val="32"/>
        </w:rPr>
      </w:pPr>
      <w:r>
        <w:rPr>
          <w:rFonts w:hint="eastAsia" w:ascii="方正仿宋_GBK"/>
          <w:sz w:val="32"/>
          <w:szCs w:val="32"/>
        </w:rPr>
        <w:t>区财政局为全区石油天然气长输管道突发事件应急演练、应急救援专用设备、应急救援工作和应急处置提供必要的经费保障。</w:t>
      </w:r>
    </w:p>
    <w:p>
      <w:pPr>
        <w:pStyle w:val="45"/>
        <w:ind w:firstLine="632" w:firstLineChars="200"/>
        <w:jc w:val="both"/>
        <w:rPr>
          <w:rFonts w:ascii="方正仿宋_GBK"/>
          <w:sz w:val="32"/>
          <w:szCs w:val="32"/>
        </w:rPr>
      </w:pPr>
      <w:r>
        <w:rPr>
          <w:rFonts w:hint="eastAsia" w:ascii="方正仿宋_GBK"/>
          <w:sz w:val="32"/>
          <w:szCs w:val="32"/>
        </w:rPr>
        <w:t>突发事件应急救援资金首先由事故责任单位承担，事故责任单位暂时无力承担的，由区油气管道应急指挥部提出，区财政部门审核，按照事权、财权划分原则分级负担。</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43" w:name="_Toc119854410"/>
      <w:r>
        <w:rPr>
          <w:rFonts w:hint="eastAsia" w:ascii="方正黑体_GBK" w:hAnsi="Times New Roman" w:eastAsia="方正黑体_GBK"/>
          <w:b w:val="0"/>
          <w:bCs/>
          <w:sz w:val="32"/>
          <w:szCs w:val="32"/>
        </w:rPr>
        <w:t>7  预案管理</w:t>
      </w:r>
      <w:bookmarkEnd w:id="43"/>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4" w:name="_Toc119854411"/>
      <w:r>
        <w:rPr>
          <w:rFonts w:hint="eastAsia" w:ascii="方正楷体_GBK" w:hAnsi="方正楷体_GBK" w:eastAsia="方正楷体_GBK" w:cs="方正楷体_GBK"/>
          <w:b w:val="0"/>
          <w:bCs w:val="0"/>
        </w:rPr>
        <w:t>7.1  培训与宣教</w:t>
      </w:r>
      <w:bookmarkEnd w:id="44"/>
    </w:p>
    <w:p>
      <w:pPr>
        <w:pStyle w:val="45"/>
        <w:ind w:firstLine="632" w:firstLineChars="200"/>
        <w:jc w:val="both"/>
        <w:rPr>
          <w:rFonts w:ascii="方正仿宋_GBK"/>
          <w:sz w:val="32"/>
          <w:szCs w:val="32"/>
        </w:rPr>
      </w:pPr>
      <w:r>
        <w:rPr>
          <w:rFonts w:hint="eastAsia" w:ascii="方正仿宋_GBK"/>
          <w:sz w:val="32"/>
          <w:szCs w:val="32"/>
        </w:rPr>
        <w:t>建立健全油气长输管道突发事件应急管理培训制度，针对不同对象制定宣传培训内容和计划，提高应对突发事件的决策和处置能力。各管道企业要按照规定对员工进行培训，各级管道保护主管部门负责对应急救援培训情况进行监督检查。</w:t>
      </w:r>
    </w:p>
    <w:p>
      <w:pPr>
        <w:pStyle w:val="45"/>
        <w:ind w:firstLine="632" w:firstLineChars="200"/>
        <w:jc w:val="both"/>
        <w:rPr>
          <w:rFonts w:ascii="方正仿宋_GBK"/>
          <w:sz w:val="32"/>
          <w:szCs w:val="32"/>
        </w:rPr>
      </w:pPr>
      <w:r>
        <w:rPr>
          <w:rFonts w:hint="eastAsia" w:ascii="方正仿宋_GBK"/>
          <w:sz w:val="32"/>
          <w:szCs w:val="32"/>
        </w:rPr>
        <w:t>各涉及石油天然气长输管道的镇街（港城管委会）、相关部门、管道运营企业要及时向公众和员工宣传石油天然气管道的危险性及发生事故可能造成的危害，广泛宣传应急救援有关法律法规和事故预防、避险、自救、互救常识。</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5" w:name="_Toc119854412"/>
      <w:r>
        <w:rPr>
          <w:rFonts w:hint="eastAsia" w:ascii="方正楷体_GBK" w:hAnsi="方正楷体_GBK" w:eastAsia="方正楷体_GBK" w:cs="方正楷体_GBK"/>
          <w:b w:val="0"/>
          <w:bCs w:val="0"/>
        </w:rPr>
        <w:t>7.2  应急演练</w:t>
      </w:r>
      <w:bookmarkEnd w:id="45"/>
    </w:p>
    <w:p>
      <w:pPr>
        <w:pStyle w:val="45"/>
        <w:ind w:firstLine="632" w:firstLineChars="200"/>
        <w:jc w:val="both"/>
        <w:rPr>
          <w:rFonts w:ascii="方正仿宋_GBK"/>
          <w:sz w:val="32"/>
          <w:szCs w:val="32"/>
        </w:rPr>
      </w:pPr>
      <w:r>
        <w:rPr>
          <w:rFonts w:hint="eastAsia" w:ascii="方正仿宋_GBK"/>
          <w:sz w:val="32"/>
          <w:szCs w:val="32"/>
        </w:rPr>
        <w:t>由区油气管道应急办制订和实施应急演练计划，每3年至少组织一次应急演练，区发展改革委定期组织有关部门和各油气管道运营企业按照本预案开展应急演练，不断提高应急处置能力。</w:t>
      </w:r>
    </w:p>
    <w:p>
      <w:pPr>
        <w:pStyle w:val="45"/>
        <w:ind w:firstLine="632" w:firstLineChars="200"/>
        <w:jc w:val="both"/>
        <w:rPr>
          <w:rFonts w:ascii="方正仿宋_GBK"/>
          <w:sz w:val="32"/>
          <w:szCs w:val="32"/>
        </w:rPr>
      </w:pPr>
      <w:r>
        <w:rPr>
          <w:rFonts w:hint="eastAsia" w:ascii="方正仿宋_GBK"/>
          <w:sz w:val="32"/>
          <w:szCs w:val="32"/>
        </w:rPr>
        <w:t>应急演练结束后要及时对演练情况进行总结评估，根据演练情况分析现行预案存在的问题与不足，及时调整、修订应急预案。</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6" w:name="_Toc119854413"/>
      <w:r>
        <w:rPr>
          <w:rFonts w:hint="eastAsia" w:ascii="方正楷体_GBK" w:hAnsi="方正楷体_GBK" w:eastAsia="方正楷体_GBK" w:cs="方正楷体_GBK"/>
          <w:b w:val="0"/>
          <w:bCs w:val="0"/>
        </w:rPr>
        <w:t>7.3  预案管理</w:t>
      </w:r>
      <w:bookmarkEnd w:id="46"/>
    </w:p>
    <w:p>
      <w:pPr>
        <w:pStyle w:val="45"/>
        <w:ind w:firstLine="632" w:firstLineChars="200"/>
        <w:jc w:val="both"/>
        <w:rPr>
          <w:rFonts w:ascii="方正仿宋_GBK"/>
          <w:sz w:val="32"/>
          <w:szCs w:val="32"/>
        </w:rPr>
      </w:pPr>
      <w:r>
        <w:rPr>
          <w:rFonts w:hint="eastAsia" w:ascii="方正仿宋_GBK"/>
          <w:sz w:val="32"/>
          <w:szCs w:val="32"/>
        </w:rPr>
        <w:t>（1）本预案由区发展改革委依据相关规定负责管理和维护，原则上每5年对本预案组织一次评估。</w:t>
      </w:r>
    </w:p>
    <w:p>
      <w:pPr>
        <w:pStyle w:val="45"/>
        <w:ind w:firstLine="632" w:firstLineChars="200"/>
        <w:jc w:val="both"/>
        <w:rPr>
          <w:rFonts w:ascii="方正仿宋_GBK"/>
          <w:sz w:val="32"/>
          <w:szCs w:val="32"/>
        </w:rPr>
      </w:pPr>
      <w:r>
        <w:rPr>
          <w:rFonts w:hint="eastAsia" w:ascii="方正仿宋_GBK"/>
          <w:sz w:val="32"/>
          <w:szCs w:val="32"/>
        </w:rPr>
        <w:t>（2）若预案编制所依据的法律法规、涉及的机构和人员发生重大变化，或在实战及演练中发现重大缺陷时，应及时进行修订。</w:t>
      </w:r>
    </w:p>
    <w:p>
      <w:pPr>
        <w:pStyle w:val="45"/>
        <w:ind w:firstLine="632" w:firstLineChars="200"/>
        <w:jc w:val="both"/>
        <w:rPr>
          <w:rFonts w:ascii="方正仿宋_GBK"/>
          <w:sz w:val="32"/>
          <w:szCs w:val="32"/>
        </w:rPr>
      </w:pPr>
      <w:r>
        <w:rPr>
          <w:rFonts w:hint="eastAsia" w:ascii="方正仿宋_GBK"/>
          <w:sz w:val="32"/>
          <w:szCs w:val="32"/>
        </w:rPr>
        <w:t>（3）有关镇街（港城管委会）要将油气长输管道突发事件或事故应急处置纳入镇街（港城管委会）综合应急预案中；油气长输管道运营企业要结合各自实际制定企业应急预案，并注重与本预案的衔接，构建区、镇街（港城管委会）、企业三级应急预案体系。</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7" w:name="_Toc119854414"/>
      <w:r>
        <w:rPr>
          <w:rFonts w:hint="eastAsia" w:ascii="方正楷体_GBK" w:hAnsi="方正楷体_GBK" w:eastAsia="方正楷体_GBK" w:cs="方正楷体_GBK"/>
          <w:b w:val="0"/>
          <w:bCs w:val="0"/>
        </w:rPr>
        <w:t>7.4  预案备案</w:t>
      </w:r>
      <w:bookmarkEnd w:id="47"/>
    </w:p>
    <w:p>
      <w:pPr>
        <w:pStyle w:val="45"/>
        <w:ind w:firstLine="632" w:firstLineChars="200"/>
        <w:jc w:val="both"/>
        <w:rPr>
          <w:rFonts w:ascii="方正仿宋_GBK"/>
          <w:sz w:val="32"/>
          <w:szCs w:val="32"/>
        </w:rPr>
      </w:pPr>
      <w:r>
        <w:rPr>
          <w:rFonts w:hint="eastAsia" w:ascii="方正仿宋_GBK"/>
          <w:sz w:val="32"/>
          <w:szCs w:val="32"/>
        </w:rPr>
        <w:t>按照《重庆市突发事件应急预案管理实施办法》（渝府办发〔2022〕37号）相关要求，本应急预案属于区级专项应急预案，经本级应急管理部门审核同意后，由预案编制单位报送本级政府审核，以本级政府办公厅（室）名义印发，必要时提请本级政府常务会议或专题会议审议。印发后的20个工作日内，本预案报送市级有关部门备案，抄送区应急管理部门。</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8" w:name="_Toc119854415"/>
      <w:r>
        <w:rPr>
          <w:rFonts w:hint="eastAsia" w:ascii="方正楷体_GBK" w:hAnsi="方正楷体_GBK" w:eastAsia="方正楷体_GBK" w:cs="方正楷体_GBK"/>
          <w:b w:val="0"/>
          <w:bCs w:val="0"/>
        </w:rPr>
        <w:t>7.5  预案解释</w:t>
      </w:r>
      <w:bookmarkEnd w:id="48"/>
    </w:p>
    <w:p>
      <w:pPr>
        <w:pStyle w:val="45"/>
        <w:ind w:firstLine="632" w:firstLineChars="200"/>
        <w:jc w:val="both"/>
        <w:rPr>
          <w:rFonts w:ascii="方正仿宋_GBK"/>
          <w:sz w:val="32"/>
          <w:szCs w:val="32"/>
        </w:rPr>
      </w:pPr>
      <w:r>
        <w:rPr>
          <w:rFonts w:hint="eastAsia" w:ascii="方正仿宋_GBK"/>
          <w:sz w:val="32"/>
          <w:szCs w:val="32"/>
        </w:rPr>
        <w:t>本预案由区发展改革委负责解释。</w:t>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49" w:name="_Toc119854416"/>
      <w:r>
        <w:rPr>
          <w:rFonts w:hint="eastAsia" w:ascii="方正楷体_GBK" w:hAnsi="方正楷体_GBK" w:eastAsia="方正楷体_GBK" w:cs="方正楷体_GBK"/>
          <w:b w:val="0"/>
          <w:bCs w:val="0"/>
        </w:rPr>
        <w:t>7.6  预案实施</w:t>
      </w:r>
      <w:bookmarkEnd w:id="49"/>
    </w:p>
    <w:p>
      <w:pPr>
        <w:pStyle w:val="45"/>
        <w:ind w:firstLine="632" w:firstLineChars="200"/>
        <w:jc w:val="both"/>
        <w:rPr>
          <w:rFonts w:ascii="方正仿宋_GBK"/>
          <w:sz w:val="32"/>
          <w:szCs w:val="32"/>
        </w:rPr>
      </w:pPr>
      <w:r>
        <w:rPr>
          <w:rFonts w:hint="eastAsia" w:ascii="方正仿宋_GBK"/>
          <w:sz w:val="32"/>
          <w:szCs w:val="32"/>
        </w:rPr>
        <w:t>本预案自发布之日起实施。《重庆市江北区石油天然气长输管道事故应急预案》（江北府办〔2020〕12号）同时废止。</w:t>
      </w:r>
    </w:p>
    <w:p>
      <w:pPr>
        <w:pStyle w:val="4"/>
        <w:pageBreakBefore/>
        <w:adjustRightInd w:val="0"/>
        <w:snapToGrid w:val="0"/>
        <w:spacing w:before="100" w:beforeAutospacing="1" w:after="100" w:afterAutospacing="1" w:line="240" w:lineRule="auto"/>
        <w:ind w:firstLine="632" w:firstLineChars="200"/>
        <w:rPr>
          <w:rFonts w:ascii="方正黑体_GBK" w:hAnsi="Times New Roman" w:eastAsia="方正黑体_GBK"/>
          <w:b w:val="0"/>
          <w:bCs/>
          <w:sz w:val="32"/>
          <w:szCs w:val="32"/>
        </w:rPr>
      </w:pPr>
      <w:bookmarkStart w:id="50" w:name="_Toc119854417"/>
      <w:r>
        <w:rPr>
          <w:rFonts w:ascii="方正黑体_GBK" w:hAnsi="Times New Roman" w:eastAsia="方正黑体_GBK"/>
          <w:b w:val="0"/>
          <w:bCs/>
          <w:sz w:val="32"/>
          <w:szCs w:val="32"/>
        </w:rPr>
        <w:t>8</w:t>
      </w:r>
      <w:r>
        <w:rPr>
          <w:rFonts w:hint="eastAsia" w:ascii="方正黑体_GBK" w:hAnsi="Times New Roman" w:eastAsia="方正黑体_GBK"/>
          <w:b w:val="0"/>
          <w:bCs/>
          <w:sz w:val="32"/>
          <w:szCs w:val="32"/>
        </w:rPr>
        <w:t xml:space="preserve">  附录</w:t>
      </w:r>
      <w:bookmarkEnd w:id="50"/>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1" w:name="_Toc119854418"/>
      <w:r>
        <w:rPr>
          <w:rFonts w:ascii="方正楷体_GBK" w:hAnsi="方正楷体_GBK" w:eastAsia="方正楷体_GBK" w:cs="方正楷体_GBK"/>
          <w:b w:val="0"/>
          <w:bCs w:val="0"/>
        </w:rPr>
        <w:t>8</w:t>
      </w:r>
      <w:r>
        <w:rPr>
          <w:rFonts w:hint="eastAsia" w:ascii="方正楷体_GBK" w:hAnsi="方正楷体_GBK" w:eastAsia="方正楷体_GBK" w:cs="方正楷体_GBK"/>
          <w:b w:val="0"/>
          <w:bCs w:val="0"/>
        </w:rPr>
        <w:t>.1  江北区有关部门联系电话</w:t>
      </w:r>
      <w:bookmarkEnd w:id="51"/>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表8.1-1  应急指挥部成员单位值班电话表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686"/>
        <w:gridCol w:w="3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1389"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3686"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成员单位</w:t>
            </w:r>
          </w:p>
        </w:tc>
        <w:tc>
          <w:tcPr>
            <w:tcW w:w="3770"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区政府办</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区发展改革委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67754677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区应急管理局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81399150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4</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区消防支队</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67850978/119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5</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区市场监管局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67962229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6</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区公安分局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67876177/110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7</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区经济信息委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8</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区商务委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67722365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9</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区交通局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67560060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10</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区生态环境局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11</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区规划自然资源局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12</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区住房城乡建委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67855768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13</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区城市管理局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67742196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14</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区卫生健康委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67721954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15</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区财政局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67560045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16</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区民政局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17</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区人力社保局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18</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区医疗保障局</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67637678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19</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区融媒体中心</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20</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区委网信办</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67562622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21</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区纪委监委</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9"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22</w:t>
            </w:r>
          </w:p>
        </w:tc>
        <w:tc>
          <w:tcPr>
            <w:tcW w:w="3686" w:type="dxa"/>
            <w:vAlign w:val="center"/>
          </w:tcPr>
          <w:p>
            <w:pPr>
              <w:adjustRightInd w:val="0"/>
              <w:snapToGrid w:val="0"/>
              <w:jc w:val="center"/>
              <w:rPr>
                <w:rFonts w:ascii="方正仿宋_GBK" w:hAnsi="Arial" w:cs="Times New Roman"/>
                <w:kern w:val="0"/>
                <w:sz w:val="21"/>
                <w:szCs w:val="21"/>
              </w:rPr>
            </w:pPr>
            <w:r>
              <w:rPr>
                <w:rFonts w:hint="eastAsia" w:ascii="方正仿宋_GBK"/>
                <w:sz w:val="21"/>
                <w:szCs w:val="21"/>
              </w:rPr>
              <w:t>区总工会</w:t>
            </w:r>
          </w:p>
        </w:tc>
        <w:tc>
          <w:tcPr>
            <w:tcW w:w="3770" w:type="dxa"/>
            <w:vAlign w:val="center"/>
          </w:tcPr>
          <w:p>
            <w:pPr>
              <w:adjustRightInd w:val="0"/>
              <w:snapToGrid w:val="0"/>
              <w:jc w:val="center"/>
              <w:rPr>
                <w:rFonts w:ascii="方正仿宋_GBK"/>
                <w:sz w:val="21"/>
                <w:szCs w:val="21"/>
              </w:rPr>
            </w:pPr>
            <w:r>
              <w:rPr>
                <w:rFonts w:hint="eastAsia" w:ascii="方正仿宋_GBK"/>
                <w:sz w:val="21"/>
                <w:szCs w:val="21"/>
              </w:rPr>
              <w:t>67855808</w:t>
            </w:r>
          </w:p>
        </w:tc>
      </w:tr>
    </w:tbl>
    <w:p>
      <w:pPr>
        <w:pStyle w:val="45"/>
        <w:ind w:firstLine="632" w:firstLineChars="200"/>
        <w:jc w:val="both"/>
        <w:rPr>
          <w:rFonts w:ascii="方正仿宋_GBK"/>
          <w:sz w:val="32"/>
          <w:szCs w:val="32"/>
        </w:rPr>
      </w:pPr>
    </w:p>
    <w:p>
      <w:pPr>
        <w:pStyle w:val="5"/>
        <w:adjustRightInd w:val="0"/>
        <w:snapToGrid w:val="0"/>
        <w:spacing w:before="100" w:beforeAutospacing="1" w:after="100" w:afterAutospacing="1" w:line="240" w:lineRule="auto"/>
        <w:ind w:firstLine="632" w:firstLineChars="200"/>
        <w:rPr>
          <w:rFonts w:hint="eastAsia" w:ascii="方正楷体_GBK" w:hAnsi="方正楷体_GBK" w:eastAsia="方正楷体_GBK" w:cs="方正楷体_GBK"/>
          <w:b w:val="0"/>
          <w:bCs w:val="0"/>
        </w:rPr>
      </w:pPr>
      <w:bookmarkStart w:id="52" w:name="_Toc119854419"/>
      <w:r>
        <w:rPr>
          <w:rFonts w:ascii="方正楷体_GBK" w:hAnsi="方正楷体_GBK" w:eastAsia="方正楷体_GBK" w:cs="方正楷体_GBK"/>
          <w:b w:val="0"/>
          <w:bCs w:val="0"/>
        </w:rPr>
        <w:t>8</w:t>
      </w:r>
      <w:r>
        <w:rPr>
          <w:rFonts w:hint="eastAsia" w:ascii="方正楷体_GBK" w:hAnsi="方正楷体_GBK" w:eastAsia="方正楷体_GBK" w:cs="方正楷体_GBK"/>
          <w:b w:val="0"/>
          <w:bCs w:val="0"/>
        </w:rPr>
        <w:t>.2  江北区相关镇街联系电话</w:t>
      </w:r>
      <w:bookmarkEnd w:id="52"/>
    </w:p>
    <w:p>
      <w:pPr>
        <w:keepNext/>
        <w:widowControl/>
        <w:adjustRightInd w:val="0"/>
        <w:snapToGrid w:val="0"/>
        <w:spacing w:line="300" w:lineRule="auto"/>
        <w:jc w:val="center"/>
      </w:pPr>
      <w:r>
        <w:rPr>
          <w:rFonts w:hint="eastAsia" w:ascii="方正黑体_GBK" w:hAnsi="Times New Roman" w:eastAsia="方正黑体_GBK" w:cs="Times New Roman"/>
          <w:bCs/>
          <w:kern w:val="44"/>
          <w:sz w:val="28"/>
          <w:szCs w:val="28"/>
          <w:lang w:val="zh-CN"/>
        </w:rPr>
        <w:t>表8.2-1  管道涉及相关镇街联系电话表</w:t>
      </w:r>
    </w:p>
    <w:tbl>
      <w:tblPr>
        <w:tblStyle w:val="54"/>
        <w:tblW w:w="8239" w:type="dxa"/>
        <w:jc w:val="center"/>
        <w:tblInd w:w="0" w:type="dxa"/>
        <w:tblLayout w:type="fixed"/>
        <w:tblCellMar>
          <w:top w:w="0" w:type="dxa"/>
          <w:left w:w="108" w:type="dxa"/>
          <w:bottom w:w="0" w:type="dxa"/>
          <w:right w:w="108" w:type="dxa"/>
        </w:tblCellMar>
      </w:tblPr>
      <w:tblGrid>
        <w:gridCol w:w="798"/>
        <w:gridCol w:w="3588"/>
        <w:gridCol w:w="3853"/>
      </w:tblGrid>
      <w:tr>
        <w:tblPrEx>
          <w:tblLayout w:type="fixed"/>
          <w:tblCellMar>
            <w:top w:w="0" w:type="dxa"/>
            <w:left w:w="108" w:type="dxa"/>
            <w:bottom w:w="0" w:type="dxa"/>
            <w:right w:w="108" w:type="dxa"/>
          </w:tblCellMar>
        </w:tblPrEx>
        <w:trPr>
          <w:cantSplit/>
          <w:trHeight w:val="755"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hAnsi="Times New Roman" w:eastAsia="方正仿宋_GBK" w:cs="Times New Roman"/>
                <w:b/>
                <w:bCs/>
                <w:kern w:val="44"/>
                <w:sz w:val="21"/>
                <w:szCs w:val="21"/>
                <w:lang w:val="zh-CN" w:eastAsia="zh-CN" w:bidi="ar-SA"/>
              </w:rPr>
            </w:pPr>
            <w:r>
              <w:rPr>
                <w:rFonts w:hint="eastAsia" w:ascii="方正仿宋_GBK" w:hAnsi="Times New Roman" w:eastAsia="方正仿宋_GBK" w:cs="Times New Roman"/>
                <w:b/>
                <w:bCs/>
                <w:kern w:val="44"/>
                <w:sz w:val="21"/>
                <w:szCs w:val="21"/>
                <w:lang w:val="zh-CN" w:eastAsia="zh-CN" w:bidi="ar-SA"/>
              </w:rPr>
              <w:t>序号</w:t>
            </w:r>
          </w:p>
        </w:tc>
        <w:tc>
          <w:tcPr>
            <w:tcW w:w="3588"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ascii="方正仿宋_GBK" w:hAnsi="Times New Roman" w:eastAsia="方正仿宋_GBK" w:cs="Times New Roman"/>
                <w:b/>
                <w:bCs/>
                <w:kern w:val="44"/>
                <w:sz w:val="21"/>
                <w:szCs w:val="21"/>
                <w:lang w:val="zh-CN" w:eastAsia="zh-CN" w:bidi="ar-SA"/>
              </w:rPr>
            </w:pPr>
            <w:r>
              <w:rPr>
                <w:rFonts w:hint="eastAsia" w:ascii="方正仿宋_GBK" w:hAnsi="Times New Roman" w:eastAsia="方正仿宋_GBK" w:cs="Times New Roman"/>
                <w:b/>
                <w:bCs/>
                <w:kern w:val="44"/>
                <w:sz w:val="21"/>
                <w:szCs w:val="21"/>
                <w:lang w:val="zh-CN" w:eastAsia="zh-CN" w:bidi="ar-SA"/>
              </w:rPr>
              <w:t>单</w:t>
            </w:r>
            <w:r>
              <w:rPr>
                <w:rFonts w:hint="eastAsia" w:ascii="方正仿宋_GBK" w:hAnsi="Times New Roman" w:eastAsia="方正仿宋_GBK" w:cs="Times New Roman"/>
                <w:b/>
                <w:bCs/>
                <w:kern w:val="44"/>
                <w:sz w:val="21"/>
                <w:szCs w:val="21"/>
                <w:lang w:val="en-US" w:eastAsia="zh-CN" w:bidi="ar-SA"/>
              </w:rPr>
              <w:t xml:space="preserve"> </w:t>
            </w:r>
            <w:r>
              <w:rPr>
                <w:rFonts w:hint="eastAsia" w:ascii="方正仿宋_GBK" w:hAnsi="Times New Roman" w:eastAsia="方正仿宋_GBK" w:cs="Times New Roman"/>
                <w:b/>
                <w:bCs/>
                <w:kern w:val="44"/>
                <w:sz w:val="21"/>
                <w:szCs w:val="21"/>
                <w:lang w:val="zh-CN" w:eastAsia="zh-CN" w:bidi="ar-SA"/>
              </w:rPr>
              <w:t>位</w:t>
            </w:r>
          </w:p>
        </w:tc>
        <w:tc>
          <w:tcPr>
            <w:tcW w:w="3853"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ascii="方正仿宋_GBK" w:hAnsi="Times New Roman" w:eastAsia="方正仿宋_GBK" w:cs="Times New Roman"/>
                <w:b/>
                <w:bCs/>
                <w:kern w:val="44"/>
                <w:sz w:val="21"/>
                <w:szCs w:val="21"/>
                <w:lang w:val="en-US" w:eastAsia="zh-CN" w:bidi="ar-SA"/>
              </w:rPr>
            </w:pPr>
            <w:r>
              <w:rPr>
                <w:rFonts w:hint="eastAsia" w:ascii="方正仿宋_GBK" w:hAnsi="Times New Roman" w:eastAsia="方正仿宋_GBK" w:cs="Times New Roman"/>
                <w:b/>
                <w:bCs/>
                <w:kern w:val="44"/>
                <w:sz w:val="21"/>
                <w:szCs w:val="21"/>
                <w:lang w:val="en-US" w:eastAsia="zh-CN" w:bidi="ar-SA"/>
              </w:rPr>
              <w:t>值班电话</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1</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大石坝街道</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67608215</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2</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寸滩街道</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67994953</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3</w:t>
            </w:r>
          </w:p>
        </w:tc>
        <w:tc>
          <w:tcPr>
            <w:tcW w:w="3588" w:type="dxa"/>
            <w:tcBorders>
              <w:top w:val="single" w:color="auto" w:sz="4" w:space="0"/>
              <w:left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铁山坪街道</w:t>
            </w:r>
          </w:p>
        </w:tc>
        <w:tc>
          <w:tcPr>
            <w:tcW w:w="3853" w:type="dxa"/>
            <w:tcBorders>
              <w:top w:val="single" w:color="auto" w:sz="4" w:space="0"/>
              <w:left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67785601</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4</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鱼嘴镇</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67581019</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5</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复盛镇</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67585306</w:t>
            </w:r>
          </w:p>
        </w:tc>
      </w:tr>
      <w:tr>
        <w:tblPrEx>
          <w:tblLayout w:type="fixed"/>
          <w:tblCellMar>
            <w:top w:w="0" w:type="dxa"/>
            <w:left w:w="108" w:type="dxa"/>
            <w:bottom w:w="0" w:type="dxa"/>
            <w:right w:w="108" w:type="dxa"/>
          </w:tblCellMar>
        </w:tblPrEx>
        <w:trPr>
          <w:cantSplit/>
          <w:trHeight w:val="679"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五宝镇</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67586443</w:t>
            </w:r>
          </w:p>
        </w:tc>
      </w:tr>
      <w:tr>
        <w:tblPrEx>
          <w:tblLayout w:type="fixed"/>
          <w:tblCellMar>
            <w:top w:w="0" w:type="dxa"/>
            <w:left w:w="108" w:type="dxa"/>
            <w:bottom w:w="0" w:type="dxa"/>
            <w:right w:w="108" w:type="dxa"/>
          </w:tblCellMar>
        </w:tblPrEx>
        <w:trPr>
          <w:cantSplit/>
          <w:trHeight w:val="834" w:hRule="atLeast"/>
          <w:jc w:val="center"/>
        </w:trPr>
        <w:tc>
          <w:tcPr>
            <w:tcW w:w="7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7</w:t>
            </w:r>
          </w:p>
        </w:tc>
        <w:tc>
          <w:tcPr>
            <w:tcW w:w="35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lang w:eastAsia="zh-CN"/>
              </w:rPr>
            </w:pPr>
            <w:r>
              <w:rPr>
                <w:rFonts w:hint="eastAsia" w:ascii="方正仿宋_GBK"/>
                <w:sz w:val="21"/>
                <w:szCs w:val="21"/>
              </w:rPr>
              <w:t>港城</w:t>
            </w:r>
            <w:r>
              <w:rPr>
                <w:rFonts w:hint="eastAsia" w:ascii="方正仿宋_GBK"/>
                <w:sz w:val="21"/>
                <w:szCs w:val="21"/>
                <w:lang w:val="en-US" w:eastAsia="zh-CN"/>
              </w:rPr>
              <w:t>管委会</w:t>
            </w:r>
          </w:p>
        </w:tc>
        <w:tc>
          <w:tcPr>
            <w:tcW w:w="38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_GBK"/>
                <w:sz w:val="21"/>
                <w:szCs w:val="21"/>
              </w:rPr>
            </w:pPr>
            <w:r>
              <w:rPr>
                <w:rFonts w:hint="eastAsia" w:ascii="方正仿宋_GBK"/>
                <w:sz w:val="21"/>
                <w:szCs w:val="21"/>
              </w:rPr>
              <w:t>67756818</w:t>
            </w:r>
          </w:p>
        </w:tc>
      </w:tr>
    </w:tbl>
    <w:p>
      <w:pPr>
        <w:keepNext/>
        <w:widowControl/>
        <w:adjustRightInd w:val="0"/>
        <w:snapToGrid w:val="0"/>
        <w:spacing w:line="300" w:lineRule="auto"/>
        <w:jc w:val="center"/>
        <w:rPr>
          <w:rFonts w:hint="eastAsia" w:ascii="方正黑体_GBK" w:hAnsi="Times New Roman" w:eastAsia="方正黑体_GBK" w:cs="Times New Roman"/>
          <w:bCs/>
          <w:kern w:val="44"/>
          <w:sz w:val="28"/>
          <w:szCs w:val="28"/>
          <w:lang w:val="zh-CN"/>
        </w:rPr>
      </w:pPr>
    </w:p>
    <w:p>
      <w:pPr>
        <w:pStyle w:val="45"/>
        <w:ind w:firstLine="632" w:firstLineChars="200"/>
        <w:jc w:val="both"/>
        <w:rPr>
          <w:rFonts w:ascii="方正仿宋_GBK"/>
          <w:sz w:val="32"/>
          <w:szCs w:val="32"/>
        </w:rPr>
      </w:pP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3" w:name="_Toc119854420"/>
      <w:r>
        <w:rPr>
          <w:rFonts w:ascii="方正楷体_GBK" w:hAnsi="方正楷体_GBK" w:eastAsia="方正楷体_GBK" w:cs="方正楷体_GBK"/>
          <w:b w:val="0"/>
          <w:bCs w:val="0"/>
        </w:rPr>
        <w:t>8</w:t>
      </w:r>
      <w:r>
        <w:rPr>
          <w:rFonts w:hint="eastAsia" w:ascii="方正楷体_GBK" w:hAnsi="方正楷体_GBK" w:eastAsia="方正楷体_GBK" w:cs="方正楷体_GBK"/>
          <w:b w:val="0"/>
          <w:bCs w:val="0"/>
        </w:rPr>
        <w:t>.3  江北区各油气管道运营企业应急联系电话</w:t>
      </w:r>
      <w:bookmarkEnd w:id="53"/>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表8.3-1  油气管道运营企业应急联系电话表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935"/>
        <w:gridCol w:w="1452"/>
        <w:gridCol w:w="141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714" w:type="dxa"/>
            <w:vAlign w:val="center"/>
          </w:tcPr>
          <w:p>
            <w:pPr>
              <w:pStyle w:val="45"/>
              <w:adjustRightInd w:val="0"/>
              <w:snapToGrid w:val="0"/>
              <w:jc w:val="center"/>
              <w:rPr>
                <w:rFonts w:ascii="方正仿宋_GBK" w:hAnsi="宋体" w:cs="宋体"/>
                <w:b/>
                <w:sz w:val="21"/>
                <w:szCs w:val="21"/>
              </w:rPr>
            </w:pPr>
            <w:r>
              <w:rPr>
                <w:rFonts w:hint="eastAsia" w:ascii="方正仿宋_GBK" w:hAnsi="Times New Roman"/>
                <w:b/>
                <w:bCs/>
                <w:kern w:val="44"/>
                <w:sz w:val="21"/>
                <w:szCs w:val="21"/>
                <w:lang w:val="zh-CN"/>
              </w:rPr>
              <w:t>序号</w:t>
            </w:r>
          </w:p>
        </w:tc>
        <w:tc>
          <w:tcPr>
            <w:tcW w:w="3935"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企业名称</w:t>
            </w:r>
          </w:p>
        </w:tc>
        <w:tc>
          <w:tcPr>
            <w:tcW w:w="1452"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管道介质</w:t>
            </w:r>
          </w:p>
        </w:tc>
        <w:tc>
          <w:tcPr>
            <w:tcW w:w="141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联系部门</w:t>
            </w:r>
          </w:p>
        </w:tc>
        <w:tc>
          <w:tcPr>
            <w:tcW w:w="1327"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14"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1</w:t>
            </w:r>
          </w:p>
        </w:tc>
        <w:tc>
          <w:tcPr>
            <w:tcW w:w="3935" w:type="dxa"/>
            <w:vAlign w:val="center"/>
          </w:tcPr>
          <w:p>
            <w:pPr>
              <w:adjustRightInd w:val="0"/>
              <w:snapToGrid w:val="0"/>
              <w:jc w:val="center"/>
              <w:rPr>
                <w:sz w:val="21"/>
                <w:szCs w:val="21"/>
              </w:rPr>
            </w:pPr>
            <w:r>
              <w:rPr>
                <w:rFonts w:hint="eastAsia"/>
                <w:sz w:val="21"/>
                <w:szCs w:val="21"/>
              </w:rPr>
              <w:t>中国航空油料有限责任公司重庆分公司</w:t>
            </w:r>
          </w:p>
        </w:tc>
        <w:tc>
          <w:tcPr>
            <w:tcW w:w="1452" w:type="dxa"/>
            <w:vAlign w:val="center"/>
          </w:tcPr>
          <w:p>
            <w:pPr>
              <w:adjustRightInd w:val="0"/>
              <w:snapToGrid w:val="0"/>
              <w:jc w:val="center"/>
              <w:rPr>
                <w:sz w:val="21"/>
                <w:szCs w:val="21"/>
              </w:rPr>
            </w:pPr>
            <w:r>
              <w:rPr>
                <w:rFonts w:hint="eastAsia" w:ascii="方正仿宋_GBK"/>
                <w:sz w:val="21"/>
                <w:szCs w:val="21"/>
              </w:rPr>
              <w:t>航空油料</w:t>
            </w:r>
          </w:p>
        </w:tc>
        <w:tc>
          <w:tcPr>
            <w:tcW w:w="1417" w:type="dxa"/>
            <w:vAlign w:val="center"/>
          </w:tcPr>
          <w:p>
            <w:pPr>
              <w:adjustRightInd w:val="0"/>
              <w:snapToGrid w:val="0"/>
              <w:jc w:val="center"/>
              <w:rPr>
                <w:sz w:val="21"/>
                <w:szCs w:val="21"/>
              </w:rPr>
            </w:pPr>
            <w:r>
              <w:rPr>
                <w:rFonts w:hint="eastAsia"/>
                <w:sz w:val="21"/>
                <w:szCs w:val="21"/>
              </w:rPr>
              <w:t>现场应急</w:t>
            </w:r>
          </w:p>
          <w:p>
            <w:pPr>
              <w:adjustRightInd w:val="0"/>
              <w:snapToGrid w:val="0"/>
              <w:jc w:val="center"/>
              <w:rPr>
                <w:rFonts w:ascii="方正仿宋_GBK" w:hAnsi="Arial" w:cs="Times New Roman"/>
                <w:kern w:val="0"/>
                <w:sz w:val="21"/>
                <w:szCs w:val="21"/>
              </w:rPr>
            </w:pPr>
            <w:r>
              <w:rPr>
                <w:rFonts w:hint="eastAsia"/>
                <w:sz w:val="21"/>
                <w:szCs w:val="21"/>
              </w:rPr>
              <w:t>指挥中心</w:t>
            </w:r>
          </w:p>
        </w:tc>
        <w:tc>
          <w:tcPr>
            <w:tcW w:w="1327" w:type="dxa"/>
            <w:vAlign w:val="center"/>
          </w:tcPr>
          <w:p>
            <w:pPr>
              <w:adjustRightInd w:val="0"/>
              <w:snapToGrid w:val="0"/>
              <w:jc w:val="center"/>
              <w:rPr>
                <w:rFonts w:ascii="方正仿宋_GBK"/>
                <w:sz w:val="21"/>
                <w:szCs w:val="21"/>
              </w:rPr>
            </w:pPr>
            <w:r>
              <w:rPr>
                <w:rFonts w:ascii="方正仿宋_GBK"/>
                <w:sz w:val="21"/>
                <w:szCs w:val="21"/>
              </w:rPr>
              <w:t>67153955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14"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2</w:t>
            </w:r>
          </w:p>
        </w:tc>
        <w:tc>
          <w:tcPr>
            <w:tcW w:w="3935" w:type="dxa"/>
            <w:vAlign w:val="center"/>
          </w:tcPr>
          <w:p>
            <w:pPr>
              <w:adjustRightInd w:val="0"/>
              <w:snapToGrid w:val="0"/>
              <w:jc w:val="center"/>
              <w:rPr>
                <w:sz w:val="21"/>
                <w:szCs w:val="21"/>
              </w:rPr>
            </w:pPr>
            <w:r>
              <w:rPr>
                <w:rFonts w:hint="eastAsia"/>
                <w:sz w:val="21"/>
                <w:szCs w:val="21"/>
              </w:rPr>
              <w:t>重庆燃气集团股份有限公司输配分公司</w:t>
            </w:r>
          </w:p>
        </w:tc>
        <w:tc>
          <w:tcPr>
            <w:tcW w:w="1452" w:type="dxa"/>
            <w:vAlign w:val="center"/>
          </w:tcPr>
          <w:p>
            <w:pPr>
              <w:adjustRightInd w:val="0"/>
              <w:snapToGrid w:val="0"/>
              <w:jc w:val="center"/>
              <w:rPr>
                <w:sz w:val="21"/>
                <w:szCs w:val="21"/>
              </w:rPr>
            </w:pPr>
            <w:r>
              <w:rPr>
                <w:rFonts w:hint="eastAsia"/>
                <w:sz w:val="21"/>
                <w:szCs w:val="21"/>
              </w:rPr>
              <w:t>净化天然气</w:t>
            </w:r>
          </w:p>
        </w:tc>
        <w:tc>
          <w:tcPr>
            <w:tcW w:w="141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调度室</w:t>
            </w:r>
          </w:p>
        </w:tc>
        <w:tc>
          <w:tcPr>
            <w:tcW w:w="1327" w:type="dxa"/>
            <w:vAlign w:val="center"/>
          </w:tcPr>
          <w:p>
            <w:pPr>
              <w:adjustRightInd w:val="0"/>
              <w:snapToGrid w:val="0"/>
              <w:jc w:val="center"/>
              <w:rPr>
                <w:rFonts w:ascii="方正仿宋_GBK"/>
                <w:sz w:val="21"/>
                <w:szCs w:val="21"/>
              </w:rPr>
            </w:pPr>
            <w:r>
              <w:rPr>
                <w:rFonts w:ascii="方正仿宋_GBK"/>
                <w:sz w:val="21"/>
                <w:szCs w:val="21"/>
              </w:rPr>
              <w:t>67852693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14"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3</w:t>
            </w:r>
          </w:p>
        </w:tc>
        <w:tc>
          <w:tcPr>
            <w:tcW w:w="3935" w:type="dxa"/>
            <w:vAlign w:val="center"/>
          </w:tcPr>
          <w:p>
            <w:pPr>
              <w:adjustRightInd w:val="0"/>
              <w:snapToGrid w:val="0"/>
              <w:jc w:val="center"/>
              <w:rPr>
                <w:sz w:val="21"/>
                <w:szCs w:val="21"/>
              </w:rPr>
            </w:pPr>
            <w:r>
              <w:rPr>
                <w:rFonts w:hint="eastAsia"/>
                <w:sz w:val="21"/>
                <w:szCs w:val="21"/>
              </w:rPr>
              <w:t>中国石油天然气股份有限公司西南油气田分公司重庆气矿江北天然气运销部</w:t>
            </w:r>
          </w:p>
        </w:tc>
        <w:tc>
          <w:tcPr>
            <w:tcW w:w="1452" w:type="dxa"/>
            <w:vAlign w:val="center"/>
          </w:tcPr>
          <w:p>
            <w:pPr>
              <w:adjustRightInd w:val="0"/>
              <w:snapToGrid w:val="0"/>
              <w:jc w:val="center"/>
              <w:rPr>
                <w:sz w:val="21"/>
                <w:szCs w:val="21"/>
              </w:rPr>
            </w:pPr>
            <w:r>
              <w:rPr>
                <w:rFonts w:hint="eastAsia"/>
                <w:sz w:val="21"/>
                <w:szCs w:val="21"/>
              </w:rPr>
              <w:t>净化天然气</w:t>
            </w:r>
          </w:p>
        </w:tc>
        <w:tc>
          <w:tcPr>
            <w:tcW w:w="1417" w:type="dxa"/>
            <w:vAlign w:val="center"/>
          </w:tcPr>
          <w:p>
            <w:pPr>
              <w:adjustRightInd w:val="0"/>
              <w:snapToGrid w:val="0"/>
              <w:jc w:val="center"/>
              <w:rPr>
                <w:rFonts w:ascii="方正仿宋_GBK" w:hAnsi="Arial" w:cs="Times New Roman"/>
                <w:kern w:val="0"/>
                <w:sz w:val="21"/>
                <w:szCs w:val="21"/>
              </w:rPr>
            </w:pPr>
            <w:r>
              <w:rPr>
                <w:rFonts w:hint="eastAsia" w:ascii="方正仿宋_GBK" w:hAnsi="Arial" w:cs="Times New Roman"/>
                <w:kern w:val="0"/>
                <w:sz w:val="21"/>
                <w:szCs w:val="21"/>
              </w:rPr>
              <w:t>调度室</w:t>
            </w:r>
          </w:p>
        </w:tc>
        <w:tc>
          <w:tcPr>
            <w:tcW w:w="1327" w:type="dxa"/>
            <w:vAlign w:val="center"/>
          </w:tcPr>
          <w:p>
            <w:pPr>
              <w:adjustRightInd w:val="0"/>
              <w:snapToGrid w:val="0"/>
              <w:jc w:val="center"/>
              <w:rPr>
                <w:rFonts w:ascii="方正仿宋_GBK"/>
                <w:sz w:val="21"/>
                <w:szCs w:val="21"/>
              </w:rPr>
            </w:pPr>
            <w:r>
              <w:rPr>
                <w:rFonts w:ascii="方正仿宋_GBK"/>
                <w:sz w:val="21"/>
                <w:szCs w:val="21"/>
              </w:rPr>
              <w:t>67658149</w:t>
            </w:r>
          </w:p>
        </w:tc>
      </w:tr>
    </w:tbl>
    <w:p>
      <w:pPr>
        <w:pStyle w:val="45"/>
        <w:ind w:firstLine="632" w:firstLineChars="200"/>
        <w:jc w:val="both"/>
        <w:rPr>
          <w:rFonts w:ascii="方正仿宋_GBK"/>
          <w:sz w:val="32"/>
          <w:szCs w:val="32"/>
        </w:rPr>
      </w:pP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4" w:name="_Toc119854421"/>
      <w:r>
        <w:rPr>
          <w:rFonts w:ascii="方正楷体_GBK" w:hAnsi="方正楷体_GBK" w:eastAsia="方正楷体_GBK" w:cs="方正楷体_GBK"/>
          <w:b w:val="0"/>
          <w:bCs w:val="0"/>
        </w:rPr>
        <w:t>8</w:t>
      </w:r>
      <w:r>
        <w:rPr>
          <w:rFonts w:hint="eastAsia" w:ascii="方正楷体_GBK" w:hAnsi="方正楷体_GBK" w:eastAsia="方正楷体_GBK" w:cs="方正楷体_GBK"/>
          <w:b w:val="0"/>
          <w:bCs w:val="0"/>
        </w:rPr>
        <w:t>.4  江北区各油气管道运营企业应急物资储备</w:t>
      </w:r>
      <w:bookmarkEnd w:id="54"/>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表8.4-1  中国航油重庆分公司应急物资储备汇总表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47"/>
        <w:gridCol w:w="2590"/>
        <w:gridCol w:w="2240"/>
        <w:gridCol w:w="113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99"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序号</w:t>
            </w:r>
          </w:p>
        </w:tc>
        <w:tc>
          <w:tcPr>
            <w:tcW w:w="1247"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物资分类</w:t>
            </w:r>
          </w:p>
        </w:tc>
        <w:tc>
          <w:tcPr>
            <w:tcW w:w="2590"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物资名称及数量</w:t>
            </w:r>
          </w:p>
        </w:tc>
        <w:tc>
          <w:tcPr>
            <w:tcW w:w="2240"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规格型号</w:t>
            </w:r>
          </w:p>
        </w:tc>
        <w:tc>
          <w:tcPr>
            <w:tcW w:w="1134"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放置地点</w:t>
            </w:r>
          </w:p>
        </w:tc>
        <w:tc>
          <w:tcPr>
            <w:tcW w:w="935"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w:t>
            </w:r>
          </w:p>
        </w:tc>
        <w:tc>
          <w:tcPr>
            <w:tcW w:w="1247" w:type="dxa"/>
            <w:vAlign w:val="center"/>
          </w:tcPr>
          <w:p>
            <w:pPr>
              <w:adjustRightInd w:val="0"/>
              <w:snapToGrid w:val="0"/>
              <w:jc w:val="center"/>
              <w:rPr>
                <w:sz w:val="21"/>
                <w:szCs w:val="21"/>
              </w:rPr>
            </w:pPr>
            <w:r>
              <w:rPr>
                <w:rFonts w:hint="eastAsia"/>
                <w:sz w:val="21"/>
                <w:szCs w:val="21"/>
              </w:rPr>
              <w:t>应急装备</w:t>
            </w:r>
          </w:p>
        </w:tc>
        <w:tc>
          <w:tcPr>
            <w:tcW w:w="2590" w:type="dxa"/>
            <w:vAlign w:val="center"/>
          </w:tcPr>
          <w:p>
            <w:pPr>
              <w:adjustRightInd w:val="0"/>
              <w:snapToGrid w:val="0"/>
              <w:jc w:val="center"/>
              <w:rPr>
                <w:sz w:val="21"/>
                <w:szCs w:val="21"/>
              </w:rPr>
            </w:pPr>
            <w:r>
              <w:rPr>
                <w:rFonts w:hint="eastAsia"/>
                <w:sz w:val="21"/>
                <w:szCs w:val="21"/>
              </w:rPr>
              <w:t>手摇泵（2台）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2H-100A、ZH-50型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油盆（5个）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400mm×800mm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塑料油桶（9个）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20L</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漏斗（8个）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收油桶（6个）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200L</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喷雾器(2个)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30L</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抬杠(7根)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抬绳（5根）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千斤顶（1个）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5T</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铁丝（8/10号）（各2卷）</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梅花起子（3把）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cs="Calibri Light"/>
                <w:sz w:val="21"/>
                <w:szCs w:val="21"/>
              </w:rPr>
            </w:pPr>
            <w:r>
              <w:rPr>
                <w:rFonts w:hint="eastAsia" w:ascii="方正仿宋_GBK" w:hAnsi="宋体"/>
                <w:sz w:val="21"/>
                <w:szCs w:val="21"/>
              </w:rPr>
              <w:t>平口起子（3把）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PVC胶管（75）（20根）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5cm-20cm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PVC(75)弯头（20个）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PVC(75)短接（20个）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PVC胶管连接胶水（1听）</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0.5L</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塑料薄膜（无）</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3m×100m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十字镐（2把）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锄头（4把）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铁铲（4把）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铝瓢（1个）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不锈钢</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箩筐（2个）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防爆器材</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防爆电动泵（1台）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功率1.5KW</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电源接线盘（2盘）</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夹钳（2把）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防爆器材</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油泵耐油胶管（2圈）</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消防器材</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灭火瓶（4个）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消防器材</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灭火瓶（2个）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大倍弯(9个）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大倍弯（5个）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安全帽（36顶）</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雨衣（17件）</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XX2</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救灾帐篷（2套）</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600×450×400mm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棉被（3床）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150mm×200mm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棉大衣（10件）</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KG0.09M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简易床（4张）</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2m×0.8m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沙滩椅（4把）</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帆布手套（70付）</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39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棉手套（20付）</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尖锹（5把）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420×240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方锹（5把）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418×240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八角锤（2个）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1.80kg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斧子（2把）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0.7</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镐头（2把）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双头开桶扳手（2个）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350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尖撬棍（2根）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30×1000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油壶（2个）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防爆簸箕（2个）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200×200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49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救助设备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应急推车（2个）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1.10m×0.6m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铁皮收油</w:t>
            </w:r>
          </w:p>
          <w:p>
            <w:pPr>
              <w:adjustRightInd w:val="0"/>
              <w:snapToGrid w:val="0"/>
              <w:jc w:val="center"/>
              <w:rPr>
                <w:rFonts w:ascii="方正仿宋_GBK" w:hAnsi="宋体"/>
                <w:sz w:val="21"/>
                <w:szCs w:val="21"/>
              </w:rPr>
            </w:pPr>
            <w:r>
              <w:rPr>
                <w:rFonts w:hint="eastAsia" w:ascii="方正仿宋_GBK" w:hAnsi="宋体"/>
                <w:sz w:val="21"/>
                <w:szCs w:val="21"/>
              </w:rPr>
              <w:t>（20L3个）（3OL2个）</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巡查雨伞（3把）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90cm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巡查用帆布背心（7件）</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救助设备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安全保险绳（7根）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救助设备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便捷式急救箱</w:t>
            </w:r>
          </w:p>
          <w:p>
            <w:pPr>
              <w:adjustRightInd w:val="0"/>
              <w:snapToGrid w:val="0"/>
              <w:jc w:val="center"/>
              <w:rPr>
                <w:rFonts w:ascii="方正仿宋_GBK" w:hAnsi="宋体"/>
                <w:sz w:val="21"/>
                <w:szCs w:val="21"/>
              </w:rPr>
            </w:pPr>
            <w:r>
              <w:rPr>
                <w:rFonts w:hint="eastAsia" w:ascii="方正仿宋_GBK" w:hAnsi="宋体"/>
                <w:sz w:val="21"/>
                <w:szCs w:val="21"/>
              </w:rPr>
              <w:t>（1个）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40cm×20cm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手喷油漆（4箱）</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3色</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扫把（2把）</w:t>
            </w:r>
          </w:p>
        </w:tc>
        <w:tc>
          <w:tcPr>
            <w:tcW w:w="2240" w:type="dxa"/>
            <w:vAlign w:val="center"/>
          </w:tcPr>
          <w:p>
            <w:pPr>
              <w:adjustRightInd w:val="0"/>
              <w:snapToGrid w:val="0"/>
              <w:jc w:val="center"/>
              <w:rPr>
                <w:rFonts w:ascii="方正仿宋_GBK" w:hAnsi="宋体"/>
                <w:sz w:val="21"/>
                <w:szCs w:val="21"/>
              </w:rPr>
            </w:pP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毛巾（40条）</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收油存储设备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软体油罐（2套）</w:t>
            </w:r>
          </w:p>
        </w:tc>
        <w:tc>
          <w:tcPr>
            <w:tcW w:w="2240" w:type="dxa"/>
            <w:vAlign w:val="center"/>
          </w:tcPr>
          <w:p>
            <w:pPr>
              <w:adjustRightInd w:val="0"/>
              <w:snapToGrid w:val="0"/>
              <w:jc w:val="center"/>
              <w:rPr>
                <w:rFonts w:ascii="方正仿宋_GBK" w:hAnsi="宋体" w:cs="Calibri Light"/>
                <w:sz w:val="21"/>
                <w:szCs w:val="21"/>
              </w:rPr>
            </w:pPr>
            <w:r>
              <w:rPr>
                <w:rFonts w:hint="eastAsia" w:ascii="方正仿宋_GBK" w:hAnsi="宋体" w:cs="Calibri Light"/>
                <w:sz w:val="21"/>
                <w:szCs w:val="21"/>
              </w:rPr>
              <w:t>5m</w:t>
            </w:r>
            <w:r>
              <w:rPr>
                <w:rFonts w:hint="eastAsia" w:ascii="方正仿宋_GBK" w:hAnsi="宋体" w:cs="Calibri Light"/>
                <w:sz w:val="21"/>
                <w:szCs w:val="21"/>
                <w:vertAlign w:val="superscript"/>
              </w:rPr>
              <w:t>3</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应急跳板（60块）</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2.5×0.3m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应急沙袋（100袋）</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安全警戒带（21盘）</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0.05m×125m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消防器材</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灭火毯（8个）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1.0m×1.0m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小塑料凳（6根）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28cm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大塑料凳（13根）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55cm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溢油分散剂（29桶）</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20kg/桶</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防毒组合（5个）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6200＋6001防毒组合</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耐油手套（27双）</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37-175手套-9</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三防滑雨鞋（14双）</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901三防靴</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69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电风扇（1台）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应急抢险用1台</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草帽（16个）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应急抢险用16个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遮阳伞(2把)</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应急抢险用1个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白色毛巾(80条)</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应急抢险用</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移动折叠凳8根</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应急抢险用</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呼吸机（2台）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VOLER电动送风长管呼吸机</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红外线测距仪</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一台</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柴油发电机一台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YAMAHAYS型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手提式防爆探照灯</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立式防爆探照灯</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二个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79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XP_302M_A型</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防爆工具</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EB8011/EBT002</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二十个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lang w:eastAsia="zh-CN"/>
              </w:rPr>
              <w:t>砂轮</w:t>
            </w:r>
            <w:bookmarkStart w:id="57" w:name="_GoBack"/>
            <w:bookmarkEnd w:id="57"/>
            <w:r>
              <w:rPr>
                <w:rFonts w:hint="eastAsia" w:ascii="方正仿宋_GBK" w:hAnsi="宋体"/>
                <w:sz w:val="21"/>
                <w:szCs w:val="21"/>
              </w:rPr>
              <w:t>机</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油锯</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一台</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充电电钻</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电动工具组合</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电工工具包</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一套</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石棉垫片</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6个（一套）</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吸油毡</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16包（10kg）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机坪地井筒</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两个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89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地面拖布</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10把</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叉车</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一台</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电缆线3X4</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3圈(100m)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蒸发式冷风机（1台）</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30MDX50MM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变径快速接头</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应急抢险输油备用管道</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长12m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二库</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应急抢险输油备用管道</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长12m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二库</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便携式野外帐篷室内办公桌</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80cm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野外帐篷室内灯具</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200W</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便携式交直流电源</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w:t>
            </w:r>
            <w:r>
              <w:rPr>
                <w:rFonts w:ascii="方正仿宋_GBK" w:hAnsi="宋体"/>
                <w:sz w:val="21"/>
                <w:szCs w:val="21"/>
              </w:rPr>
              <w:t>k</w:t>
            </w:r>
            <w:r>
              <w:rPr>
                <w:rFonts w:hint="eastAsia" w:ascii="方正仿宋_GBK" w:hAnsi="宋体"/>
                <w:sz w:val="21"/>
                <w:szCs w:val="21"/>
              </w:rPr>
              <w:t>W</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99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充气灯柱:升高5米</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5m高</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SUB80-35/40轻油滑片抽油泵</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50口径</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ZS硬盘刷转盘式收油机</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真空罐/过滤器</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widowControl/>
              <w:adjustRightInd w:val="0"/>
              <w:snapToGrid w:val="0"/>
              <w:jc w:val="center"/>
              <w:textAlignment w:val="bottom"/>
              <w:rPr>
                <w:rFonts w:ascii="方正仿宋_GBK" w:hAnsi="宋体"/>
                <w:sz w:val="21"/>
                <w:szCs w:val="21"/>
              </w:rPr>
            </w:pPr>
            <w:r>
              <w:rPr>
                <w:rFonts w:hint="eastAsia" w:ascii="方正仿宋_GBK" w:hAnsi="宋体" w:cs="BatangChe"/>
                <w:sz w:val="21"/>
                <w:szCs w:val="21"/>
              </w:rPr>
              <w:t>防腐层检测仪 雷迪DM</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管道检测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widowControl/>
              <w:adjustRightInd w:val="0"/>
              <w:snapToGrid w:val="0"/>
              <w:jc w:val="center"/>
              <w:textAlignment w:val="bottom"/>
              <w:rPr>
                <w:rFonts w:ascii="方正仿宋_GBK" w:hAnsi="宋体"/>
                <w:sz w:val="21"/>
                <w:szCs w:val="21"/>
              </w:rPr>
            </w:pPr>
            <w:r>
              <w:rPr>
                <w:rFonts w:hint="eastAsia" w:ascii="方正仿宋_GBK" w:hAnsi="宋体" w:cs="BatangChe"/>
                <w:sz w:val="21"/>
                <w:szCs w:val="21"/>
              </w:rPr>
              <w:t>管线定位探测仪 LD6000</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管道检测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应急装备</w:t>
            </w:r>
          </w:p>
        </w:tc>
        <w:tc>
          <w:tcPr>
            <w:tcW w:w="2590" w:type="dxa"/>
            <w:vAlign w:val="center"/>
          </w:tcPr>
          <w:p>
            <w:pPr>
              <w:widowControl/>
              <w:adjustRightInd w:val="0"/>
              <w:snapToGrid w:val="0"/>
              <w:jc w:val="center"/>
              <w:textAlignment w:val="bottom"/>
              <w:rPr>
                <w:rFonts w:ascii="方正仿宋_GBK" w:hAnsi="宋体"/>
                <w:sz w:val="21"/>
                <w:szCs w:val="21"/>
              </w:rPr>
            </w:pPr>
            <w:r>
              <w:rPr>
                <w:rFonts w:hint="eastAsia" w:ascii="方正仿宋_GBK" w:hAnsi="宋体" w:cs="BatangChe"/>
                <w:sz w:val="21"/>
                <w:szCs w:val="21"/>
              </w:rPr>
              <w:t>防腐层探测仪 DM</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管道检测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防化服</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三套</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EB8012手持式聚光探射灯</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二套</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免维护帽/配工作灯</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EB7010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彩条篷布</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型号一包</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109</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便携式担架</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2付</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110</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防汛沙袋</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25*70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111</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球阀、对接</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65寸</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112</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床垫</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113</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油漆</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3kg</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114</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锁</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U型锁</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115</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防火星罩</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中号</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116</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钢卷尺</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5m</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117</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拦油吸附索</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12.7*300</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118</w:t>
            </w:r>
          </w:p>
        </w:tc>
        <w:tc>
          <w:tcPr>
            <w:tcW w:w="1247"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应急物资</w:t>
            </w:r>
          </w:p>
        </w:tc>
        <w:tc>
          <w:tcPr>
            <w:tcW w:w="259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木制堵漏楔</w:t>
            </w:r>
          </w:p>
        </w:tc>
        <w:tc>
          <w:tcPr>
            <w:tcW w:w="224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方楔型、圆台型</w:t>
            </w:r>
          </w:p>
        </w:tc>
        <w:tc>
          <w:tcPr>
            <w:tcW w:w="1134"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应急库房</w:t>
            </w:r>
          </w:p>
        </w:tc>
        <w:tc>
          <w:tcPr>
            <w:tcW w:w="935"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陈明友</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表8.4-2  重庆燃气集团输配分公司主要装备清单</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7"/>
        <w:gridCol w:w="1733"/>
        <w:gridCol w:w="1871"/>
        <w:gridCol w:w="964"/>
        <w:gridCol w:w="1559"/>
        <w:gridCol w:w="850"/>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blHeader/>
          <w:jc w:val="center"/>
        </w:trPr>
        <w:tc>
          <w:tcPr>
            <w:tcW w:w="507" w:type="dxa"/>
            <w:vAlign w:val="center"/>
          </w:tcPr>
          <w:p>
            <w:pPr>
              <w:adjustRightInd w:val="0"/>
              <w:snapToGrid w:val="0"/>
              <w:spacing w:line="280" w:lineRule="exact"/>
              <w:jc w:val="center"/>
              <w:rPr>
                <w:rFonts w:ascii="方正仿宋_GBK" w:hAnsi="宋体" w:cs="宋体"/>
                <w:b/>
                <w:sz w:val="21"/>
                <w:szCs w:val="21"/>
              </w:rPr>
            </w:pPr>
            <w:r>
              <w:rPr>
                <w:rFonts w:hint="eastAsia" w:ascii="方正仿宋_GBK" w:hAnsi="宋体" w:cs="宋体"/>
                <w:b/>
                <w:sz w:val="21"/>
                <w:szCs w:val="21"/>
              </w:rPr>
              <w:t>序号</w:t>
            </w:r>
          </w:p>
        </w:tc>
        <w:tc>
          <w:tcPr>
            <w:tcW w:w="1733"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物资名称</w:t>
            </w:r>
          </w:p>
        </w:tc>
        <w:tc>
          <w:tcPr>
            <w:tcW w:w="1871"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型号</w:t>
            </w:r>
          </w:p>
        </w:tc>
        <w:tc>
          <w:tcPr>
            <w:tcW w:w="964"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数量</w:t>
            </w:r>
          </w:p>
        </w:tc>
        <w:tc>
          <w:tcPr>
            <w:tcW w:w="1559"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储备地点</w:t>
            </w:r>
          </w:p>
        </w:tc>
        <w:tc>
          <w:tcPr>
            <w:tcW w:w="850"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联系人</w:t>
            </w:r>
          </w:p>
        </w:tc>
        <w:tc>
          <w:tcPr>
            <w:tcW w:w="1361" w:type="dxa"/>
            <w:vAlign w:val="center"/>
          </w:tcPr>
          <w:p>
            <w:pPr>
              <w:adjustRightInd w:val="0"/>
              <w:snapToGrid w:val="0"/>
              <w:spacing w:line="280" w:lineRule="exact"/>
              <w:jc w:val="center"/>
              <w:rPr>
                <w:rFonts w:ascii="方正仿宋_GBK" w:hAnsi="宋体"/>
                <w:b/>
                <w:sz w:val="21"/>
                <w:szCs w:val="21"/>
              </w:rPr>
            </w:pPr>
            <w:r>
              <w:rPr>
                <w:rFonts w:hint="eastAsia" w:ascii="方正仿宋_GBK" w:hAnsi="宋体"/>
                <w:b/>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车载式天然气泄漏报警系统</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美国HEATH OMD 德国 ESDERS EGC 瑞士PERGAM SLMA</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3台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手持式低浓度甲烷检测仪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 ESDERS VOBLL GAS</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4台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手持式高浓度甲烷检测仪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美国SSG</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4台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手持式全量程甲烷检测仪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 ESDERS SIGI EX</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5</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埋地管线探管仪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英国雷迪</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6</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便携式乙烷色谱分析仪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 SAFE 美国SENSIT IRED</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7</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便携式激光甲烷遥距检测仪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美国RMLD 中国SERIES L1</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3台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8</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手持式可燃气体泄漏和压力检测仪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德国ESDERS LECKMIO</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9</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手持式有毒有害复合气体检测仪</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美国COMMAND</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无人机载激光甲烷检测系统</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中国埃尔法U10</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袁 昕</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13808342223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路面钻孔机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德国BLDZ</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电镐</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GSH27</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绝缘探孔棒</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美国HEATH PLUNGER</w:t>
            </w:r>
          </w:p>
          <w:p>
            <w:pPr>
              <w:adjustRightInd w:val="0"/>
              <w:snapToGrid w:val="0"/>
              <w:jc w:val="center"/>
              <w:rPr>
                <w:rFonts w:ascii="方正仿宋_GBK" w:hAnsi="宋体"/>
                <w:sz w:val="21"/>
                <w:szCs w:val="21"/>
              </w:rPr>
            </w:pPr>
            <w:r>
              <w:rPr>
                <w:rFonts w:hint="eastAsia" w:ascii="方正仿宋_GBK" w:hAnsi="宋体"/>
                <w:sz w:val="21"/>
                <w:szCs w:val="21"/>
              </w:rPr>
              <w:t>德国ESDERS</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2根</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14</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真空吸气泵</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德国ESDERS VK</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空气呼吸器</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重庆莱福RHZKF6.8</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16</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移动照明</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EC2500CX</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17</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遥控探照灯</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YFW6211</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防爆对讲机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特异通</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19</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带压堵漏应急包</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天津江达扬升4件套</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1套</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直流电焊机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国产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21</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内燃弧焊机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AXQ1-200</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4台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22</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汽油发电机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本田、雅马哈</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3台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23</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水泵（抽水机）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本田</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24</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防爆风机</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国产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4台</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管道公司库房</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邓良中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25</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D711*11.9L415M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中心库3区17-18号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26</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610*10.3 L415</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中心库3区1号9支C库七区一号位9支</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27</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D610*16  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中心库3区9-10号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28</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D529*9.5L360M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中心库3区10-11号9支 C库七区一号位8支</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29</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D508*9.5L415M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中心库3区16-17号3支C库七区一号位2支</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30</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3PE直缝钢管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D711*11.9L415M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200m</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中心库3区2号3支C库七区一号位10支</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31</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热煨弯管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711*12.5 D 90°L415M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2个（中心库3区19号）3个（C库5区2号）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32</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热煨弯管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610*14.3 6D 90°L415</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中心库3区20号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33</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热煨弯管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529*9.5 5D 90°L360M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中心库3区20号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34</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热煨弯管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508*11 5D  0°L415M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中心库3区21号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35</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热煨弯管</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508*10 5D 90°L360M</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6个</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中心库3区22号</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 旭</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13635436076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36</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轿车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秦绍波</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37</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多功能车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陈渝波</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38</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多功能车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成定忠</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13883583570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39</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多功能车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钱  非</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13883589729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40</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工程车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1.25吨</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程礼明</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41</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燃气检测车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邓吉波</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13708364530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42</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燃气检测车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董继仁</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18983042781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43</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工程车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贺  毅</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44</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工程车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8座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刘祥德</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13983372266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45</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多功能车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张志武</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13508348997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46</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燃气检测车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李岸洲</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17783593057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47</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工程车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1.43吨</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杨  忠</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13996386889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48</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抢险作业车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4.5吨</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徐树平</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507" w:type="dxa"/>
            <w:vAlign w:val="center"/>
          </w:tcPr>
          <w:p>
            <w:pPr>
              <w:adjustRightInd w:val="0"/>
              <w:snapToGrid w:val="0"/>
              <w:jc w:val="center"/>
              <w:rPr>
                <w:rFonts w:ascii="方正仿宋_GBK" w:hAnsi="宋体"/>
                <w:sz w:val="21"/>
                <w:szCs w:val="21"/>
              </w:rPr>
            </w:pPr>
            <w:r>
              <w:rPr>
                <w:rFonts w:hint="eastAsia" w:ascii="方正仿宋_GBK" w:hAnsi="宋体"/>
                <w:sz w:val="21"/>
                <w:szCs w:val="21"/>
              </w:rPr>
              <w:t>49</w:t>
            </w:r>
          </w:p>
        </w:tc>
        <w:tc>
          <w:tcPr>
            <w:tcW w:w="1733" w:type="dxa"/>
            <w:vAlign w:val="center"/>
          </w:tcPr>
          <w:p>
            <w:pPr>
              <w:adjustRightInd w:val="0"/>
              <w:snapToGrid w:val="0"/>
              <w:jc w:val="center"/>
              <w:rPr>
                <w:rFonts w:ascii="方正仿宋_GBK" w:hAnsi="宋体"/>
                <w:sz w:val="21"/>
                <w:szCs w:val="21"/>
              </w:rPr>
            </w:pPr>
            <w:r>
              <w:rPr>
                <w:rFonts w:hint="eastAsia" w:ascii="方正仿宋_GBK" w:hAnsi="宋体"/>
                <w:sz w:val="21"/>
                <w:szCs w:val="21"/>
              </w:rPr>
              <w:t>多功能车</w:t>
            </w:r>
          </w:p>
        </w:tc>
        <w:tc>
          <w:tcPr>
            <w:tcW w:w="1871" w:type="dxa"/>
            <w:vAlign w:val="center"/>
          </w:tcPr>
          <w:p>
            <w:pPr>
              <w:adjustRightInd w:val="0"/>
              <w:snapToGrid w:val="0"/>
              <w:jc w:val="center"/>
              <w:rPr>
                <w:rFonts w:ascii="方正仿宋_GBK" w:hAnsi="宋体"/>
                <w:sz w:val="21"/>
                <w:szCs w:val="21"/>
              </w:rPr>
            </w:pPr>
            <w:r>
              <w:rPr>
                <w:rFonts w:hint="eastAsia" w:ascii="方正仿宋_GBK" w:hAnsi="宋体"/>
                <w:sz w:val="21"/>
                <w:szCs w:val="21"/>
              </w:rPr>
              <w:t>7座</w:t>
            </w:r>
          </w:p>
        </w:tc>
        <w:tc>
          <w:tcPr>
            <w:tcW w:w="964"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1辆</w:t>
            </w:r>
          </w:p>
        </w:tc>
        <w:tc>
          <w:tcPr>
            <w:tcW w:w="155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管道公司停车区</w:t>
            </w:r>
          </w:p>
        </w:tc>
        <w:tc>
          <w:tcPr>
            <w:tcW w:w="850" w:type="dxa"/>
            <w:vAlign w:val="center"/>
          </w:tcPr>
          <w:p>
            <w:pPr>
              <w:adjustRightInd w:val="0"/>
              <w:snapToGrid w:val="0"/>
              <w:jc w:val="center"/>
              <w:rPr>
                <w:rFonts w:ascii="方正仿宋_GBK" w:hAnsi="宋体"/>
                <w:sz w:val="21"/>
                <w:szCs w:val="21"/>
              </w:rPr>
            </w:pPr>
            <w:r>
              <w:rPr>
                <w:rFonts w:hint="eastAsia" w:ascii="方正仿宋_GBK" w:hAnsi="宋体"/>
                <w:sz w:val="21"/>
                <w:szCs w:val="21"/>
              </w:rPr>
              <w:t>田万堂</w:t>
            </w:r>
          </w:p>
        </w:tc>
        <w:tc>
          <w:tcPr>
            <w:tcW w:w="1361"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15902342967</w:t>
            </w:r>
          </w:p>
        </w:tc>
      </w:tr>
    </w:tbl>
    <w:p>
      <w:pPr>
        <w:pStyle w:val="45"/>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表8.4-3  重庆气矿江北天然气运销部应急物资清单</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8"/>
        <w:gridCol w:w="2409"/>
        <w:gridCol w:w="1276"/>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93"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序号</w:t>
            </w:r>
          </w:p>
        </w:tc>
        <w:tc>
          <w:tcPr>
            <w:tcW w:w="2268"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设备、器材名称</w:t>
            </w:r>
          </w:p>
        </w:tc>
        <w:tc>
          <w:tcPr>
            <w:tcW w:w="2409"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规格型号</w:t>
            </w:r>
          </w:p>
        </w:tc>
        <w:tc>
          <w:tcPr>
            <w:tcW w:w="1276"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数量</w:t>
            </w:r>
          </w:p>
        </w:tc>
        <w:tc>
          <w:tcPr>
            <w:tcW w:w="1899" w:type="dxa"/>
            <w:vAlign w:val="center"/>
          </w:tcPr>
          <w:p>
            <w:pPr>
              <w:adjustRightInd w:val="0"/>
              <w:snapToGrid w:val="0"/>
              <w:jc w:val="center"/>
              <w:rPr>
                <w:rFonts w:ascii="方正仿宋_GBK" w:hAnsi="宋体"/>
                <w:b/>
                <w:sz w:val="21"/>
                <w:szCs w:val="21"/>
              </w:rPr>
            </w:pPr>
            <w:r>
              <w:rPr>
                <w:rFonts w:hint="eastAsia" w:ascii="方正仿宋_GBK" w:hAnsi="宋体"/>
                <w:b/>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空气呼吸器</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T8000</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6套</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可燃气体检测仪</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Gas-pro</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3</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空气充气泵</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JUNIOR Ⅱ型</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4</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空气充气泵</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JUNIOR-100型</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5</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防爆泛光工作灯</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FW6100GF</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3个</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6</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潜水泵</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WQD6-16-0.75</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3台</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7</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干粉灭火器</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MFZ8</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4具</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8</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强光防爆方位灯</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SFW6110</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1套</w:t>
            </w:r>
          </w:p>
        </w:tc>
        <w:tc>
          <w:tcPr>
            <w:tcW w:w="18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自带发电机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9</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汽油发电电焊机</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AXQ1-300-OHV2V</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1台</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10</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胶布充气艇</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Q／CJX30－2000</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1艘</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11</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拉绳</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2根</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12</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保险绳</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4根</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13</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安全带</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1付</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14</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帆布伞</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1把</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15</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水鞋</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5双</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16</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安全帽</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20个</w:t>
            </w:r>
          </w:p>
        </w:tc>
        <w:tc>
          <w:tcPr>
            <w:tcW w:w="18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红10白5蓝5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17</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雨衣</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18件</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18</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救生衣</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7件</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29</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防护眼罩</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6付</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20</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防洪沙袋</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50个</w:t>
            </w: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防洪沙袋</w:t>
            </w:r>
          </w:p>
        </w:tc>
        <w:tc>
          <w:tcPr>
            <w:tcW w:w="18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21</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安全警示带</w:t>
            </w:r>
          </w:p>
        </w:tc>
        <w:tc>
          <w:tcPr>
            <w:tcW w:w="2409" w:type="dxa"/>
            <w:vAlign w:val="center"/>
          </w:tcPr>
          <w:p>
            <w:pPr>
              <w:adjustRightInd w:val="0"/>
              <w:snapToGrid w:val="0"/>
              <w:jc w:val="center"/>
              <w:rPr>
                <w:rFonts w:ascii="方正仿宋_GBK" w:hAnsi="宋体"/>
                <w:sz w:val="21"/>
                <w:szCs w:val="21"/>
              </w:rPr>
            </w:pPr>
          </w:p>
        </w:tc>
        <w:tc>
          <w:tcPr>
            <w:tcW w:w="1276" w:type="dxa"/>
            <w:vAlign w:val="center"/>
          </w:tcPr>
          <w:p>
            <w:pPr>
              <w:adjustRightInd w:val="0"/>
              <w:snapToGrid w:val="0"/>
              <w:jc w:val="center"/>
              <w:rPr>
                <w:rFonts w:ascii="方正仿宋_GBK" w:hAnsi="宋体"/>
                <w:sz w:val="21"/>
                <w:szCs w:val="21"/>
              </w:rPr>
            </w:pPr>
            <w:r>
              <w:rPr>
                <w:rFonts w:hint="eastAsia" w:ascii="方正仿宋_GBK" w:hAnsi="宋体"/>
                <w:sz w:val="21"/>
                <w:szCs w:val="21"/>
              </w:rPr>
              <w:t>1盒</w:t>
            </w:r>
          </w:p>
        </w:tc>
        <w:tc>
          <w:tcPr>
            <w:tcW w:w="1899" w:type="dxa"/>
            <w:vAlign w:val="center"/>
          </w:tcPr>
          <w:p>
            <w:pPr>
              <w:adjustRightInd w:val="0"/>
              <w:snapToGrid w:val="0"/>
              <w:jc w:val="center"/>
              <w:rPr>
                <w:rFonts w:ascii="方正仿宋_GBK"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22</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应急抢险车</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276" w:type="dxa"/>
            <w:vAlign w:val="center"/>
          </w:tcPr>
          <w:p>
            <w:pPr>
              <w:adjustRightInd w:val="0"/>
              <w:snapToGrid w:val="0"/>
              <w:jc w:val="center"/>
              <w:rPr>
                <w:rFonts w:ascii="方正仿宋_GBK" w:hAnsi="宋体"/>
                <w:sz w:val="21"/>
                <w:szCs w:val="21"/>
              </w:rPr>
            </w:pPr>
          </w:p>
        </w:tc>
        <w:tc>
          <w:tcPr>
            <w:tcW w:w="18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应急抢险车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3" w:type="dxa"/>
            <w:vAlign w:val="center"/>
          </w:tcPr>
          <w:p>
            <w:pPr>
              <w:adjustRightInd w:val="0"/>
              <w:snapToGrid w:val="0"/>
              <w:jc w:val="center"/>
              <w:rPr>
                <w:rFonts w:ascii="方正仿宋_GBK" w:hAnsi="宋体"/>
                <w:sz w:val="21"/>
                <w:szCs w:val="21"/>
              </w:rPr>
            </w:pPr>
            <w:r>
              <w:rPr>
                <w:rFonts w:hint="eastAsia" w:ascii="方正仿宋_GBK" w:hAnsi="宋体"/>
                <w:sz w:val="21"/>
                <w:szCs w:val="21"/>
              </w:rPr>
              <w:t>23</w:t>
            </w:r>
          </w:p>
        </w:tc>
        <w:tc>
          <w:tcPr>
            <w:tcW w:w="2268"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防爆排风扇</w:t>
            </w:r>
          </w:p>
        </w:tc>
        <w:tc>
          <w:tcPr>
            <w:tcW w:w="2409" w:type="dxa"/>
            <w:vAlign w:val="center"/>
          </w:tcPr>
          <w:p>
            <w:pPr>
              <w:adjustRightInd w:val="0"/>
              <w:snapToGrid w:val="0"/>
              <w:jc w:val="center"/>
              <w:rPr>
                <w:rFonts w:ascii="方正仿宋_GBK" w:hAnsi="宋体"/>
                <w:sz w:val="21"/>
                <w:szCs w:val="21"/>
              </w:rPr>
            </w:pPr>
            <w:r>
              <w:rPr>
                <w:rFonts w:hint="eastAsia" w:ascii="方正仿宋_GBK" w:hAnsi="宋体"/>
                <w:sz w:val="21"/>
                <w:szCs w:val="21"/>
              </w:rPr>
              <w:t>2台</w:t>
            </w:r>
          </w:p>
        </w:tc>
        <w:tc>
          <w:tcPr>
            <w:tcW w:w="1276" w:type="dxa"/>
            <w:vAlign w:val="center"/>
          </w:tcPr>
          <w:p>
            <w:pPr>
              <w:adjustRightInd w:val="0"/>
              <w:snapToGrid w:val="0"/>
              <w:jc w:val="center"/>
              <w:rPr>
                <w:rFonts w:ascii="方正仿宋_GBK" w:hAnsi="宋体"/>
                <w:sz w:val="21"/>
                <w:szCs w:val="21"/>
              </w:rPr>
            </w:pPr>
          </w:p>
        </w:tc>
        <w:tc>
          <w:tcPr>
            <w:tcW w:w="1899" w:type="dxa"/>
            <w:vAlign w:val="center"/>
          </w:tcPr>
          <w:p>
            <w:pPr>
              <w:adjustRightInd w:val="0"/>
              <w:snapToGrid w:val="0"/>
              <w:jc w:val="center"/>
              <w:rPr>
                <w:rFonts w:ascii="方正仿宋_GBK" w:hAnsi="宋体"/>
                <w:sz w:val="21"/>
                <w:szCs w:val="21"/>
              </w:rPr>
            </w:pPr>
            <w:r>
              <w:rPr>
                <w:rFonts w:hint="eastAsia" w:ascii="方正仿宋_GBK" w:hAnsi="宋体"/>
                <w:sz w:val="21"/>
                <w:szCs w:val="21"/>
              </w:rPr>
              <w:t>防爆排风扇</w:t>
            </w:r>
          </w:p>
        </w:tc>
      </w:tr>
    </w:tbl>
    <w:p>
      <w:pPr>
        <w:pStyle w:val="45"/>
        <w:ind w:firstLine="632" w:firstLineChars="200"/>
        <w:jc w:val="both"/>
        <w:rPr>
          <w:rFonts w:ascii="方正仿宋_GBK"/>
          <w:sz w:val="32"/>
          <w:szCs w:val="32"/>
        </w:rPr>
      </w:pPr>
    </w:p>
    <w:p>
      <w:pPr>
        <w:pStyle w:val="5"/>
        <w:adjustRightInd w:val="0"/>
        <w:snapToGrid w:val="0"/>
        <w:spacing w:before="0" w:after="0" w:line="240" w:lineRule="auto"/>
        <w:ind w:firstLine="632" w:firstLineChars="200"/>
        <w:rPr>
          <w:rFonts w:ascii="方正楷体_GBK" w:hAnsi="方正楷体_GBK" w:eastAsia="方正楷体_GBK" w:cs="方正楷体_GBK"/>
          <w:b w:val="0"/>
          <w:bCs w:val="0"/>
        </w:rPr>
      </w:pPr>
      <w:bookmarkStart w:id="55" w:name="_Toc119854422"/>
      <w:r>
        <w:rPr>
          <w:rFonts w:hint="eastAsia" w:ascii="方正楷体_GBK" w:hAnsi="方正楷体_GBK" w:eastAsia="方正楷体_GBK" w:cs="方正楷体_GBK"/>
          <w:b w:val="0"/>
          <w:bCs w:val="0"/>
        </w:rPr>
        <w:t>8.</w:t>
      </w:r>
      <w:r>
        <w:rPr>
          <w:rFonts w:ascii="方正楷体_GBK" w:hAnsi="方正楷体_GBK" w:eastAsia="方正楷体_GBK" w:cs="方正楷体_GBK"/>
          <w:b w:val="0"/>
          <w:bCs w:val="0"/>
        </w:rPr>
        <w:t>5</w:t>
      </w:r>
      <w:r>
        <w:rPr>
          <w:rFonts w:hint="eastAsia" w:ascii="方正楷体_GBK" w:hAnsi="方正楷体_GBK" w:eastAsia="方正楷体_GBK" w:cs="方正楷体_GBK"/>
          <w:b w:val="0"/>
          <w:bCs w:val="0"/>
        </w:rPr>
        <w:t xml:space="preserve"> </w:t>
      </w:r>
      <w:r>
        <w:rPr>
          <w:rFonts w:ascii="方正楷体_GBK" w:hAnsi="方正楷体_GBK" w:eastAsia="方正楷体_GBK" w:cs="方正楷体_GBK"/>
          <w:b w:val="0"/>
          <w:bCs w:val="0"/>
        </w:rPr>
        <w:t xml:space="preserve"> 油气管道走向图</w:t>
      </w:r>
      <w:bookmarkEnd w:id="55"/>
    </w:p>
    <w:p>
      <w:pPr>
        <w:keepNext/>
        <w:keepLines/>
        <w:ind w:firstLine="632" w:firstLineChars="200"/>
        <w:outlineLvl w:val="2"/>
        <w:rPr>
          <w:rFonts w:ascii="仿宋_GB2312" w:eastAsia="仿宋_GB2312"/>
          <w:b/>
          <w:bCs/>
        </w:rPr>
      </w:pPr>
      <w:r>
        <w:rPr>
          <w:rFonts w:hint="eastAsia" w:ascii="仿宋_GB2312" w:eastAsia="仿宋_GB2312"/>
          <w:b/>
          <w:bCs/>
        </w:rPr>
        <w:t>8.</w:t>
      </w:r>
      <w:r>
        <w:rPr>
          <w:rFonts w:ascii="仿宋_GB2312" w:eastAsia="仿宋_GB2312"/>
          <w:b/>
          <w:bCs/>
        </w:rPr>
        <w:t>5</w:t>
      </w:r>
      <w:r>
        <w:rPr>
          <w:rFonts w:hint="eastAsia" w:ascii="仿宋_GB2312" w:eastAsia="仿宋_GB2312"/>
          <w:b/>
          <w:bCs/>
        </w:rPr>
        <w:t>.</w:t>
      </w:r>
      <w:r>
        <w:rPr>
          <w:rFonts w:ascii="仿宋_GB2312" w:eastAsia="仿宋_GB2312"/>
          <w:b/>
          <w:bCs/>
        </w:rPr>
        <w:t xml:space="preserve">1 </w:t>
      </w:r>
      <w:r>
        <w:rPr>
          <w:rFonts w:hint="eastAsia" w:ascii="仿宋_GB2312" w:eastAsia="仿宋_GB2312"/>
          <w:b/>
          <w:bCs/>
        </w:rPr>
        <w:t>中国航空油料重庆分公司（江北段）管道走向图</w:t>
      </w:r>
    </w:p>
    <w:p>
      <w:pPr>
        <w:pStyle w:val="45"/>
        <w:jc w:val="center"/>
        <w:rPr>
          <w:rFonts w:ascii="方正仿宋_GBK"/>
          <w:sz w:val="32"/>
          <w:szCs w:val="32"/>
        </w:rPr>
      </w:pPr>
      <w:r>
        <w:rPr>
          <w:rFonts w:ascii="方正仿宋_GBK"/>
          <w:sz w:val="32"/>
          <w:szCs w:val="32"/>
        </w:rPr>
        <w:drawing>
          <wp:inline distT="0" distB="0" distL="0" distR="0">
            <wp:extent cx="5172075" cy="73152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456" cy="7315200"/>
                    </a:xfrm>
                    <a:prstGeom prst="rect">
                      <a:avLst/>
                    </a:prstGeom>
                  </pic:spPr>
                </pic:pic>
              </a:graphicData>
            </a:graphic>
          </wp:inline>
        </w:drawing>
      </w:r>
    </w:p>
    <w:p>
      <w:pPr>
        <w:keepNext/>
        <w:keepLines/>
        <w:spacing w:line="400" w:lineRule="exact"/>
        <w:ind w:firstLine="632" w:firstLineChars="200"/>
        <w:outlineLvl w:val="2"/>
        <w:rPr>
          <w:rFonts w:ascii="仿宋_GB2312" w:eastAsia="仿宋_GB2312"/>
          <w:b/>
          <w:bCs/>
        </w:rPr>
      </w:pPr>
      <w:r>
        <w:rPr>
          <w:rFonts w:hint="eastAsia" w:ascii="仿宋_GB2312" w:eastAsia="仿宋_GB2312"/>
          <w:b/>
          <w:bCs/>
        </w:rPr>
        <w:t>8.</w:t>
      </w:r>
      <w:r>
        <w:rPr>
          <w:rFonts w:ascii="仿宋_GB2312" w:eastAsia="仿宋_GB2312"/>
          <w:b/>
          <w:bCs/>
        </w:rPr>
        <w:t>5</w:t>
      </w:r>
      <w:r>
        <w:rPr>
          <w:rFonts w:hint="eastAsia" w:ascii="仿宋_GB2312" w:eastAsia="仿宋_GB2312"/>
          <w:b/>
          <w:bCs/>
        </w:rPr>
        <w:t>.2</w:t>
      </w:r>
      <w:r>
        <w:rPr>
          <w:rFonts w:ascii="仿宋_GB2312" w:eastAsia="仿宋_GB2312"/>
          <w:b/>
          <w:bCs/>
        </w:rPr>
        <w:t xml:space="preserve"> </w:t>
      </w:r>
      <w:r>
        <w:rPr>
          <w:rFonts w:hint="eastAsia" w:ascii="仿宋_GB2312" w:eastAsia="仿宋_GB2312"/>
          <w:b/>
          <w:bCs/>
        </w:rPr>
        <w:t>重庆燃气集团输配分公司（江北段）管道走向图</w:t>
      </w:r>
    </w:p>
    <w:p>
      <w:pPr>
        <w:pStyle w:val="45"/>
        <w:jc w:val="center"/>
        <w:rPr>
          <w:rFonts w:ascii="方正仿宋_GBK"/>
          <w:sz w:val="32"/>
          <w:szCs w:val="32"/>
        </w:rPr>
      </w:pPr>
      <w:r>
        <w:rPr>
          <w:rFonts w:ascii="方正仿宋_GBK"/>
          <w:sz w:val="32"/>
          <w:szCs w:val="32"/>
        </w:rPr>
        <w:drawing>
          <wp:inline distT="0" distB="0" distL="0" distR="0">
            <wp:extent cx="5091430" cy="35998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1565" cy="3600000"/>
                    </a:xfrm>
                    <a:prstGeom prst="rect">
                      <a:avLst/>
                    </a:prstGeom>
                  </pic:spPr>
                </pic:pic>
              </a:graphicData>
            </a:graphic>
          </wp:inline>
        </w:drawing>
      </w:r>
    </w:p>
    <w:p>
      <w:pPr>
        <w:adjustRightInd w:val="0"/>
        <w:snapToGrid w:val="0"/>
        <w:spacing w:line="300" w:lineRule="exact"/>
        <w:jc w:val="center"/>
        <w:rPr>
          <w:rFonts w:ascii="方正黑体_GBK" w:hAnsi="Times New Roman" w:eastAsia="方正黑体_GBK" w:cs="Times New Roman"/>
          <w:bCs/>
          <w:kern w:val="44"/>
          <w:sz w:val="24"/>
          <w:lang w:val="zh-CN"/>
        </w:rPr>
      </w:pPr>
      <w:r>
        <w:rPr>
          <w:rFonts w:hint="eastAsia" w:ascii="方正黑体_GBK" w:hAnsi="Times New Roman" w:eastAsia="方正黑体_GBK" w:cs="Times New Roman"/>
          <w:bCs/>
          <w:kern w:val="44"/>
          <w:sz w:val="24"/>
          <w:lang w:val="zh-CN"/>
        </w:rPr>
        <w:t>重庆燃气集团D711外环管线江北段走向图</w:t>
      </w:r>
    </w:p>
    <w:p>
      <w:pPr>
        <w:pStyle w:val="45"/>
        <w:jc w:val="center"/>
        <w:rPr>
          <w:rFonts w:ascii="方正仿宋_GBK"/>
          <w:sz w:val="32"/>
          <w:szCs w:val="32"/>
        </w:rPr>
      </w:pPr>
      <w:r>
        <w:rPr>
          <w:rFonts w:ascii="方正仿宋_GBK"/>
          <w:sz w:val="32"/>
          <w:szCs w:val="32"/>
        </w:rPr>
        <w:drawing>
          <wp:inline distT="0" distB="0" distL="0" distR="0">
            <wp:extent cx="5093970" cy="35998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4000" cy="3600000"/>
                    </a:xfrm>
                    <a:prstGeom prst="rect">
                      <a:avLst/>
                    </a:prstGeom>
                  </pic:spPr>
                </pic:pic>
              </a:graphicData>
            </a:graphic>
          </wp:inline>
        </w:drawing>
      </w:r>
    </w:p>
    <w:p>
      <w:pPr>
        <w:adjustRightInd w:val="0"/>
        <w:snapToGrid w:val="0"/>
        <w:spacing w:line="300" w:lineRule="exact"/>
        <w:jc w:val="center"/>
        <w:rPr>
          <w:rFonts w:ascii="方正黑体_GBK" w:hAnsi="Times New Roman" w:eastAsia="方正黑体_GBK" w:cs="Times New Roman"/>
          <w:bCs/>
          <w:kern w:val="44"/>
          <w:sz w:val="24"/>
          <w:lang w:val="zh-CN"/>
        </w:rPr>
      </w:pPr>
      <w:r>
        <w:rPr>
          <w:rFonts w:hint="eastAsia" w:ascii="方正黑体_GBK" w:hAnsi="Times New Roman" w:eastAsia="方正黑体_GBK" w:cs="Times New Roman"/>
          <w:bCs/>
          <w:kern w:val="44"/>
          <w:sz w:val="24"/>
          <w:lang w:val="zh-CN"/>
        </w:rPr>
        <w:t>重庆燃气集团D508晏鱼线江北段走向图</w:t>
      </w:r>
    </w:p>
    <w:p>
      <w:pPr>
        <w:keepNext/>
        <w:keepLines/>
        <w:spacing w:line="400" w:lineRule="exact"/>
        <w:ind w:firstLine="316" w:firstLineChars="100"/>
        <w:outlineLvl w:val="2"/>
        <w:rPr>
          <w:rFonts w:ascii="仿宋_GB2312" w:eastAsia="仿宋_GB2312"/>
          <w:b/>
          <w:bCs/>
        </w:rPr>
      </w:pPr>
      <w:r>
        <w:rPr>
          <w:rFonts w:hint="eastAsia" w:ascii="仿宋_GB2312" w:eastAsia="仿宋_GB2312"/>
          <w:b/>
          <w:bCs/>
        </w:rPr>
        <w:t>8.</w:t>
      </w:r>
      <w:r>
        <w:rPr>
          <w:rFonts w:ascii="仿宋_GB2312" w:eastAsia="仿宋_GB2312"/>
          <w:b/>
          <w:bCs/>
        </w:rPr>
        <w:t>5</w:t>
      </w:r>
      <w:r>
        <w:rPr>
          <w:rFonts w:hint="eastAsia" w:ascii="仿宋_GB2312" w:eastAsia="仿宋_GB2312"/>
          <w:b/>
          <w:bCs/>
        </w:rPr>
        <w:t>.3</w:t>
      </w:r>
      <w:r>
        <w:rPr>
          <w:rFonts w:ascii="仿宋_GB2312" w:eastAsia="仿宋_GB2312"/>
          <w:b/>
          <w:bCs/>
        </w:rPr>
        <w:t xml:space="preserve"> </w:t>
      </w:r>
      <w:r>
        <w:rPr>
          <w:rFonts w:hint="eastAsia" w:ascii="仿宋_GB2312" w:eastAsia="仿宋_GB2312"/>
          <w:b/>
          <w:bCs/>
          <w:spacing w:val="-6"/>
        </w:rPr>
        <w:t>重庆气矿江北天然气运销部(卧渝线C江北段)管道走向图</w:t>
      </w:r>
    </w:p>
    <w:p>
      <w:pPr>
        <w:pStyle w:val="45"/>
        <w:jc w:val="center"/>
        <w:rPr>
          <w:rFonts w:ascii="方正仿宋_GBK"/>
          <w:sz w:val="32"/>
          <w:szCs w:val="32"/>
        </w:rPr>
      </w:pPr>
      <w:r>
        <w:rPr>
          <w:rFonts w:ascii="方正仿宋_GBK"/>
          <w:sz w:val="32"/>
          <w:szCs w:val="32"/>
        </w:rPr>
        <w:drawing>
          <wp:inline distT="0" distB="0" distL="0" distR="0">
            <wp:extent cx="5286375" cy="76866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88915" cy="7690368"/>
                    </a:xfrm>
                    <a:prstGeom prst="rect">
                      <a:avLst/>
                    </a:prstGeom>
                  </pic:spPr>
                </pic:pic>
              </a:graphicData>
            </a:graphic>
          </wp:inline>
        </w:drawing>
      </w:r>
    </w:p>
    <w:p>
      <w:pPr>
        <w:pStyle w:val="5"/>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56" w:name="_Toc119854423"/>
      <w:r>
        <w:rPr>
          <w:rFonts w:ascii="方正楷体_GBK" w:hAnsi="方正楷体_GBK" w:eastAsia="方正楷体_GBK" w:cs="方正楷体_GBK"/>
          <w:b w:val="0"/>
          <w:bCs w:val="0"/>
        </w:rPr>
        <w:t>8</w:t>
      </w:r>
      <w:r>
        <w:rPr>
          <w:rFonts w:hint="eastAsia" w:ascii="方正楷体_GBK" w:hAnsi="方正楷体_GBK" w:eastAsia="方正楷体_GBK" w:cs="方正楷体_GBK"/>
          <w:b w:val="0"/>
          <w:bCs w:val="0"/>
        </w:rPr>
        <w:t>.</w:t>
      </w:r>
      <w:r>
        <w:rPr>
          <w:rFonts w:ascii="方正楷体_GBK" w:hAnsi="方正楷体_GBK" w:eastAsia="方正楷体_GBK" w:cs="方正楷体_GBK"/>
          <w:b w:val="0"/>
          <w:bCs w:val="0"/>
        </w:rPr>
        <w:t>6</w:t>
      </w:r>
      <w:r>
        <w:rPr>
          <w:rFonts w:hint="eastAsia" w:ascii="方正楷体_GBK" w:hAnsi="方正楷体_GBK" w:eastAsia="方正楷体_GBK" w:cs="方正楷体_GBK"/>
          <w:b w:val="0"/>
          <w:bCs w:val="0"/>
        </w:rPr>
        <w:t xml:space="preserve">  预案征求区政府相关部门意见的落实情况</w:t>
      </w:r>
      <w:bookmarkEnd w:id="56"/>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表8.</w:t>
      </w:r>
      <w:r>
        <w:rPr>
          <w:rFonts w:ascii="方正黑体_GBK" w:hAnsi="Times New Roman" w:eastAsia="方正黑体_GBK" w:cs="Times New Roman"/>
          <w:bCs/>
          <w:kern w:val="44"/>
          <w:sz w:val="28"/>
          <w:szCs w:val="28"/>
          <w:lang w:val="zh-CN"/>
        </w:rPr>
        <w:t>6</w:t>
      </w:r>
      <w:r>
        <w:rPr>
          <w:rFonts w:hint="eastAsia" w:ascii="方正黑体_GBK" w:hAnsi="Times New Roman" w:eastAsia="方正黑体_GBK" w:cs="Times New Roman"/>
          <w:bCs/>
          <w:kern w:val="44"/>
          <w:sz w:val="28"/>
          <w:szCs w:val="28"/>
          <w:lang w:val="zh-CN"/>
        </w:rPr>
        <w:t>-1  区政府相关部门征求意见落实情况表</w:t>
      </w:r>
    </w:p>
    <w:tbl>
      <w:tblPr>
        <w:tblStyle w:val="54"/>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18"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部门名称</w:t>
            </w:r>
          </w:p>
        </w:tc>
        <w:tc>
          <w:tcPr>
            <w:tcW w:w="5812"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修改建议</w:t>
            </w:r>
          </w:p>
        </w:tc>
        <w:tc>
          <w:tcPr>
            <w:tcW w:w="1615" w:type="dxa"/>
            <w:vAlign w:val="center"/>
          </w:tcPr>
          <w:p>
            <w:pPr>
              <w:pStyle w:val="45"/>
              <w:adjustRightInd w:val="0"/>
              <w:snapToGrid w:val="0"/>
              <w:jc w:val="center"/>
              <w:rPr>
                <w:rFonts w:ascii="方正仿宋_GBK" w:hAnsi="Times New Roman"/>
                <w:b/>
                <w:bCs/>
                <w:kern w:val="44"/>
                <w:sz w:val="21"/>
                <w:szCs w:val="21"/>
                <w:lang w:val="zh-CN"/>
              </w:rPr>
            </w:pPr>
            <w:r>
              <w:rPr>
                <w:rFonts w:hint="eastAsia" w:ascii="方正仿宋_GBK" w:hAnsi="Times New Roman"/>
                <w:b/>
                <w:bCs/>
                <w:kern w:val="44"/>
                <w:sz w:val="21"/>
                <w:szCs w:val="21"/>
                <w:lang w:val="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8" w:type="dxa"/>
            <w:vAlign w:val="center"/>
          </w:tcPr>
          <w:p>
            <w:pPr>
              <w:adjustRightInd w:val="0"/>
              <w:snapToGrid w:val="0"/>
              <w:jc w:val="center"/>
              <w:rPr>
                <w:sz w:val="21"/>
                <w:szCs w:val="21"/>
              </w:rPr>
            </w:pPr>
            <w:r>
              <w:rPr>
                <w:rFonts w:hint="eastAsia"/>
                <w:sz w:val="21"/>
                <w:szCs w:val="21"/>
              </w:rPr>
              <w:t>区公安分局</w:t>
            </w:r>
          </w:p>
        </w:tc>
        <w:tc>
          <w:tcPr>
            <w:tcW w:w="5812" w:type="dxa"/>
            <w:vAlign w:val="center"/>
          </w:tcPr>
          <w:p>
            <w:pPr>
              <w:adjustRightInd w:val="0"/>
              <w:snapToGrid w:val="0"/>
              <w:ind w:firstLine="206" w:firstLineChars="100"/>
              <w:rPr>
                <w:rFonts w:hint="eastAsia" w:ascii="方正仿宋_GBK"/>
                <w:sz w:val="21"/>
                <w:szCs w:val="21"/>
              </w:rPr>
            </w:pPr>
            <w:r>
              <w:rPr>
                <w:rFonts w:hint="eastAsia" w:ascii="方正仿宋_GBK"/>
                <w:sz w:val="21"/>
                <w:szCs w:val="21"/>
              </w:rPr>
              <w:t>2.5.5 区公安分局参与事故应急救援工作，负责指挥事故现场警戒、道路交通管制、维护事故现场的治安、组织人员疏散、撤离工作。</w:t>
            </w:r>
          </w:p>
          <w:p>
            <w:pPr>
              <w:adjustRightInd w:val="0"/>
              <w:snapToGrid w:val="0"/>
              <w:ind w:firstLine="206" w:firstLineChars="100"/>
              <w:rPr>
                <w:rFonts w:hint="eastAsia" w:ascii="方正仿宋_GBK"/>
                <w:sz w:val="21"/>
                <w:szCs w:val="21"/>
              </w:rPr>
            </w:pPr>
            <w:r>
              <w:rPr>
                <w:rFonts w:hint="eastAsia" w:ascii="方正仿宋_GBK"/>
                <w:sz w:val="21"/>
                <w:szCs w:val="21"/>
              </w:rPr>
              <w:t>根据工作职责，因组织危险区域人员疏散撤离工作为当地党政负责，公安机关配合，建议修改为：</w:t>
            </w:r>
          </w:p>
          <w:p>
            <w:pPr>
              <w:adjustRightInd w:val="0"/>
              <w:snapToGrid w:val="0"/>
              <w:ind w:firstLine="206" w:firstLineChars="100"/>
              <w:rPr>
                <w:sz w:val="21"/>
                <w:szCs w:val="21"/>
              </w:rPr>
            </w:pPr>
            <w:r>
              <w:rPr>
                <w:rFonts w:hint="eastAsia" w:ascii="方正仿宋_GBK"/>
                <w:sz w:val="21"/>
                <w:szCs w:val="21"/>
              </w:rPr>
              <w:t>参与事故应急救援工作，负责指挥事故现场警戒、道路交通管制、维护事故现场的治安秩序，</w:t>
            </w:r>
            <w:r>
              <w:rPr>
                <w:rFonts w:hint="eastAsia" w:ascii="方正仿宋_GBK"/>
                <w:b/>
                <w:bCs/>
                <w:sz w:val="21"/>
                <w:szCs w:val="21"/>
              </w:rPr>
              <w:t>配合当地党政</w:t>
            </w:r>
            <w:r>
              <w:rPr>
                <w:rFonts w:hint="eastAsia" w:ascii="方正仿宋_GBK"/>
                <w:sz w:val="21"/>
                <w:szCs w:val="21"/>
              </w:rPr>
              <w:t>组织人员疏散、撤离和安置工作。</w:t>
            </w:r>
          </w:p>
        </w:tc>
        <w:tc>
          <w:tcPr>
            <w:tcW w:w="1615" w:type="dxa"/>
            <w:vAlign w:val="center"/>
          </w:tcPr>
          <w:p>
            <w:pPr>
              <w:adjustRightInd w:val="0"/>
              <w:snapToGrid w:val="0"/>
              <w:jc w:val="center"/>
              <w:rPr>
                <w:rFonts w:ascii="方正仿宋_GBK" w:hAnsi="Arial" w:cs="Times New Roman"/>
                <w:kern w:val="0"/>
                <w:sz w:val="21"/>
                <w:szCs w:val="21"/>
              </w:rPr>
            </w:pPr>
            <w:r>
              <w:rPr>
                <w:rFonts w:hint="eastAsia"/>
                <w:sz w:val="21"/>
                <w:szCs w:val="21"/>
              </w:rPr>
              <w:t>已采纳修改。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8" w:type="dxa"/>
            <w:vAlign w:val="center"/>
          </w:tcPr>
          <w:p>
            <w:pPr>
              <w:adjustRightInd w:val="0"/>
              <w:snapToGrid w:val="0"/>
              <w:jc w:val="center"/>
              <w:rPr>
                <w:sz w:val="21"/>
                <w:szCs w:val="21"/>
              </w:rPr>
            </w:pPr>
            <w:r>
              <w:rPr>
                <w:rFonts w:hint="eastAsia"/>
                <w:sz w:val="21"/>
                <w:szCs w:val="21"/>
              </w:rPr>
              <w:t>区政府其他有关部门</w:t>
            </w:r>
          </w:p>
        </w:tc>
        <w:tc>
          <w:tcPr>
            <w:tcW w:w="5812" w:type="dxa"/>
            <w:vAlign w:val="center"/>
          </w:tcPr>
          <w:p>
            <w:pPr>
              <w:adjustRightInd w:val="0"/>
              <w:snapToGrid w:val="0"/>
              <w:ind w:firstLine="206" w:firstLineChars="100"/>
              <w:rPr>
                <w:sz w:val="21"/>
                <w:szCs w:val="21"/>
              </w:rPr>
            </w:pPr>
            <w:r>
              <w:rPr>
                <w:rFonts w:hint="eastAsia"/>
                <w:sz w:val="21"/>
                <w:szCs w:val="21"/>
              </w:rPr>
              <w:t>有关部门、相关镇街应急联系电话（或值班电话）部分已更改，未进行更新。</w:t>
            </w:r>
          </w:p>
        </w:tc>
        <w:tc>
          <w:tcPr>
            <w:tcW w:w="1615" w:type="dxa"/>
            <w:vAlign w:val="center"/>
          </w:tcPr>
          <w:p>
            <w:pPr>
              <w:adjustRightInd w:val="0"/>
              <w:snapToGrid w:val="0"/>
              <w:jc w:val="center"/>
              <w:rPr>
                <w:rFonts w:ascii="方正仿宋_GBK" w:hAnsi="Arial" w:cs="Times New Roman"/>
                <w:kern w:val="0"/>
                <w:sz w:val="21"/>
                <w:szCs w:val="21"/>
              </w:rPr>
            </w:pPr>
            <w:r>
              <w:rPr>
                <w:rFonts w:hint="eastAsia"/>
                <w:sz w:val="21"/>
                <w:szCs w:val="21"/>
              </w:rPr>
              <w:t>已采纳更新。</w:t>
            </w:r>
          </w:p>
        </w:tc>
      </w:tr>
    </w:tbl>
    <w:p>
      <w:pPr>
        <w:pStyle w:val="45"/>
        <w:ind w:firstLine="632" w:firstLineChars="200"/>
        <w:jc w:val="both"/>
        <w:rPr>
          <w:rFonts w:hint="eastAsia" w:ascii="方正仿宋_GBK"/>
          <w:sz w:val="32"/>
          <w:szCs w:val="32"/>
        </w:rPr>
      </w:pPr>
    </w:p>
    <w:sectPr>
      <w:footerReference r:id="rId5" w:type="default"/>
      <w:footerReference r:id="rId6" w:type="even"/>
      <w:pgSz w:w="11906" w:h="16838"/>
      <w:pgMar w:top="2098" w:right="1474" w:bottom="1984" w:left="1587" w:header="851" w:footer="1474" w:gutter="0"/>
      <w:pgNumType w:start="1"/>
      <w:cols w:space="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BatangChe">
    <w:panose1 w:val="02030609000101010101"/>
    <w:charset w:val="81"/>
    <w:family w:val="modern"/>
    <w:pitch w:val="default"/>
    <w:sig w:usb0="B00002AF" w:usb1="69D77CFB" w:usb2="00000030" w:usb3="00000000" w:csb0="4008009F" w:csb1="DFD7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ordWrap w:val="0"/>
      <w:ind w:right="320" w:rightChars="10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320" w:leftChars="10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embedSystem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zYmRiMDRjNWUzMDFiMzZjYTFjZjBiZjlhMTRiMTkifQ=="/>
  </w:docVars>
  <w:rsids>
    <w:rsidRoot w:val="16E07C5D"/>
    <w:rsid w:val="00005CB3"/>
    <w:rsid w:val="000121CC"/>
    <w:rsid w:val="00012F03"/>
    <w:rsid w:val="000306F5"/>
    <w:rsid w:val="00032316"/>
    <w:rsid w:val="00040FFB"/>
    <w:rsid w:val="00096FF6"/>
    <w:rsid w:val="000A0452"/>
    <w:rsid w:val="00106B62"/>
    <w:rsid w:val="00110A75"/>
    <w:rsid w:val="00114AEA"/>
    <w:rsid w:val="001225F6"/>
    <w:rsid w:val="00144799"/>
    <w:rsid w:val="00152EAF"/>
    <w:rsid w:val="00166C42"/>
    <w:rsid w:val="0019246C"/>
    <w:rsid w:val="001C14AB"/>
    <w:rsid w:val="001D7CAE"/>
    <w:rsid w:val="001E20ED"/>
    <w:rsid w:val="00213CB2"/>
    <w:rsid w:val="00221ACD"/>
    <w:rsid w:val="00227E12"/>
    <w:rsid w:val="00242A62"/>
    <w:rsid w:val="00250F1C"/>
    <w:rsid w:val="00252025"/>
    <w:rsid w:val="00272019"/>
    <w:rsid w:val="00285B87"/>
    <w:rsid w:val="002D2E7B"/>
    <w:rsid w:val="002D3F50"/>
    <w:rsid w:val="002D752F"/>
    <w:rsid w:val="002E1165"/>
    <w:rsid w:val="003241C1"/>
    <w:rsid w:val="003506CA"/>
    <w:rsid w:val="00391CED"/>
    <w:rsid w:val="003A56CC"/>
    <w:rsid w:val="003A67CC"/>
    <w:rsid w:val="003B0BEE"/>
    <w:rsid w:val="003F41B0"/>
    <w:rsid w:val="003F5C63"/>
    <w:rsid w:val="00431801"/>
    <w:rsid w:val="0043542C"/>
    <w:rsid w:val="00437555"/>
    <w:rsid w:val="00437656"/>
    <w:rsid w:val="0045255D"/>
    <w:rsid w:val="00454A73"/>
    <w:rsid w:val="00472219"/>
    <w:rsid w:val="00473101"/>
    <w:rsid w:val="00476661"/>
    <w:rsid w:val="004A255A"/>
    <w:rsid w:val="004E149E"/>
    <w:rsid w:val="004E208F"/>
    <w:rsid w:val="00507CC0"/>
    <w:rsid w:val="005167BA"/>
    <w:rsid w:val="00535C64"/>
    <w:rsid w:val="00551314"/>
    <w:rsid w:val="0055692D"/>
    <w:rsid w:val="00561F6D"/>
    <w:rsid w:val="005805F7"/>
    <w:rsid w:val="00586E28"/>
    <w:rsid w:val="0059303B"/>
    <w:rsid w:val="00596CB7"/>
    <w:rsid w:val="0061107D"/>
    <w:rsid w:val="00613AE1"/>
    <w:rsid w:val="00630E49"/>
    <w:rsid w:val="00642A40"/>
    <w:rsid w:val="00647545"/>
    <w:rsid w:val="0065722C"/>
    <w:rsid w:val="0066269A"/>
    <w:rsid w:val="0068080C"/>
    <w:rsid w:val="00686AB9"/>
    <w:rsid w:val="006C720A"/>
    <w:rsid w:val="006D40DD"/>
    <w:rsid w:val="00700ED8"/>
    <w:rsid w:val="007059A0"/>
    <w:rsid w:val="00705F38"/>
    <w:rsid w:val="0071073D"/>
    <w:rsid w:val="007139EA"/>
    <w:rsid w:val="00714031"/>
    <w:rsid w:val="0073046B"/>
    <w:rsid w:val="00776927"/>
    <w:rsid w:val="007A2206"/>
    <w:rsid w:val="007B03D2"/>
    <w:rsid w:val="007D5B76"/>
    <w:rsid w:val="00816C32"/>
    <w:rsid w:val="008218C8"/>
    <w:rsid w:val="00841453"/>
    <w:rsid w:val="00842EAA"/>
    <w:rsid w:val="00873D85"/>
    <w:rsid w:val="00876937"/>
    <w:rsid w:val="0089009A"/>
    <w:rsid w:val="008B0D1A"/>
    <w:rsid w:val="008C028D"/>
    <w:rsid w:val="008C602F"/>
    <w:rsid w:val="008F0F1E"/>
    <w:rsid w:val="00903BBC"/>
    <w:rsid w:val="009164AA"/>
    <w:rsid w:val="00916DEA"/>
    <w:rsid w:val="00925F8A"/>
    <w:rsid w:val="0092731F"/>
    <w:rsid w:val="009413C8"/>
    <w:rsid w:val="00955A68"/>
    <w:rsid w:val="009857BF"/>
    <w:rsid w:val="009871A5"/>
    <w:rsid w:val="009A6AEC"/>
    <w:rsid w:val="009B0A98"/>
    <w:rsid w:val="009B157B"/>
    <w:rsid w:val="009B6D58"/>
    <w:rsid w:val="009D654F"/>
    <w:rsid w:val="009F6401"/>
    <w:rsid w:val="00A05FC1"/>
    <w:rsid w:val="00A07DA9"/>
    <w:rsid w:val="00A17706"/>
    <w:rsid w:val="00A34DCE"/>
    <w:rsid w:val="00A402CA"/>
    <w:rsid w:val="00A42418"/>
    <w:rsid w:val="00A42FA1"/>
    <w:rsid w:val="00A51EDE"/>
    <w:rsid w:val="00A80015"/>
    <w:rsid w:val="00A9664A"/>
    <w:rsid w:val="00AA2359"/>
    <w:rsid w:val="00AB1BAE"/>
    <w:rsid w:val="00AE37C9"/>
    <w:rsid w:val="00B13579"/>
    <w:rsid w:val="00B23BA4"/>
    <w:rsid w:val="00B45B34"/>
    <w:rsid w:val="00B60BE3"/>
    <w:rsid w:val="00B61171"/>
    <w:rsid w:val="00B741F8"/>
    <w:rsid w:val="00BA6B44"/>
    <w:rsid w:val="00BA7099"/>
    <w:rsid w:val="00BB567F"/>
    <w:rsid w:val="00BC307F"/>
    <w:rsid w:val="00BE3D93"/>
    <w:rsid w:val="00BE625B"/>
    <w:rsid w:val="00BF321B"/>
    <w:rsid w:val="00BF48BF"/>
    <w:rsid w:val="00C02FD5"/>
    <w:rsid w:val="00C04AD6"/>
    <w:rsid w:val="00C10550"/>
    <w:rsid w:val="00C21652"/>
    <w:rsid w:val="00C27F1C"/>
    <w:rsid w:val="00C301B9"/>
    <w:rsid w:val="00C338CA"/>
    <w:rsid w:val="00C4240A"/>
    <w:rsid w:val="00C4328D"/>
    <w:rsid w:val="00C500B4"/>
    <w:rsid w:val="00C62B99"/>
    <w:rsid w:val="00C733C6"/>
    <w:rsid w:val="00C83B01"/>
    <w:rsid w:val="00C856D2"/>
    <w:rsid w:val="00C911AB"/>
    <w:rsid w:val="00CA768C"/>
    <w:rsid w:val="00CD0B5E"/>
    <w:rsid w:val="00CD1527"/>
    <w:rsid w:val="00CF785F"/>
    <w:rsid w:val="00D21267"/>
    <w:rsid w:val="00D537FC"/>
    <w:rsid w:val="00D54176"/>
    <w:rsid w:val="00D6152A"/>
    <w:rsid w:val="00D63230"/>
    <w:rsid w:val="00D66767"/>
    <w:rsid w:val="00D9676E"/>
    <w:rsid w:val="00DA2718"/>
    <w:rsid w:val="00DB1F1E"/>
    <w:rsid w:val="00DD06BB"/>
    <w:rsid w:val="00DE3DF3"/>
    <w:rsid w:val="00E06768"/>
    <w:rsid w:val="00E07D58"/>
    <w:rsid w:val="00E1645A"/>
    <w:rsid w:val="00E168DC"/>
    <w:rsid w:val="00E20E0D"/>
    <w:rsid w:val="00E26CBB"/>
    <w:rsid w:val="00E3593C"/>
    <w:rsid w:val="00E37E1D"/>
    <w:rsid w:val="00E4454B"/>
    <w:rsid w:val="00E60BC5"/>
    <w:rsid w:val="00E96916"/>
    <w:rsid w:val="00EA5282"/>
    <w:rsid w:val="00EB0A08"/>
    <w:rsid w:val="00EB10F5"/>
    <w:rsid w:val="00ED5F19"/>
    <w:rsid w:val="00EF2BDE"/>
    <w:rsid w:val="00F03953"/>
    <w:rsid w:val="00F255AD"/>
    <w:rsid w:val="00F33D02"/>
    <w:rsid w:val="00F45C2B"/>
    <w:rsid w:val="00F64148"/>
    <w:rsid w:val="00F711B2"/>
    <w:rsid w:val="00F87311"/>
    <w:rsid w:val="00FA4086"/>
    <w:rsid w:val="00FA6CEF"/>
    <w:rsid w:val="00FB6950"/>
    <w:rsid w:val="00FC13F5"/>
    <w:rsid w:val="04FF0DA5"/>
    <w:rsid w:val="064A3612"/>
    <w:rsid w:val="0AB25137"/>
    <w:rsid w:val="0EDB3B2D"/>
    <w:rsid w:val="0F68332B"/>
    <w:rsid w:val="13660543"/>
    <w:rsid w:val="13FB7F63"/>
    <w:rsid w:val="141B23B3"/>
    <w:rsid w:val="16C867C7"/>
    <w:rsid w:val="16E07C5D"/>
    <w:rsid w:val="1C7313EC"/>
    <w:rsid w:val="1DED3012"/>
    <w:rsid w:val="1E7C1BC7"/>
    <w:rsid w:val="1EB56809"/>
    <w:rsid w:val="1F244E0E"/>
    <w:rsid w:val="20122A50"/>
    <w:rsid w:val="22515E95"/>
    <w:rsid w:val="25921C74"/>
    <w:rsid w:val="25F272F0"/>
    <w:rsid w:val="266D010F"/>
    <w:rsid w:val="27944DDB"/>
    <w:rsid w:val="27995DDC"/>
    <w:rsid w:val="28520641"/>
    <w:rsid w:val="2A0F0615"/>
    <w:rsid w:val="2CFE70DB"/>
    <w:rsid w:val="2DD6335F"/>
    <w:rsid w:val="2F060871"/>
    <w:rsid w:val="2F1737A0"/>
    <w:rsid w:val="30285E63"/>
    <w:rsid w:val="359C2EFC"/>
    <w:rsid w:val="366306E2"/>
    <w:rsid w:val="38622C78"/>
    <w:rsid w:val="3A331955"/>
    <w:rsid w:val="3A756611"/>
    <w:rsid w:val="3C7C391F"/>
    <w:rsid w:val="434F4D4F"/>
    <w:rsid w:val="43B458B4"/>
    <w:rsid w:val="43F86722"/>
    <w:rsid w:val="44581093"/>
    <w:rsid w:val="489C3086"/>
    <w:rsid w:val="497C7DEE"/>
    <w:rsid w:val="4A73043C"/>
    <w:rsid w:val="4B012057"/>
    <w:rsid w:val="4C30049A"/>
    <w:rsid w:val="4F2C56FD"/>
    <w:rsid w:val="4F510F20"/>
    <w:rsid w:val="4FFB7D57"/>
    <w:rsid w:val="519E7612"/>
    <w:rsid w:val="51B82A14"/>
    <w:rsid w:val="527A3CC8"/>
    <w:rsid w:val="52A813F9"/>
    <w:rsid w:val="53E5402A"/>
    <w:rsid w:val="54CF6119"/>
    <w:rsid w:val="562B7C58"/>
    <w:rsid w:val="57FB18AC"/>
    <w:rsid w:val="58D04AE7"/>
    <w:rsid w:val="5CBC6280"/>
    <w:rsid w:val="5F675AD6"/>
    <w:rsid w:val="60107EBF"/>
    <w:rsid w:val="60FE5CA8"/>
    <w:rsid w:val="619D0FDD"/>
    <w:rsid w:val="628565AB"/>
    <w:rsid w:val="629C37CB"/>
    <w:rsid w:val="62BB5CDC"/>
    <w:rsid w:val="63526137"/>
    <w:rsid w:val="6F291078"/>
    <w:rsid w:val="756630FD"/>
    <w:rsid w:val="7A1D0130"/>
    <w:rsid w:val="7A420373"/>
    <w:rsid w:val="7E116181"/>
    <w:rsid w:val="7EA906E6"/>
    <w:rsid w:val="7FA6324E"/>
    <w:rsid w:val="7FB8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HAnsi" w:hAnsiTheme="minorHAnsi" w:cstheme="minorBidi"/>
      <w:kern w:val="2"/>
      <w:sz w:val="32"/>
      <w:szCs w:val="24"/>
      <w:lang w:val="en-US" w:eastAsia="zh-CN" w:bidi="ar-SA"/>
    </w:rPr>
  </w:style>
  <w:style w:type="paragraph" w:styleId="4">
    <w:name w:val="heading 1"/>
    <w:basedOn w:val="1"/>
    <w:next w:val="1"/>
    <w:link w:val="60"/>
    <w:qFormat/>
    <w:uiPriority w:val="0"/>
    <w:pPr>
      <w:keepNext/>
      <w:keepLines/>
      <w:spacing w:line="576" w:lineRule="auto"/>
      <w:outlineLvl w:val="0"/>
    </w:pPr>
    <w:rPr>
      <w:rFonts w:ascii="Calibri" w:hAnsi="Calibri" w:eastAsia="宋体" w:cs="Times New Roman"/>
      <w:b/>
      <w:kern w:val="44"/>
      <w:sz w:val="44"/>
      <w:lang w:val="zh-CN"/>
    </w:rPr>
  </w:style>
  <w:style w:type="paragraph" w:styleId="5">
    <w:name w:val="heading 2"/>
    <w:basedOn w:val="1"/>
    <w:next w:val="1"/>
    <w:link w:val="61"/>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paragraph" w:styleId="6">
    <w:name w:val="heading 3"/>
    <w:basedOn w:val="1"/>
    <w:next w:val="1"/>
    <w:link w:val="74"/>
    <w:qFormat/>
    <w:uiPriority w:val="0"/>
    <w:pPr>
      <w:keepNext/>
      <w:keepLines/>
      <w:spacing w:before="260" w:after="260" w:line="416" w:lineRule="auto"/>
      <w:outlineLvl w:val="2"/>
    </w:pPr>
    <w:rPr>
      <w:rFonts w:ascii="Times New Roman" w:hAnsi="Times New Roman" w:eastAsia="宋体" w:cs="Times New Roman"/>
      <w:b/>
      <w:bCs/>
      <w:kern w:val="0"/>
      <w:szCs w:val="32"/>
    </w:rPr>
  </w:style>
  <w:style w:type="paragraph" w:styleId="7">
    <w:name w:val="heading 4"/>
    <w:basedOn w:val="1"/>
    <w:next w:val="1"/>
    <w:link w:val="75"/>
    <w:qFormat/>
    <w:uiPriority w:val="0"/>
    <w:pPr>
      <w:keepNext/>
      <w:keepLines/>
      <w:spacing w:before="280" w:after="290" w:line="374" w:lineRule="auto"/>
      <w:outlineLvl w:val="3"/>
    </w:pPr>
    <w:rPr>
      <w:rFonts w:ascii="Arial" w:hAnsi="Arial" w:eastAsia="黑体" w:cs="Times New Roman"/>
      <w:b/>
      <w:bCs/>
      <w:kern w:val="0"/>
      <w:sz w:val="28"/>
      <w:szCs w:val="28"/>
    </w:rPr>
  </w:style>
  <w:style w:type="paragraph" w:styleId="8">
    <w:name w:val="heading 5"/>
    <w:basedOn w:val="1"/>
    <w:next w:val="1"/>
    <w:link w:val="66"/>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67"/>
    <w:qFormat/>
    <w:uiPriority w:val="0"/>
    <w:pPr>
      <w:keepNext/>
      <w:keepLines/>
      <w:widowControl/>
      <w:tabs>
        <w:tab w:val="left" w:pos="0"/>
        <w:tab w:val="left" w:pos="1152"/>
      </w:tabs>
      <w:spacing w:before="240" w:after="240"/>
      <w:jc w:val="left"/>
      <w:outlineLvl w:val="5"/>
    </w:pPr>
    <w:rPr>
      <w:rFonts w:ascii="Arial" w:hAnsi="Arial" w:eastAsia="华文细黑" w:cs="Times New Roman"/>
      <w:bCs/>
      <w:kern w:val="0"/>
      <w:sz w:val="24"/>
      <w:szCs w:val="20"/>
    </w:rPr>
  </w:style>
  <w:style w:type="paragraph" w:styleId="10">
    <w:name w:val="heading 7"/>
    <w:basedOn w:val="1"/>
    <w:next w:val="1"/>
    <w:link w:val="68"/>
    <w:qFormat/>
    <w:uiPriority w:val="99"/>
    <w:pPr>
      <w:widowControl/>
      <w:tabs>
        <w:tab w:val="left" w:pos="0"/>
        <w:tab w:val="left" w:pos="1296"/>
      </w:tabs>
      <w:spacing w:before="240" w:after="60"/>
      <w:jc w:val="left"/>
      <w:outlineLvl w:val="6"/>
    </w:pPr>
    <w:rPr>
      <w:rFonts w:ascii="Times New Roman" w:hAnsi="Times New Roman" w:eastAsia="华文细黑" w:cs="Times New Roman"/>
      <w:kern w:val="0"/>
      <w:sz w:val="24"/>
    </w:rPr>
  </w:style>
  <w:style w:type="paragraph" w:styleId="11">
    <w:name w:val="heading 8"/>
    <w:basedOn w:val="1"/>
    <w:next w:val="1"/>
    <w:link w:val="69"/>
    <w:qFormat/>
    <w:uiPriority w:val="99"/>
    <w:pPr>
      <w:widowControl/>
      <w:tabs>
        <w:tab w:val="left" w:pos="0"/>
        <w:tab w:val="left" w:pos="1440"/>
      </w:tabs>
      <w:spacing w:before="240" w:after="60"/>
      <w:ind w:left="1440" w:hanging="1440"/>
      <w:jc w:val="left"/>
      <w:outlineLvl w:val="7"/>
    </w:pPr>
    <w:rPr>
      <w:rFonts w:ascii="Times New Roman" w:hAnsi="Times New Roman" w:eastAsia="华文细黑" w:cs="Times New Roman"/>
      <w:i/>
      <w:iCs/>
      <w:kern w:val="0"/>
      <w:sz w:val="24"/>
    </w:rPr>
  </w:style>
  <w:style w:type="paragraph" w:styleId="12">
    <w:name w:val="heading 9"/>
    <w:basedOn w:val="1"/>
    <w:next w:val="1"/>
    <w:link w:val="70"/>
    <w:qFormat/>
    <w:uiPriority w:val="99"/>
    <w:pPr>
      <w:widowControl/>
      <w:tabs>
        <w:tab w:val="left" w:pos="0"/>
        <w:tab w:val="left" w:pos="1584"/>
      </w:tabs>
      <w:spacing w:before="240" w:after="60"/>
      <w:ind w:left="1584" w:hanging="1584"/>
      <w:jc w:val="left"/>
      <w:outlineLvl w:val="8"/>
    </w:pPr>
    <w:rPr>
      <w:rFonts w:ascii="Arial" w:hAnsi="Arial" w:eastAsia="华文细黑" w:cs="Times New Roman"/>
      <w:kern w:val="0"/>
      <w:sz w:val="22"/>
      <w:szCs w:val="22"/>
    </w:rPr>
  </w:style>
  <w:style w:type="character" w:default="1" w:styleId="47">
    <w:name w:val="Default Paragraph Font"/>
    <w:semiHidden/>
    <w:unhideWhenUsed/>
    <w:qFormat/>
    <w:uiPriority w:val="1"/>
  </w:style>
  <w:style w:type="table" w:default="1" w:styleId="5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104"/>
    <w:unhideWhenUsed/>
    <w:qFormat/>
    <w:uiPriority w:val="0"/>
    <w:pPr>
      <w:ind w:firstLine="420" w:firstLineChars="100"/>
    </w:pPr>
    <w:rPr>
      <w:rFonts w:ascii="Times New Roman" w:hAnsi="Times New Roman"/>
      <w:kern w:val="0"/>
      <w:sz w:val="20"/>
    </w:rPr>
  </w:style>
  <w:style w:type="paragraph" w:styleId="3">
    <w:name w:val="Body Text"/>
    <w:basedOn w:val="1"/>
    <w:next w:val="1"/>
    <w:link w:val="62"/>
    <w:unhideWhenUsed/>
    <w:qFormat/>
    <w:uiPriority w:val="0"/>
    <w:pPr>
      <w:spacing w:after="120"/>
    </w:pPr>
    <w:rPr>
      <w:rFonts w:ascii="宋体" w:hAnsi="宋体" w:eastAsia="宋体" w:cs="Times New Roman"/>
      <w:sz w:val="21"/>
    </w:rPr>
  </w:style>
  <w:style w:type="paragraph" w:styleId="13">
    <w:name w:val="annotation subject"/>
    <w:basedOn w:val="14"/>
    <w:next w:val="14"/>
    <w:link w:val="102"/>
    <w:unhideWhenUsed/>
    <w:qFormat/>
    <w:uiPriority w:val="0"/>
    <w:rPr>
      <w:b/>
      <w:bCs/>
    </w:rPr>
  </w:style>
  <w:style w:type="paragraph" w:styleId="14">
    <w:name w:val="annotation text"/>
    <w:basedOn w:val="1"/>
    <w:link w:val="80"/>
    <w:unhideWhenUsed/>
    <w:qFormat/>
    <w:uiPriority w:val="0"/>
    <w:pPr>
      <w:jc w:val="left"/>
    </w:pPr>
    <w:rPr>
      <w:rFonts w:ascii="宋体" w:hAnsi="宋体" w:eastAsia="宋体" w:cs="Times New Roman"/>
      <w:kern w:val="0"/>
      <w:sz w:val="28"/>
    </w:rPr>
  </w:style>
  <w:style w:type="paragraph" w:styleId="15">
    <w:name w:val="toc 7"/>
    <w:basedOn w:val="1"/>
    <w:next w:val="1"/>
    <w:unhideWhenUsed/>
    <w:qFormat/>
    <w:uiPriority w:val="39"/>
    <w:pPr>
      <w:ind w:left="1260"/>
      <w:jc w:val="left"/>
    </w:pPr>
    <w:rPr>
      <w:rFonts w:ascii="Calibri" w:hAnsi="Calibri" w:eastAsia="宋体" w:cs="Times New Roman"/>
      <w:sz w:val="18"/>
      <w:szCs w:val="18"/>
    </w:rPr>
  </w:style>
  <w:style w:type="paragraph" w:styleId="16">
    <w:name w:val="Note Heading"/>
    <w:basedOn w:val="1"/>
    <w:next w:val="1"/>
    <w:link w:val="76"/>
    <w:qFormat/>
    <w:uiPriority w:val="0"/>
    <w:pPr>
      <w:jc w:val="center"/>
    </w:pPr>
    <w:rPr>
      <w:rFonts w:ascii="宋体" w:hAnsi="Times New Roman" w:eastAsia="宋体" w:cs="Times New Roman"/>
      <w:sz w:val="21"/>
      <w:szCs w:val="20"/>
    </w:rPr>
  </w:style>
  <w:style w:type="paragraph" w:styleId="17">
    <w:name w:val="Normal Indent"/>
    <w:basedOn w:val="1"/>
    <w:link w:val="71"/>
    <w:qFormat/>
    <w:uiPriority w:val="0"/>
    <w:pPr>
      <w:tabs>
        <w:tab w:val="left" w:pos="105"/>
      </w:tabs>
      <w:ind w:firstLine="560" w:firstLineChars="200"/>
    </w:pPr>
    <w:rPr>
      <w:rFonts w:ascii="Times New Roman" w:hAnsi="Times New Roman" w:eastAsia="宋体" w:cs="Times New Roman"/>
      <w:kern w:val="0"/>
      <w:sz w:val="24"/>
      <w:szCs w:val="20"/>
    </w:rPr>
  </w:style>
  <w:style w:type="paragraph" w:styleId="18">
    <w:name w:val="Document Map"/>
    <w:basedOn w:val="1"/>
    <w:link w:val="78"/>
    <w:unhideWhenUsed/>
    <w:qFormat/>
    <w:uiPriority w:val="0"/>
    <w:rPr>
      <w:rFonts w:ascii="宋体" w:hAnsi="Times New Roman" w:eastAsia="宋体" w:cs="Times New Roman"/>
      <w:kern w:val="0"/>
      <w:sz w:val="18"/>
      <w:szCs w:val="18"/>
    </w:rPr>
  </w:style>
  <w:style w:type="paragraph" w:styleId="19">
    <w:name w:val="Body Text 3"/>
    <w:basedOn w:val="1"/>
    <w:link w:val="81"/>
    <w:unhideWhenUsed/>
    <w:qFormat/>
    <w:uiPriority w:val="0"/>
    <w:pPr>
      <w:spacing w:after="120"/>
    </w:pPr>
    <w:rPr>
      <w:rFonts w:ascii="Times New Roman" w:hAnsi="Times New Roman" w:eastAsia="宋体" w:cs="Times New Roman"/>
      <w:b/>
      <w:bCs/>
      <w:kern w:val="0"/>
      <w:sz w:val="24"/>
      <w:szCs w:val="28"/>
    </w:rPr>
  </w:style>
  <w:style w:type="paragraph" w:styleId="20">
    <w:name w:val="Body Text Indent"/>
    <w:basedOn w:val="1"/>
    <w:link w:val="84"/>
    <w:qFormat/>
    <w:uiPriority w:val="0"/>
    <w:pPr>
      <w:spacing w:after="120"/>
      <w:ind w:left="420" w:leftChars="200"/>
    </w:pPr>
    <w:rPr>
      <w:rFonts w:ascii="Times New Roman" w:hAnsi="Times New Roman" w:eastAsia="宋体" w:cs="Times New Roman"/>
      <w:kern w:val="0"/>
      <w:sz w:val="20"/>
    </w:rPr>
  </w:style>
  <w:style w:type="paragraph" w:styleId="21">
    <w:name w:val="Block Text"/>
    <w:basedOn w:val="1"/>
    <w:qFormat/>
    <w:uiPriority w:val="99"/>
    <w:pPr>
      <w:spacing w:line="560" w:lineRule="exact"/>
      <w:ind w:left="1119" w:leftChars="533" w:right="105" w:rightChars="50" w:firstLine="560" w:firstLineChars="200"/>
    </w:pPr>
    <w:rPr>
      <w:rFonts w:ascii="宋体" w:hAnsi="Times New Roman" w:eastAsia="宋体" w:cs="Times New Roman"/>
      <w:sz w:val="28"/>
    </w:rPr>
  </w:style>
  <w:style w:type="paragraph" w:styleId="22">
    <w:name w:val="toc 5"/>
    <w:basedOn w:val="1"/>
    <w:next w:val="1"/>
    <w:unhideWhenUsed/>
    <w:qFormat/>
    <w:uiPriority w:val="39"/>
    <w:pPr>
      <w:ind w:left="840"/>
      <w:jc w:val="left"/>
    </w:pPr>
    <w:rPr>
      <w:rFonts w:ascii="Calibri" w:hAnsi="Calibri" w:eastAsia="宋体" w:cs="Times New Roman"/>
      <w:sz w:val="18"/>
      <w:szCs w:val="18"/>
    </w:rPr>
  </w:style>
  <w:style w:type="paragraph" w:styleId="23">
    <w:name w:val="toc 3"/>
    <w:basedOn w:val="1"/>
    <w:next w:val="1"/>
    <w:unhideWhenUsed/>
    <w:qFormat/>
    <w:uiPriority w:val="39"/>
    <w:pPr>
      <w:ind w:left="420"/>
      <w:jc w:val="left"/>
    </w:pPr>
    <w:rPr>
      <w:rFonts w:ascii="Calibri" w:hAnsi="Calibri" w:eastAsia="宋体" w:cs="Times New Roman"/>
      <w:i/>
      <w:iCs/>
      <w:sz w:val="20"/>
      <w:szCs w:val="20"/>
    </w:rPr>
  </w:style>
  <w:style w:type="paragraph" w:styleId="24">
    <w:name w:val="Plain Text"/>
    <w:basedOn w:val="1"/>
    <w:link w:val="86"/>
    <w:unhideWhenUsed/>
    <w:qFormat/>
    <w:uiPriority w:val="0"/>
    <w:rPr>
      <w:rFonts w:ascii="宋体" w:hAnsi="Courier New" w:eastAsia="宋体" w:cs="Times New Roman"/>
      <w:kern w:val="0"/>
      <w:sz w:val="20"/>
      <w:szCs w:val="21"/>
    </w:rPr>
  </w:style>
  <w:style w:type="paragraph" w:styleId="25">
    <w:name w:val="toc 8"/>
    <w:basedOn w:val="1"/>
    <w:next w:val="1"/>
    <w:unhideWhenUsed/>
    <w:qFormat/>
    <w:uiPriority w:val="39"/>
    <w:pPr>
      <w:ind w:left="1470"/>
      <w:jc w:val="left"/>
    </w:pPr>
    <w:rPr>
      <w:rFonts w:ascii="Calibri" w:hAnsi="Calibri" w:eastAsia="宋体" w:cs="Times New Roman"/>
      <w:sz w:val="18"/>
      <w:szCs w:val="18"/>
    </w:rPr>
  </w:style>
  <w:style w:type="paragraph" w:styleId="26">
    <w:name w:val="Date"/>
    <w:basedOn w:val="1"/>
    <w:next w:val="1"/>
    <w:link w:val="88"/>
    <w:unhideWhenUsed/>
    <w:qFormat/>
    <w:uiPriority w:val="0"/>
    <w:pPr>
      <w:ind w:left="100" w:leftChars="2500"/>
    </w:pPr>
    <w:rPr>
      <w:rFonts w:ascii="Times New Roman" w:hAnsi="Times New Roman" w:eastAsia="宋体" w:cs="Times New Roman"/>
      <w:kern w:val="0"/>
      <w:sz w:val="20"/>
    </w:rPr>
  </w:style>
  <w:style w:type="paragraph" w:styleId="27">
    <w:name w:val="Body Text Indent 2"/>
    <w:basedOn w:val="1"/>
    <w:link w:val="89"/>
    <w:unhideWhenUsed/>
    <w:qFormat/>
    <w:uiPriority w:val="0"/>
    <w:pPr>
      <w:spacing w:after="120" w:line="480" w:lineRule="auto"/>
      <w:ind w:left="420" w:leftChars="200"/>
    </w:pPr>
    <w:rPr>
      <w:rFonts w:ascii="Times New Roman" w:hAnsi="Times New Roman" w:eastAsia="宋体" w:cs="Times New Roman"/>
      <w:kern w:val="0"/>
      <w:sz w:val="20"/>
    </w:rPr>
  </w:style>
  <w:style w:type="paragraph" w:styleId="28">
    <w:name w:val="Balloon Text"/>
    <w:basedOn w:val="1"/>
    <w:link w:val="91"/>
    <w:unhideWhenUsed/>
    <w:qFormat/>
    <w:uiPriority w:val="0"/>
    <w:rPr>
      <w:rFonts w:ascii="Times New Roman" w:hAnsi="Times New Roman" w:eastAsia="宋体" w:cs="Times New Roman"/>
      <w:kern w:val="0"/>
      <w:sz w:val="18"/>
      <w:szCs w:val="18"/>
    </w:rPr>
  </w:style>
  <w:style w:type="paragraph" w:styleId="29">
    <w:name w:val="footer"/>
    <w:basedOn w:val="1"/>
    <w:link w:val="59"/>
    <w:qFormat/>
    <w:uiPriority w:val="0"/>
    <w:pPr>
      <w:tabs>
        <w:tab w:val="center" w:pos="4153"/>
        <w:tab w:val="right" w:pos="8306"/>
      </w:tabs>
      <w:snapToGrid w:val="0"/>
      <w:jc w:val="left"/>
    </w:pPr>
    <w:rPr>
      <w:sz w:val="18"/>
    </w:rPr>
  </w:style>
  <w:style w:type="paragraph" w:styleId="30">
    <w:name w:val="envelope return"/>
    <w:basedOn w:val="1"/>
    <w:qFormat/>
    <w:uiPriority w:val="0"/>
    <w:pPr>
      <w:snapToGrid w:val="0"/>
    </w:pPr>
    <w:rPr>
      <w:rFonts w:ascii="Arial" w:hAnsi="Arial" w:eastAsia="宋体" w:cs="Arial"/>
      <w:sz w:val="21"/>
    </w:rPr>
  </w:style>
  <w:style w:type="paragraph" w:styleId="31">
    <w:name w:val="Body Text First Indent 2"/>
    <w:basedOn w:val="20"/>
    <w:link w:val="105"/>
    <w:unhideWhenUsed/>
    <w:qFormat/>
    <w:uiPriority w:val="0"/>
    <w:pPr>
      <w:ind w:firstLine="420" w:firstLineChars="200"/>
    </w:pPr>
  </w:style>
  <w:style w:type="paragraph" w:styleId="32">
    <w:name w:val="header"/>
    <w:basedOn w:val="1"/>
    <w:link w:val="5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3">
    <w:name w:val="toc 1"/>
    <w:basedOn w:val="1"/>
    <w:next w:val="1"/>
    <w:qFormat/>
    <w:uiPriority w:val="39"/>
    <w:pPr>
      <w:spacing w:before="120" w:after="120"/>
      <w:jc w:val="left"/>
    </w:pPr>
    <w:rPr>
      <w:rFonts w:ascii="Times New Roman" w:hAnsi="Times New Roman" w:eastAsia="宋体" w:cs="Times New Roman"/>
      <w:b/>
      <w:bCs/>
      <w:caps/>
      <w:kern w:val="0"/>
      <w:sz w:val="20"/>
      <w:szCs w:val="20"/>
    </w:rPr>
  </w:style>
  <w:style w:type="paragraph" w:styleId="34">
    <w:name w:val="toc 4"/>
    <w:basedOn w:val="1"/>
    <w:next w:val="1"/>
    <w:unhideWhenUsed/>
    <w:qFormat/>
    <w:uiPriority w:val="39"/>
    <w:pPr>
      <w:ind w:left="630"/>
      <w:jc w:val="left"/>
    </w:pPr>
    <w:rPr>
      <w:rFonts w:ascii="Calibri" w:hAnsi="Calibri" w:eastAsia="宋体" w:cs="Times New Roman"/>
      <w:sz w:val="18"/>
      <w:szCs w:val="18"/>
    </w:rPr>
  </w:style>
  <w:style w:type="paragraph" w:styleId="35">
    <w:name w:val="index heading"/>
    <w:basedOn w:val="1"/>
    <w:next w:val="36"/>
    <w:unhideWhenUsed/>
    <w:qFormat/>
    <w:uiPriority w:val="0"/>
    <w:rPr>
      <w:rFonts w:ascii="Times New Roman" w:hAnsi="Times New Roman" w:eastAsia="宋体" w:cs="Times New Roman"/>
      <w:sz w:val="21"/>
    </w:rPr>
  </w:style>
  <w:style w:type="paragraph" w:styleId="36">
    <w:name w:val="index 1"/>
    <w:basedOn w:val="1"/>
    <w:next w:val="1"/>
    <w:qFormat/>
    <w:uiPriority w:val="0"/>
  </w:style>
  <w:style w:type="paragraph" w:styleId="37">
    <w:name w:val="List"/>
    <w:basedOn w:val="1"/>
    <w:qFormat/>
    <w:uiPriority w:val="0"/>
    <w:pPr>
      <w:widowControl/>
      <w:overflowPunct w:val="0"/>
      <w:autoSpaceDE w:val="0"/>
      <w:autoSpaceDN w:val="0"/>
      <w:adjustRightInd w:val="0"/>
      <w:spacing w:line="360" w:lineRule="auto"/>
      <w:jc w:val="center"/>
      <w:textAlignment w:val="baseline"/>
    </w:pPr>
    <w:rPr>
      <w:rFonts w:ascii="宋体" w:hAnsi="宋体" w:eastAsia="宋体" w:cs="Times New Roman"/>
      <w:kern w:val="0"/>
      <w:sz w:val="21"/>
      <w:szCs w:val="20"/>
      <w:lang w:val="en-GB"/>
    </w:rPr>
  </w:style>
  <w:style w:type="paragraph" w:styleId="38">
    <w:name w:val="footnote text"/>
    <w:basedOn w:val="1"/>
    <w:link w:val="94"/>
    <w:unhideWhenUsed/>
    <w:qFormat/>
    <w:uiPriority w:val="0"/>
    <w:pPr>
      <w:snapToGrid w:val="0"/>
      <w:jc w:val="left"/>
    </w:pPr>
    <w:rPr>
      <w:rFonts w:ascii="Times New Roman" w:hAnsi="Times New Roman" w:eastAsia="宋体" w:cs="Times New Roman"/>
      <w:kern w:val="0"/>
      <w:sz w:val="18"/>
      <w:szCs w:val="18"/>
    </w:rPr>
  </w:style>
  <w:style w:type="paragraph" w:styleId="39">
    <w:name w:val="toc 6"/>
    <w:basedOn w:val="1"/>
    <w:next w:val="1"/>
    <w:unhideWhenUsed/>
    <w:qFormat/>
    <w:uiPriority w:val="39"/>
    <w:pPr>
      <w:ind w:left="1050"/>
      <w:jc w:val="left"/>
    </w:pPr>
    <w:rPr>
      <w:rFonts w:ascii="Calibri" w:hAnsi="Calibri" w:eastAsia="宋体" w:cs="Times New Roman"/>
      <w:sz w:val="18"/>
      <w:szCs w:val="18"/>
    </w:rPr>
  </w:style>
  <w:style w:type="paragraph" w:styleId="40">
    <w:name w:val="Body Text Indent 3"/>
    <w:basedOn w:val="1"/>
    <w:link w:val="95"/>
    <w:unhideWhenUsed/>
    <w:qFormat/>
    <w:uiPriority w:val="0"/>
    <w:pPr>
      <w:spacing w:line="360" w:lineRule="auto"/>
      <w:ind w:firstLine="480" w:firstLineChars="200"/>
    </w:pPr>
    <w:rPr>
      <w:rFonts w:ascii="Times New Roman" w:hAnsi="Times New Roman" w:eastAsia="宋体" w:cs="Times New Roman"/>
      <w:kern w:val="0"/>
      <w:sz w:val="24"/>
    </w:rPr>
  </w:style>
  <w:style w:type="paragraph" w:styleId="41">
    <w:name w:val="toc 2"/>
    <w:basedOn w:val="1"/>
    <w:next w:val="1"/>
    <w:qFormat/>
    <w:uiPriority w:val="39"/>
    <w:pPr>
      <w:ind w:left="200"/>
      <w:jc w:val="left"/>
    </w:pPr>
    <w:rPr>
      <w:rFonts w:ascii="Times New Roman" w:hAnsi="Times New Roman" w:eastAsia="宋体" w:cs="Times New Roman"/>
      <w:smallCaps/>
      <w:kern w:val="0"/>
      <w:sz w:val="20"/>
      <w:szCs w:val="20"/>
    </w:rPr>
  </w:style>
  <w:style w:type="paragraph" w:styleId="42">
    <w:name w:val="toc 9"/>
    <w:basedOn w:val="1"/>
    <w:next w:val="1"/>
    <w:unhideWhenUsed/>
    <w:qFormat/>
    <w:uiPriority w:val="39"/>
    <w:pPr>
      <w:ind w:left="1680"/>
      <w:jc w:val="left"/>
    </w:pPr>
    <w:rPr>
      <w:rFonts w:ascii="Calibri" w:hAnsi="Calibri" w:eastAsia="宋体" w:cs="Times New Roman"/>
      <w:sz w:val="18"/>
      <w:szCs w:val="18"/>
    </w:rPr>
  </w:style>
  <w:style w:type="paragraph" w:styleId="43">
    <w:name w:val="Body Text 2"/>
    <w:basedOn w:val="1"/>
    <w:link w:val="97"/>
    <w:unhideWhenUsed/>
    <w:qFormat/>
    <w:uiPriority w:val="0"/>
    <w:pPr>
      <w:spacing w:after="120" w:line="480" w:lineRule="auto"/>
    </w:pPr>
    <w:rPr>
      <w:rFonts w:ascii="Times New Roman" w:hAnsi="Times New Roman" w:eastAsia="宋体" w:cs="Times New Roman"/>
      <w:kern w:val="0"/>
      <w:sz w:val="20"/>
    </w:rPr>
  </w:style>
  <w:style w:type="paragraph" w:styleId="44">
    <w:name w:val="HTML Preformatted"/>
    <w:basedOn w:val="1"/>
    <w:link w:val="9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45">
    <w:name w:val="Normal (Web)"/>
    <w:basedOn w:val="1"/>
    <w:link w:val="63"/>
    <w:unhideWhenUsed/>
    <w:qFormat/>
    <w:uiPriority w:val="0"/>
    <w:pPr>
      <w:jc w:val="left"/>
    </w:pPr>
    <w:rPr>
      <w:rFonts w:ascii="Arial" w:hAnsi="Arial" w:cs="Times New Roman"/>
      <w:kern w:val="0"/>
      <w:sz w:val="24"/>
    </w:rPr>
  </w:style>
  <w:style w:type="paragraph" w:styleId="46">
    <w:name w:val="Title"/>
    <w:basedOn w:val="1"/>
    <w:next w:val="1"/>
    <w:link w:val="100"/>
    <w:qFormat/>
    <w:uiPriority w:val="0"/>
    <w:pPr>
      <w:spacing w:before="240" w:after="60"/>
      <w:jc w:val="center"/>
      <w:outlineLvl w:val="0"/>
    </w:pPr>
    <w:rPr>
      <w:rFonts w:ascii="Cambria" w:hAnsi="Cambria" w:eastAsia="宋体" w:cs="Times New Roman"/>
      <w:b/>
      <w:bCs/>
      <w:kern w:val="0"/>
      <w:szCs w:val="32"/>
    </w:rPr>
  </w:style>
  <w:style w:type="character" w:styleId="48">
    <w:name w:val="Strong"/>
    <w:qFormat/>
    <w:uiPriority w:val="0"/>
    <w:rPr>
      <w:b/>
      <w:bCs/>
    </w:rPr>
  </w:style>
  <w:style w:type="character" w:styleId="49">
    <w:name w:val="page number"/>
    <w:basedOn w:val="47"/>
    <w:qFormat/>
    <w:uiPriority w:val="0"/>
  </w:style>
  <w:style w:type="character" w:styleId="50">
    <w:name w:val="FollowedHyperlink"/>
    <w:unhideWhenUsed/>
    <w:qFormat/>
    <w:uiPriority w:val="99"/>
    <w:rPr>
      <w:color w:val="800080"/>
      <w:u w:val="single"/>
    </w:rPr>
  </w:style>
  <w:style w:type="character" w:styleId="51">
    <w:name w:val="Emphasis"/>
    <w:qFormat/>
    <w:uiPriority w:val="20"/>
    <w:rPr>
      <w:i/>
      <w:iCs/>
    </w:rPr>
  </w:style>
  <w:style w:type="character" w:styleId="52">
    <w:name w:val="Hyperlink"/>
    <w:qFormat/>
    <w:uiPriority w:val="99"/>
    <w:rPr>
      <w:color w:val="000000"/>
      <w:sz w:val="18"/>
      <w:szCs w:val="18"/>
      <w:u w:val="none"/>
    </w:rPr>
  </w:style>
  <w:style w:type="character" w:styleId="53">
    <w:name w:val="annotation reference"/>
    <w:unhideWhenUsed/>
    <w:qFormat/>
    <w:uiPriority w:val="0"/>
    <w:rPr>
      <w:sz w:val="21"/>
      <w:szCs w:val="21"/>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6">
    <w:name w:val="Default"/>
    <w:link w:val="1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7">
    <w:name w:val="标题 1 字符"/>
    <w:basedOn w:val="47"/>
    <w:qFormat/>
    <w:uiPriority w:val="0"/>
    <w:rPr>
      <w:rFonts w:eastAsia="方正仿宋_GBK" w:asciiTheme="minorHAnsi" w:hAnsiTheme="minorHAnsi" w:cstheme="minorBidi"/>
      <w:b/>
      <w:bCs/>
      <w:kern w:val="44"/>
      <w:sz w:val="44"/>
      <w:szCs w:val="44"/>
    </w:rPr>
  </w:style>
  <w:style w:type="character" w:customStyle="1" w:styleId="58">
    <w:name w:val="页眉 字符"/>
    <w:basedOn w:val="47"/>
    <w:link w:val="32"/>
    <w:qFormat/>
    <w:uiPriority w:val="99"/>
    <w:rPr>
      <w:rFonts w:eastAsia="方正仿宋_GBK" w:asciiTheme="minorHAnsi" w:hAnsiTheme="minorHAnsi" w:cstheme="minorBidi"/>
      <w:kern w:val="2"/>
      <w:sz w:val="18"/>
      <w:szCs w:val="24"/>
    </w:rPr>
  </w:style>
  <w:style w:type="character" w:customStyle="1" w:styleId="59">
    <w:name w:val="页脚 字符"/>
    <w:basedOn w:val="47"/>
    <w:link w:val="29"/>
    <w:qFormat/>
    <w:uiPriority w:val="0"/>
    <w:rPr>
      <w:rFonts w:eastAsia="方正仿宋_GBK" w:asciiTheme="minorHAnsi" w:hAnsiTheme="minorHAnsi" w:cstheme="minorBidi"/>
      <w:kern w:val="2"/>
      <w:sz w:val="18"/>
      <w:szCs w:val="24"/>
    </w:rPr>
  </w:style>
  <w:style w:type="character" w:customStyle="1" w:styleId="60">
    <w:name w:val="标题 1 字符1"/>
    <w:link w:val="4"/>
    <w:qFormat/>
    <w:uiPriority w:val="0"/>
    <w:rPr>
      <w:b/>
      <w:kern w:val="44"/>
      <w:sz w:val="44"/>
      <w:szCs w:val="24"/>
      <w:lang w:val="zh-CN" w:eastAsia="zh-CN"/>
    </w:rPr>
  </w:style>
  <w:style w:type="character" w:customStyle="1" w:styleId="61">
    <w:name w:val="标题 2 字符"/>
    <w:basedOn w:val="47"/>
    <w:link w:val="5"/>
    <w:qFormat/>
    <w:uiPriority w:val="0"/>
    <w:rPr>
      <w:rFonts w:asciiTheme="majorHAnsi" w:hAnsiTheme="majorHAnsi" w:eastAsiaTheme="majorEastAsia" w:cstheme="majorBidi"/>
      <w:b/>
      <w:bCs/>
      <w:kern w:val="2"/>
      <w:sz w:val="32"/>
      <w:szCs w:val="32"/>
    </w:rPr>
  </w:style>
  <w:style w:type="character" w:customStyle="1" w:styleId="62">
    <w:name w:val="正文文本 字符"/>
    <w:basedOn w:val="47"/>
    <w:link w:val="3"/>
    <w:qFormat/>
    <w:uiPriority w:val="0"/>
    <w:rPr>
      <w:rFonts w:ascii="宋体" w:hAnsi="宋体"/>
      <w:kern w:val="2"/>
      <w:sz w:val="21"/>
      <w:szCs w:val="24"/>
    </w:rPr>
  </w:style>
  <w:style w:type="character" w:customStyle="1" w:styleId="63">
    <w:name w:val="普通(网站) 字符"/>
    <w:link w:val="45"/>
    <w:qFormat/>
    <w:uiPriority w:val="0"/>
    <w:rPr>
      <w:rFonts w:ascii="Arial" w:hAnsi="Arial" w:eastAsia="方正仿宋_GBK"/>
      <w:sz w:val="24"/>
      <w:szCs w:val="24"/>
    </w:rPr>
  </w:style>
  <w:style w:type="character" w:customStyle="1" w:styleId="64">
    <w:name w:val="标题 3 Char"/>
    <w:basedOn w:val="47"/>
    <w:qFormat/>
    <w:uiPriority w:val="0"/>
    <w:rPr>
      <w:rFonts w:eastAsia="方正仿宋_GBK" w:asciiTheme="minorHAnsi" w:hAnsiTheme="minorHAnsi" w:cstheme="minorBidi"/>
      <w:b/>
      <w:bCs/>
      <w:kern w:val="2"/>
      <w:sz w:val="32"/>
      <w:szCs w:val="32"/>
    </w:rPr>
  </w:style>
  <w:style w:type="character" w:customStyle="1" w:styleId="65">
    <w:name w:val="标题 4 Char"/>
    <w:basedOn w:val="47"/>
    <w:qFormat/>
    <w:uiPriority w:val="0"/>
    <w:rPr>
      <w:rFonts w:asciiTheme="majorHAnsi" w:hAnsiTheme="majorHAnsi" w:eastAsiaTheme="majorEastAsia" w:cstheme="majorBidi"/>
      <w:b/>
      <w:bCs/>
      <w:kern w:val="2"/>
      <w:sz w:val="28"/>
      <w:szCs w:val="28"/>
    </w:rPr>
  </w:style>
  <w:style w:type="character" w:customStyle="1" w:styleId="66">
    <w:name w:val="标题 5 字符"/>
    <w:basedOn w:val="47"/>
    <w:link w:val="8"/>
    <w:qFormat/>
    <w:uiPriority w:val="0"/>
    <w:rPr>
      <w:rFonts w:ascii="Times New Roman" w:hAnsi="Times New Roman"/>
      <w:b/>
      <w:bCs/>
      <w:kern w:val="2"/>
      <w:sz w:val="28"/>
      <w:szCs w:val="28"/>
    </w:rPr>
  </w:style>
  <w:style w:type="character" w:customStyle="1" w:styleId="67">
    <w:name w:val="标题 6 字符"/>
    <w:basedOn w:val="47"/>
    <w:link w:val="9"/>
    <w:qFormat/>
    <w:uiPriority w:val="0"/>
    <w:rPr>
      <w:rFonts w:ascii="Arial" w:hAnsi="Arial" w:eastAsia="华文细黑"/>
      <w:bCs/>
      <w:sz w:val="24"/>
    </w:rPr>
  </w:style>
  <w:style w:type="character" w:customStyle="1" w:styleId="68">
    <w:name w:val="标题 7 字符"/>
    <w:basedOn w:val="47"/>
    <w:link w:val="10"/>
    <w:qFormat/>
    <w:uiPriority w:val="99"/>
    <w:rPr>
      <w:rFonts w:ascii="Times New Roman" w:hAnsi="Times New Roman" w:eastAsia="华文细黑"/>
      <w:sz w:val="24"/>
      <w:szCs w:val="24"/>
    </w:rPr>
  </w:style>
  <w:style w:type="character" w:customStyle="1" w:styleId="69">
    <w:name w:val="标题 8 字符"/>
    <w:basedOn w:val="47"/>
    <w:link w:val="11"/>
    <w:qFormat/>
    <w:uiPriority w:val="99"/>
    <w:rPr>
      <w:rFonts w:ascii="Times New Roman" w:hAnsi="Times New Roman" w:eastAsia="华文细黑"/>
      <w:i/>
      <w:iCs/>
      <w:sz w:val="24"/>
      <w:szCs w:val="24"/>
    </w:rPr>
  </w:style>
  <w:style w:type="character" w:customStyle="1" w:styleId="70">
    <w:name w:val="标题 9 字符"/>
    <w:basedOn w:val="47"/>
    <w:link w:val="12"/>
    <w:qFormat/>
    <w:uiPriority w:val="99"/>
    <w:rPr>
      <w:rFonts w:ascii="Arial" w:hAnsi="Arial" w:eastAsia="华文细黑"/>
      <w:sz w:val="22"/>
      <w:szCs w:val="22"/>
    </w:rPr>
  </w:style>
  <w:style w:type="character" w:customStyle="1" w:styleId="71">
    <w:name w:val="正文缩进 字符"/>
    <w:link w:val="17"/>
    <w:qFormat/>
    <w:uiPriority w:val="0"/>
    <w:rPr>
      <w:rFonts w:ascii="Times New Roman" w:hAnsi="Times New Roman"/>
      <w:sz w:val="24"/>
    </w:rPr>
  </w:style>
  <w:style w:type="character" w:customStyle="1" w:styleId="72">
    <w:name w:val="标题 1 Char2"/>
    <w:qFormat/>
    <w:uiPriority w:val="0"/>
    <w:rPr>
      <w:rFonts w:ascii="Times New Roman" w:hAnsi="Times New Roman" w:eastAsia="宋体" w:cs="Times New Roman"/>
      <w:b/>
      <w:bCs/>
      <w:kern w:val="44"/>
      <w:sz w:val="44"/>
      <w:szCs w:val="44"/>
    </w:rPr>
  </w:style>
  <w:style w:type="character" w:customStyle="1" w:styleId="73">
    <w:name w:val="标题 2 Char1"/>
    <w:qFormat/>
    <w:uiPriority w:val="0"/>
    <w:rPr>
      <w:rFonts w:ascii="Arial" w:hAnsi="Arial" w:eastAsia="黑体" w:cs="Times New Roman"/>
      <w:sz w:val="32"/>
      <w:szCs w:val="32"/>
    </w:rPr>
  </w:style>
  <w:style w:type="character" w:customStyle="1" w:styleId="74">
    <w:name w:val="标题 3 字符"/>
    <w:link w:val="6"/>
    <w:qFormat/>
    <w:uiPriority w:val="0"/>
    <w:rPr>
      <w:rFonts w:ascii="Times New Roman" w:hAnsi="Times New Roman"/>
      <w:b/>
      <w:bCs/>
      <w:sz w:val="32"/>
      <w:szCs w:val="32"/>
    </w:rPr>
  </w:style>
  <w:style w:type="character" w:customStyle="1" w:styleId="75">
    <w:name w:val="标题 4 字符"/>
    <w:link w:val="7"/>
    <w:qFormat/>
    <w:uiPriority w:val="0"/>
    <w:rPr>
      <w:rFonts w:ascii="Arial" w:hAnsi="Arial" w:eastAsia="黑体"/>
      <w:b/>
      <w:bCs/>
      <w:sz w:val="28"/>
      <w:szCs w:val="28"/>
    </w:rPr>
  </w:style>
  <w:style w:type="character" w:customStyle="1" w:styleId="76">
    <w:name w:val="注释标题 字符"/>
    <w:basedOn w:val="47"/>
    <w:link w:val="16"/>
    <w:qFormat/>
    <w:uiPriority w:val="0"/>
    <w:rPr>
      <w:rFonts w:ascii="宋体" w:hAnsi="Times New Roman"/>
      <w:kern w:val="2"/>
      <w:sz w:val="21"/>
    </w:rPr>
  </w:style>
  <w:style w:type="character" w:customStyle="1" w:styleId="77">
    <w:name w:val="文档结构图 Char"/>
    <w:basedOn w:val="47"/>
    <w:qFormat/>
    <w:uiPriority w:val="0"/>
    <w:rPr>
      <w:rFonts w:ascii="宋体" w:hAnsiTheme="minorHAnsi" w:cstheme="minorBidi"/>
      <w:kern w:val="2"/>
      <w:sz w:val="18"/>
      <w:szCs w:val="18"/>
    </w:rPr>
  </w:style>
  <w:style w:type="character" w:customStyle="1" w:styleId="78">
    <w:name w:val="文档结构图 字符"/>
    <w:link w:val="18"/>
    <w:qFormat/>
    <w:uiPriority w:val="0"/>
    <w:rPr>
      <w:rFonts w:ascii="宋体" w:hAnsi="Times New Roman"/>
      <w:sz w:val="18"/>
      <w:szCs w:val="18"/>
    </w:rPr>
  </w:style>
  <w:style w:type="character" w:customStyle="1" w:styleId="79">
    <w:name w:val="批注文字 Char"/>
    <w:basedOn w:val="47"/>
    <w:qFormat/>
    <w:uiPriority w:val="0"/>
    <w:rPr>
      <w:rFonts w:eastAsia="方正仿宋_GBK" w:asciiTheme="minorHAnsi" w:hAnsiTheme="minorHAnsi" w:cstheme="minorBidi"/>
      <w:kern w:val="2"/>
      <w:sz w:val="32"/>
      <w:szCs w:val="24"/>
    </w:rPr>
  </w:style>
  <w:style w:type="character" w:customStyle="1" w:styleId="80">
    <w:name w:val="批注文字 字符"/>
    <w:link w:val="14"/>
    <w:qFormat/>
    <w:locked/>
    <w:uiPriority w:val="0"/>
    <w:rPr>
      <w:rFonts w:ascii="宋体" w:hAnsi="宋体"/>
      <w:sz w:val="28"/>
      <w:szCs w:val="24"/>
    </w:rPr>
  </w:style>
  <w:style w:type="character" w:customStyle="1" w:styleId="81">
    <w:name w:val="正文文本 3 字符"/>
    <w:basedOn w:val="47"/>
    <w:link w:val="19"/>
    <w:qFormat/>
    <w:uiPriority w:val="0"/>
    <w:rPr>
      <w:rFonts w:ascii="Times New Roman" w:hAnsi="Times New Roman"/>
      <w:b/>
      <w:bCs/>
      <w:sz w:val="24"/>
      <w:szCs w:val="28"/>
    </w:rPr>
  </w:style>
  <w:style w:type="character" w:customStyle="1" w:styleId="82">
    <w:name w:val="正文文本 Char2"/>
    <w:qFormat/>
    <w:locked/>
    <w:uiPriority w:val="0"/>
    <w:rPr>
      <w:szCs w:val="24"/>
    </w:rPr>
  </w:style>
  <w:style w:type="character" w:customStyle="1" w:styleId="83">
    <w:name w:val="正文文本缩进 Char"/>
    <w:basedOn w:val="47"/>
    <w:qFormat/>
    <w:uiPriority w:val="0"/>
    <w:rPr>
      <w:rFonts w:eastAsia="方正仿宋_GBK" w:asciiTheme="minorHAnsi" w:hAnsiTheme="minorHAnsi" w:cstheme="minorBidi"/>
      <w:kern w:val="2"/>
      <w:sz w:val="32"/>
      <w:szCs w:val="24"/>
    </w:rPr>
  </w:style>
  <w:style w:type="character" w:customStyle="1" w:styleId="84">
    <w:name w:val="正文文本缩进 字符"/>
    <w:link w:val="20"/>
    <w:qFormat/>
    <w:uiPriority w:val="0"/>
    <w:rPr>
      <w:rFonts w:ascii="Times New Roman" w:hAnsi="Times New Roman"/>
      <w:szCs w:val="24"/>
    </w:rPr>
  </w:style>
  <w:style w:type="character" w:customStyle="1" w:styleId="85">
    <w:name w:val="纯文本 Char"/>
    <w:basedOn w:val="47"/>
    <w:qFormat/>
    <w:uiPriority w:val="0"/>
    <w:rPr>
      <w:rFonts w:ascii="宋体" w:hAnsi="Courier New" w:cs="Courier New"/>
      <w:kern w:val="2"/>
      <w:sz w:val="21"/>
      <w:szCs w:val="21"/>
    </w:rPr>
  </w:style>
  <w:style w:type="character" w:customStyle="1" w:styleId="86">
    <w:name w:val="纯文本 字符"/>
    <w:link w:val="24"/>
    <w:qFormat/>
    <w:locked/>
    <w:uiPriority w:val="0"/>
    <w:rPr>
      <w:rFonts w:ascii="宋体" w:hAnsi="Courier New"/>
      <w:szCs w:val="21"/>
    </w:rPr>
  </w:style>
  <w:style w:type="character" w:customStyle="1" w:styleId="87">
    <w:name w:val="日期 Char"/>
    <w:basedOn w:val="47"/>
    <w:qFormat/>
    <w:uiPriority w:val="0"/>
    <w:rPr>
      <w:rFonts w:eastAsia="方正仿宋_GBK" w:asciiTheme="minorHAnsi" w:hAnsiTheme="minorHAnsi" w:cstheme="minorBidi"/>
      <w:kern w:val="2"/>
      <w:sz w:val="32"/>
      <w:szCs w:val="24"/>
    </w:rPr>
  </w:style>
  <w:style w:type="character" w:customStyle="1" w:styleId="88">
    <w:name w:val="日期 字符"/>
    <w:link w:val="26"/>
    <w:qFormat/>
    <w:uiPriority w:val="0"/>
    <w:rPr>
      <w:rFonts w:ascii="Times New Roman" w:hAnsi="Times New Roman"/>
      <w:szCs w:val="24"/>
    </w:rPr>
  </w:style>
  <w:style w:type="character" w:customStyle="1" w:styleId="89">
    <w:name w:val="正文文本缩进 2 字符"/>
    <w:basedOn w:val="47"/>
    <w:link w:val="27"/>
    <w:qFormat/>
    <w:uiPriority w:val="0"/>
    <w:rPr>
      <w:rFonts w:ascii="Times New Roman" w:hAnsi="Times New Roman"/>
      <w:szCs w:val="24"/>
    </w:rPr>
  </w:style>
  <w:style w:type="character" w:customStyle="1" w:styleId="90">
    <w:name w:val="批注框文本 Char"/>
    <w:basedOn w:val="47"/>
    <w:qFormat/>
    <w:uiPriority w:val="0"/>
    <w:rPr>
      <w:rFonts w:eastAsia="方正仿宋_GBK" w:asciiTheme="minorHAnsi" w:hAnsiTheme="minorHAnsi" w:cstheme="minorBidi"/>
      <w:kern w:val="2"/>
      <w:sz w:val="18"/>
      <w:szCs w:val="18"/>
    </w:rPr>
  </w:style>
  <w:style w:type="character" w:customStyle="1" w:styleId="91">
    <w:name w:val="批注框文本 字符"/>
    <w:link w:val="28"/>
    <w:qFormat/>
    <w:uiPriority w:val="0"/>
    <w:rPr>
      <w:rFonts w:ascii="Times New Roman" w:hAnsi="Times New Roman"/>
      <w:sz w:val="18"/>
      <w:szCs w:val="18"/>
    </w:rPr>
  </w:style>
  <w:style w:type="character" w:customStyle="1" w:styleId="92">
    <w:name w:val="页脚 Char2"/>
    <w:qFormat/>
    <w:uiPriority w:val="99"/>
    <w:rPr>
      <w:sz w:val="18"/>
      <w:szCs w:val="18"/>
    </w:rPr>
  </w:style>
  <w:style w:type="character" w:customStyle="1" w:styleId="93">
    <w:name w:val="页眉 Char2"/>
    <w:qFormat/>
    <w:uiPriority w:val="99"/>
    <w:rPr>
      <w:sz w:val="18"/>
      <w:szCs w:val="18"/>
    </w:rPr>
  </w:style>
  <w:style w:type="character" w:customStyle="1" w:styleId="94">
    <w:name w:val="脚注文本 字符"/>
    <w:basedOn w:val="47"/>
    <w:link w:val="38"/>
    <w:qFormat/>
    <w:uiPriority w:val="0"/>
    <w:rPr>
      <w:rFonts w:ascii="Times New Roman" w:hAnsi="Times New Roman"/>
      <w:sz w:val="18"/>
      <w:szCs w:val="18"/>
    </w:rPr>
  </w:style>
  <w:style w:type="character" w:customStyle="1" w:styleId="95">
    <w:name w:val="正文文本缩进 3 字符"/>
    <w:basedOn w:val="47"/>
    <w:link w:val="40"/>
    <w:qFormat/>
    <w:uiPriority w:val="0"/>
    <w:rPr>
      <w:rFonts w:ascii="Times New Roman" w:hAnsi="Times New Roman"/>
      <w:sz w:val="24"/>
      <w:szCs w:val="24"/>
    </w:rPr>
  </w:style>
  <w:style w:type="character" w:customStyle="1" w:styleId="96">
    <w:name w:val="正文文本 2 Char"/>
    <w:basedOn w:val="47"/>
    <w:qFormat/>
    <w:uiPriority w:val="0"/>
    <w:rPr>
      <w:rFonts w:eastAsia="方正仿宋_GBK" w:asciiTheme="minorHAnsi" w:hAnsiTheme="minorHAnsi" w:cstheme="minorBidi"/>
      <w:kern w:val="2"/>
      <w:sz w:val="32"/>
      <w:szCs w:val="24"/>
    </w:rPr>
  </w:style>
  <w:style w:type="character" w:customStyle="1" w:styleId="97">
    <w:name w:val="正文文本 2 字符"/>
    <w:link w:val="43"/>
    <w:qFormat/>
    <w:locked/>
    <w:uiPriority w:val="0"/>
    <w:rPr>
      <w:rFonts w:ascii="Times New Roman" w:hAnsi="Times New Roman"/>
      <w:szCs w:val="24"/>
    </w:rPr>
  </w:style>
  <w:style w:type="character" w:customStyle="1" w:styleId="98">
    <w:name w:val="HTML 预设格式 字符"/>
    <w:basedOn w:val="47"/>
    <w:link w:val="44"/>
    <w:qFormat/>
    <w:uiPriority w:val="99"/>
    <w:rPr>
      <w:rFonts w:ascii="宋体" w:hAnsi="宋体"/>
      <w:sz w:val="24"/>
      <w:szCs w:val="24"/>
    </w:rPr>
  </w:style>
  <w:style w:type="character" w:customStyle="1" w:styleId="99">
    <w:name w:val="标题 Char"/>
    <w:basedOn w:val="47"/>
    <w:qFormat/>
    <w:uiPriority w:val="0"/>
    <w:rPr>
      <w:rFonts w:asciiTheme="majorHAnsi" w:hAnsiTheme="majorHAnsi" w:cstheme="majorBidi"/>
      <w:b/>
      <w:bCs/>
      <w:kern w:val="2"/>
      <w:sz w:val="32"/>
      <w:szCs w:val="32"/>
    </w:rPr>
  </w:style>
  <w:style w:type="character" w:customStyle="1" w:styleId="100">
    <w:name w:val="标题 字符"/>
    <w:link w:val="46"/>
    <w:qFormat/>
    <w:locked/>
    <w:uiPriority w:val="0"/>
    <w:rPr>
      <w:rFonts w:ascii="Cambria" w:hAnsi="Cambria"/>
      <w:b/>
      <w:bCs/>
      <w:sz w:val="32"/>
      <w:szCs w:val="32"/>
    </w:rPr>
  </w:style>
  <w:style w:type="character" w:customStyle="1" w:styleId="101">
    <w:name w:val="批注主题 Char"/>
    <w:basedOn w:val="79"/>
    <w:qFormat/>
    <w:uiPriority w:val="0"/>
    <w:rPr>
      <w:rFonts w:eastAsia="方正仿宋_GBK" w:asciiTheme="minorHAnsi" w:hAnsiTheme="minorHAnsi" w:cstheme="minorBidi"/>
      <w:b/>
      <w:bCs/>
      <w:kern w:val="2"/>
      <w:sz w:val="32"/>
      <w:szCs w:val="24"/>
    </w:rPr>
  </w:style>
  <w:style w:type="character" w:customStyle="1" w:styleId="102">
    <w:name w:val="批注主题 字符"/>
    <w:link w:val="13"/>
    <w:qFormat/>
    <w:locked/>
    <w:uiPriority w:val="0"/>
    <w:rPr>
      <w:rFonts w:ascii="宋体" w:hAnsi="宋体"/>
      <w:b/>
      <w:bCs/>
      <w:sz w:val="28"/>
      <w:szCs w:val="24"/>
    </w:rPr>
  </w:style>
  <w:style w:type="character" w:customStyle="1" w:styleId="103">
    <w:name w:val="正文首行缩进 Char"/>
    <w:basedOn w:val="62"/>
    <w:qFormat/>
    <w:uiPriority w:val="0"/>
    <w:rPr>
      <w:rFonts w:eastAsia="方正仿宋_GBK" w:asciiTheme="minorHAnsi" w:hAnsiTheme="minorHAnsi" w:cstheme="minorBidi"/>
      <w:kern w:val="2"/>
      <w:sz w:val="32"/>
      <w:szCs w:val="24"/>
    </w:rPr>
  </w:style>
  <w:style w:type="character" w:customStyle="1" w:styleId="104">
    <w:name w:val="正文文本首行缩进 字符"/>
    <w:basedOn w:val="82"/>
    <w:link w:val="2"/>
    <w:qFormat/>
    <w:locked/>
    <w:uiPriority w:val="0"/>
    <w:rPr>
      <w:rFonts w:ascii="Times New Roman" w:hAnsi="Times New Roman"/>
      <w:szCs w:val="24"/>
    </w:rPr>
  </w:style>
  <w:style w:type="character" w:customStyle="1" w:styleId="105">
    <w:name w:val="正文文本首行缩进 2 字符"/>
    <w:basedOn w:val="83"/>
    <w:link w:val="31"/>
    <w:qFormat/>
    <w:uiPriority w:val="0"/>
    <w:rPr>
      <w:rFonts w:ascii="Times New Roman" w:hAnsi="Times New Roman" w:eastAsia="方正仿宋_GBK" w:cstheme="minorBidi"/>
      <w:kern w:val="2"/>
      <w:sz w:val="32"/>
      <w:szCs w:val="24"/>
    </w:rPr>
  </w:style>
  <w:style w:type="character" w:customStyle="1" w:styleId="106">
    <w:name w:val="apple-style-span"/>
    <w:basedOn w:val="47"/>
    <w:qFormat/>
    <w:uiPriority w:val="0"/>
  </w:style>
  <w:style w:type="character" w:customStyle="1" w:styleId="107">
    <w:name w:val="批注主题 Char1"/>
    <w:semiHidden/>
    <w:qFormat/>
    <w:uiPriority w:val="0"/>
    <w:rPr>
      <w:rFonts w:ascii="Times New Roman" w:hAnsi="Times New Roman" w:eastAsia="宋体" w:cs="Times New Roman"/>
      <w:b/>
      <w:bCs/>
      <w:szCs w:val="24"/>
    </w:rPr>
  </w:style>
  <w:style w:type="character" w:customStyle="1" w:styleId="108">
    <w:name w:val="批注框文本 Char2"/>
    <w:semiHidden/>
    <w:qFormat/>
    <w:locked/>
    <w:uiPriority w:val="0"/>
    <w:rPr>
      <w:sz w:val="18"/>
      <w:szCs w:val="18"/>
    </w:rPr>
  </w:style>
  <w:style w:type="character" w:customStyle="1" w:styleId="109">
    <w:name w:val="1标题 Char"/>
    <w:link w:val="110"/>
    <w:qFormat/>
    <w:uiPriority w:val="0"/>
    <w:rPr>
      <w:rFonts w:ascii="宋体" w:hAnsi="宋体"/>
      <w:b/>
      <w:bCs/>
      <w:kern w:val="2"/>
      <w:sz w:val="32"/>
      <w:szCs w:val="44"/>
    </w:rPr>
  </w:style>
  <w:style w:type="paragraph" w:customStyle="1" w:styleId="110">
    <w:name w:val="1标题"/>
    <w:basedOn w:val="4"/>
    <w:link w:val="109"/>
    <w:qFormat/>
    <w:uiPriority w:val="0"/>
    <w:pPr>
      <w:pageBreakBefore/>
      <w:adjustRightInd w:val="0"/>
      <w:snapToGrid w:val="0"/>
      <w:spacing w:line="360" w:lineRule="auto"/>
      <w:jc w:val="center"/>
    </w:pPr>
    <w:rPr>
      <w:rFonts w:ascii="宋体" w:hAnsi="宋体"/>
      <w:bCs/>
      <w:kern w:val="2"/>
      <w:sz w:val="32"/>
      <w:szCs w:val="44"/>
      <w:lang w:val="en-US"/>
    </w:rPr>
  </w:style>
  <w:style w:type="character" w:customStyle="1" w:styleId="111">
    <w:name w:val="font21"/>
    <w:qFormat/>
    <w:uiPriority w:val="0"/>
    <w:rPr>
      <w:rFonts w:hint="default" w:ascii="Times New Roman" w:hAnsi="Times New Roman" w:cs="Times New Roman"/>
      <w:color w:val="000000"/>
      <w:sz w:val="20"/>
      <w:szCs w:val="20"/>
      <w:u w:val="none"/>
    </w:rPr>
  </w:style>
  <w:style w:type="character" w:customStyle="1" w:styleId="112">
    <w:name w:val="标题 3 Char1"/>
    <w:semiHidden/>
    <w:qFormat/>
    <w:uiPriority w:val="0"/>
    <w:rPr>
      <w:b/>
      <w:bCs/>
      <w:kern w:val="2"/>
      <w:sz w:val="32"/>
      <w:szCs w:val="32"/>
    </w:rPr>
  </w:style>
  <w:style w:type="character" w:customStyle="1" w:styleId="113">
    <w:name w:val="正文文本缩进 3 Char1"/>
    <w:semiHidden/>
    <w:qFormat/>
    <w:uiPriority w:val="0"/>
    <w:rPr>
      <w:rFonts w:ascii="Times New Roman" w:hAnsi="Times New Roman" w:eastAsia="宋体" w:cs="Times New Roman"/>
      <w:sz w:val="16"/>
      <w:szCs w:val="16"/>
    </w:rPr>
  </w:style>
  <w:style w:type="character" w:customStyle="1" w:styleId="114">
    <w:name w:val="1正文 Char"/>
    <w:link w:val="115"/>
    <w:qFormat/>
    <w:uiPriority w:val="0"/>
    <w:rPr>
      <w:rFonts w:ascii="宋体" w:hAnsi="宋体"/>
      <w:kern w:val="2"/>
      <w:sz w:val="28"/>
      <w:szCs w:val="28"/>
    </w:rPr>
  </w:style>
  <w:style w:type="paragraph" w:customStyle="1" w:styleId="115">
    <w:name w:val="1正文"/>
    <w:basedOn w:val="1"/>
    <w:link w:val="114"/>
    <w:qFormat/>
    <w:uiPriority w:val="0"/>
    <w:pPr>
      <w:adjustRightInd w:val="0"/>
      <w:snapToGrid w:val="0"/>
      <w:spacing w:line="360" w:lineRule="auto"/>
      <w:ind w:firstLine="560" w:firstLineChars="200"/>
    </w:pPr>
    <w:rPr>
      <w:rFonts w:ascii="宋体" w:hAnsi="宋体" w:eastAsia="宋体" w:cs="Times New Roman"/>
      <w:sz w:val="28"/>
      <w:szCs w:val="28"/>
    </w:rPr>
  </w:style>
  <w:style w:type="character" w:customStyle="1" w:styleId="116">
    <w:name w:val="正文文本缩进 Char1"/>
    <w:semiHidden/>
    <w:qFormat/>
    <w:uiPriority w:val="0"/>
    <w:rPr>
      <w:rFonts w:ascii="Times New Roman" w:hAnsi="Times New Roman" w:eastAsia="宋体" w:cs="Times New Roman"/>
      <w:szCs w:val="24"/>
    </w:rPr>
  </w:style>
  <w:style w:type="character" w:customStyle="1" w:styleId="117">
    <w:name w:val="批注框文本 Char1"/>
    <w:semiHidden/>
    <w:qFormat/>
    <w:uiPriority w:val="0"/>
    <w:rPr>
      <w:kern w:val="2"/>
      <w:sz w:val="18"/>
      <w:szCs w:val="18"/>
    </w:rPr>
  </w:style>
  <w:style w:type="character" w:customStyle="1" w:styleId="118">
    <w:name w:val="2级标题 Char"/>
    <w:link w:val="119"/>
    <w:qFormat/>
    <w:uiPriority w:val="0"/>
    <w:rPr>
      <w:rFonts w:ascii="Times New Roman" w:hAnsi="Times New Roman" w:eastAsia="黑体"/>
      <w:b/>
      <w:snapToGrid w:val="0"/>
      <w:color w:val="FF0000"/>
      <w:w w:val="90"/>
      <w:kern w:val="28"/>
      <w:sz w:val="28"/>
      <w:szCs w:val="28"/>
    </w:rPr>
  </w:style>
  <w:style w:type="paragraph" w:customStyle="1" w:styleId="119">
    <w:name w:val="2级标题"/>
    <w:basedOn w:val="5"/>
    <w:link w:val="118"/>
    <w:qFormat/>
    <w:uiPriority w:val="0"/>
    <w:pPr>
      <w:adjustRightInd w:val="0"/>
      <w:snapToGrid w:val="0"/>
      <w:spacing w:before="0" w:after="0" w:line="360" w:lineRule="auto"/>
      <w:ind w:firstLine="510" w:firstLineChars="200"/>
    </w:pPr>
    <w:rPr>
      <w:rFonts w:ascii="Times New Roman" w:hAnsi="Times New Roman" w:eastAsia="黑体" w:cs="Times New Roman"/>
      <w:bCs w:val="0"/>
      <w:snapToGrid w:val="0"/>
      <w:color w:val="FF0000"/>
      <w:w w:val="90"/>
      <w:kern w:val="28"/>
      <w:sz w:val="28"/>
      <w:szCs w:val="28"/>
    </w:rPr>
  </w:style>
  <w:style w:type="character" w:customStyle="1" w:styleId="120">
    <w:name w:val="c-gap-right2"/>
    <w:qFormat/>
    <w:uiPriority w:val="0"/>
  </w:style>
  <w:style w:type="character" w:customStyle="1" w:styleId="121">
    <w:name w:val="脚注文本 Char1"/>
    <w:semiHidden/>
    <w:qFormat/>
    <w:uiPriority w:val="0"/>
    <w:rPr>
      <w:rFonts w:ascii="Times New Roman" w:hAnsi="Times New Roman" w:eastAsia="宋体" w:cs="Times New Roman"/>
      <w:sz w:val="18"/>
      <w:szCs w:val="18"/>
    </w:rPr>
  </w:style>
  <w:style w:type="character" w:customStyle="1" w:styleId="122">
    <w:name w:val="表格内容 Char"/>
    <w:qFormat/>
    <w:locked/>
    <w:uiPriority w:val="0"/>
    <w:rPr>
      <w:rFonts w:ascii="Arial" w:hAnsi="Arial"/>
      <w:color w:val="000000"/>
      <w:kern w:val="2"/>
      <w:sz w:val="21"/>
    </w:rPr>
  </w:style>
  <w:style w:type="character" w:customStyle="1" w:styleId="123">
    <w:name w:val="3标题 Char"/>
    <w:link w:val="124"/>
    <w:qFormat/>
    <w:uiPriority w:val="0"/>
    <w:rPr>
      <w:rFonts w:ascii="宋体" w:hAnsi="宋体"/>
      <w:b/>
      <w:bCs/>
      <w:color w:val="000000"/>
      <w:kern w:val="2"/>
      <w:sz w:val="28"/>
      <w:szCs w:val="28"/>
    </w:rPr>
  </w:style>
  <w:style w:type="paragraph" w:customStyle="1" w:styleId="124">
    <w:name w:val="3标题"/>
    <w:basedOn w:val="1"/>
    <w:link w:val="123"/>
    <w:qFormat/>
    <w:uiPriority w:val="0"/>
    <w:pPr>
      <w:widowControl/>
      <w:adjustRightInd w:val="0"/>
      <w:snapToGrid w:val="0"/>
      <w:spacing w:line="360" w:lineRule="auto"/>
      <w:ind w:firstLine="562" w:firstLineChars="200"/>
      <w:outlineLvl w:val="2"/>
    </w:pPr>
    <w:rPr>
      <w:rFonts w:ascii="宋体" w:hAnsi="宋体" w:eastAsia="宋体" w:cs="Times New Roman"/>
      <w:b/>
      <w:bCs/>
      <w:color w:val="000000"/>
      <w:sz w:val="28"/>
      <w:szCs w:val="28"/>
    </w:rPr>
  </w:style>
  <w:style w:type="character" w:customStyle="1" w:styleId="125">
    <w:name w:val="页脚 Char1"/>
    <w:semiHidden/>
    <w:qFormat/>
    <w:uiPriority w:val="0"/>
    <w:rPr>
      <w:rFonts w:ascii="Times New Roman" w:hAnsi="Times New Roman" w:eastAsia="宋体" w:cs="Times New Roman"/>
      <w:sz w:val="18"/>
      <w:szCs w:val="18"/>
    </w:rPr>
  </w:style>
  <w:style w:type="character" w:customStyle="1" w:styleId="126">
    <w:name w:val="文章正文 Char"/>
    <w:link w:val="127"/>
    <w:qFormat/>
    <w:uiPriority w:val="0"/>
    <w:rPr>
      <w:rFonts w:ascii="宋体" w:hAnsi="宋体"/>
      <w:sz w:val="28"/>
      <w:szCs w:val="28"/>
      <w:lang w:val="zh-CN" w:eastAsia="zh-CN"/>
    </w:rPr>
  </w:style>
  <w:style w:type="paragraph" w:customStyle="1" w:styleId="127">
    <w:name w:val="文章正文"/>
    <w:basedOn w:val="1"/>
    <w:link w:val="126"/>
    <w:qFormat/>
    <w:uiPriority w:val="0"/>
    <w:pPr>
      <w:tabs>
        <w:tab w:val="left" w:pos="560"/>
      </w:tabs>
      <w:adjustRightInd w:val="0"/>
      <w:snapToGrid w:val="0"/>
      <w:spacing w:line="360" w:lineRule="auto"/>
      <w:ind w:firstLine="412" w:firstLineChars="147"/>
      <w:jc w:val="left"/>
    </w:pPr>
    <w:rPr>
      <w:rFonts w:ascii="宋体" w:hAnsi="宋体" w:eastAsia="宋体" w:cs="Times New Roman"/>
      <w:kern w:val="0"/>
      <w:sz w:val="28"/>
      <w:szCs w:val="28"/>
      <w:lang w:val="zh-CN"/>
    </w:rPr>
  </w:style>
  <w:style w:type="character" w:customStyle="1" w:styleId="128">
    <w:name w:val="页眉 Char1"/>
    <w:qFormat/>
    <w:uiPriority w:val="0"/>
    <w:rPr>
      <w:rFonts w:ascii="Times New Roman" w:hAnsi="Times New Roman" w:eastAsia="宋体" w:cs="Times New Roman"/>
      <w:sz w:val="18"/>
      <w:szCs w:val="18"/>
    </w:rPr>
  </w:style>
  <w:style w:type="character" w:customStyle="1" w:styleId="129">
    <w:name w:val="正文首行缩进 2 Char1"/>
    <w:basedOn w:val="84"/>
    <w:semiHidden/>
    <w:qFormat/>
    <w:uiPriority w:val="0"/>
    <w:rPr>
      <w:rFonts w:ascii="Times New Roman" w:hAnsi="Times New Roman"/>
      <w:szCs w:val="24"/>
    </w:rPr>
  </w:style>
  <w:style w:type="character" w:customStyle="1" w:styleId="130">
    <w:name w:val="正文文本 2 Char1"/>
    <w:semiHidden/>
    <w:qFormat/>
    <w:uiPriority w:val="0"/>
    <w:rPr>
      <w:rFonts w:ascii="Times New Roman" w:hAnsi="Times New Roman" w:eastAsia="宋体" w:cs="Times New Roman"/>
      <w:szCs w:val="24"/>
    </w:rPr>
  </w:style>
  <w:style w:type="character" w:customStyle="1" w:styleId="131">
    <w:name w:val="zw1"/>
    <w:qFormat/>
    <w:uiPriority w:val="0"/>
    <w:rPr>
      <w:rFonts w:ascii="宋体" w:hAnsi="宋体" w:eastAsia="宋体" w:cs="Times New Roman"/>
      <w:sz w:val="22"/>
      <w:szCs w:val="22"/>
    </w:rPr>
  </w:style>
  <w:style w:type="character" w:customStyle="1" w:styleId="132">
    <w:name w:val="正文首行缩进 Char1"/>
    <w:basedOn w:val="133"/>
    <w:semiHidden/>
    <w:qFormat/>
    <w:uiPriority w:val="0"/>
    <w:rPr>
      <w:rFonts w:ascii="Times New Roman" w:hAnsi="Times New Roman" w:eastAsia="宋体" w:cs="Times New Roman"/>
      <w:szCs w:val="24"/>
    </w:rPr>
  </w:style>
  <w:style w:type="character" w:customStyle="1" w:styleId="133">
    <w:name w:val="正文文本 Char1"/>
    <w:semiHidden/>
    <w:qFormat/>
    <w:uiPriority w:val="0"/>
    <w:rPr>
      <w:rFonts w:ascii="Times New Roman" w:hAnsi="Times New Roman" w:eastAsia="宋体" w:cs="Times New Roman"/>
      <w:szCs w:val="24"/>
    </w:rPr>
  </w:style>
  <w:style w:type="character" w:customStyle="1" w:styleId="134">
    <w:name w:val="标题 4 Char1"/>
    <w:semiHidden/>
    <w:qFormat/>
    <w:uiPriority w:val="0"/>
    <w:rPr>
      <w:rFonts w:ascii="Cambria" w:hAnsi="Cambria" w:eastAsia="宋体" w:cs="Times New Roman"/>
      <w:b/>
      <w:bCs/>
      <w:kern w:val="2"/>
      <w:sz w:val="28"/>
      <w:szCs w:val="28"/>
    </w:rPr>
  </w:style>
  <w:style w:type="character" w:customStyle="1" w:styleId="135">
    <w:name w:val="表图 Char"/>
    <w:link w:val="136"/>
    <w:qFormat/>
    <w:uiPriority w:val="0"/>
    <w:rPr>
      <w:rFonts w:ascii="宋体" w:hAnsi="宋体"/>
      <w:snapToGrid w:val="0"/>
      <w:sz w:val="28"/>
      <w:szCs w:val="28"/>
    </w:rPr>
  </w:style>
  <w:style w:type="paragraph" w:customStyle="1" w:styleId="136">
    <w:name w:val="表图"/>
    <w:basedOn w:val="1"/>
    <w:link w:val="135"/>
    <w:qFormat/>
    <w:uiPriority w:val="0"/>
    <w:pPr>
      <w:adjustRightInd w:val="0"/>
      <w:snapToGrid w:val="0"/>
      <w:spacing w:line="360" w:lineRule="auto"/>
      <w:ind w:firstLine="560" w:firstLineChars="200"/>
      <w:jc w:val="center"/>
    </w:pPr>
    <w:rPr>
      <w:rFonts w:ascii="宋体" w:hAnsi="宋体" w:eastAsia="宋体" w:cs="Times New Roman"/>
      <w:snapToGrid w:val="0"/>
      <w:kern w:val="0"/>
      <w:sz w:val="28"/>
      <w:szCs w:val="28"/>
    </w:rPr>
  </w:style>
  <w:style w:type="character" w:customStyle="1" w:styleId="137">
    <w:name w:val="报告正文 Char1"/>
    <w:link w:val="138"/>
    <w:qFormat/>
    <w:locked/>
    <w:uiPriority w:val="0"/>
    <w:rPr>
      <w:rFonts w:ascii="宋体" w:hAnsi="宋体"/>
      <w:sz w:val="24"/>
      <w:szCs w:val="24"/>
    </w:rPr>
  </w:style>
  <w:style w:type="paragraph" w:customStyle="1" w:styleId="138">
    <w:name w:val="报告正文"/>
    <w:basedOn w:val="1"/>
    <w:link w:val="137"/>
    <w:qFormat/>
    <w:uiPriority w:val="0"/>
    <w:pPr>
      <w:spacing w:line="360" w:lineRule="auto"/>
      <w:ind w:firstLine="480" w:firstLineChars="200"/>
    </w:pPr>
    <w:rPr>
      <w:rFonts w:ascii="宋体" w:hAnsi="宋体" w:eastAsia="宋体" w:cs="Times New Roman"/>
      <w:kern w:val="0"/>
      <w:sz w:val="24"/>
    </w:rPr>
  </w:style>
  <w:style w:type="character" w:customStyle="1" w:styleId="139">
    <w:name w:val="标题 Char1"/>
    <w:qFormat/>
    <w:uiPriority w:val="0"/>
    <w:rPr>
      <w:rFonts w:ascii="Cambria" w:hAnsi="Cambria" w:eastAsia="宋体" w:cs="Times New Roman"/>
      <w:b/>
      <w:bCs/>
      <w:sz w:val="32"/>
      <w:szCs w:val="32"/>
    </w:rPr>
  </w:style>
  <w:style w:type="character" w:customStyle="1" w:styleId="140">
    <w:name w:val="正文文本 3 Char1"/>
    <w:semiHidden/>
    <w:qFormat/>
    <w:uiPriority w:val="0"/>
    <w:rPr>
      <w:rFonts w:ascii="Times New Roman" w:hAnsi="Times New Roman" w:eastAsia="宋体" w:cs="Times New Roman"/>
      <w:sz w:val="16"/>
      <w:szCs w:val="16"/>
    </w:rPr>
  </w:style>
  <w:style w:type="character" w:customStyle="1" w:styleId="141">
    <w:name w:val="正文cmb Char"/>
    <w:link w:val="142"/>
    <w:qFormat/>
    <w:uiPriority w:val="0"/>
    <w:rPr>
      <w:rFonts w:ascii="宋体" w:hAnsi="宋体"/>
      <w:kern w:val="2"/>
      <w:sz w:val="28"/>
      <w:szCs w:val="24"/>
    </w:rPr>
  </w:style>
  <w:style w:type="paragraph" w:customStyle="1" w:styleId="142">
    <w:name w:val="正文cmb"/>
    <w:basedOn w:val="1"/>
    <w:link w:val="141"/>
    <w:qFormat/>
    <w:uiPriority w:val="0"/>
    <w:pPr>
      <w:spacing w:line="520" w:lineRule="exact"/>
      <w:ind w:firstLine="200" w:firstLineChars="200"/>
      <w:jc w:val="left"/>
    </w:pPr>
    <w:rPr>
      <w:rFonts w:ascii="宋体" w:hAnsi="宋体" w:eastAsia="宋体" w:cs="Times New Roman"/>
      <w:sz w:val="28"/>
    </w:rPr>
  </w:style>
  <w:style w:type="character" w:customStyle="1" w:styleId="143">
    <w:name w:val="表格内容 Char1"/>
    <w:link w:val="144"/>
    <w:qFormat/>
    <w:uiPriority w:val="0"/>
    <w:rPr>
      <w:rFonts w:ascii="Arial" w:hAnsi="Arial" w:eastAsia="仿宋_GB2312"/>
      <w:sz w:val="24"/>
    </w:rPr>
  </w:style>
  <w:style w:type="paragraph" w:customStyle="1" w:styleId="144">
    <w:name w:val="表格内容"/>
    <w:basedOn w:val="1"/>
    <w:link w:val="143"/>
    <w:qFormat/>
    <w:uiPriority w:val="0"/>
    <w:pPr>
      <w:overflowPunct w:val="0"/>
      <w:adjustRightInd w:val="0"/>
      <w:spacing w:before="40" w:after="60" w:line="200" w:lineRule="atLeast"/>
    </w:pPr>
    <w:rPr>
      <w:rFonts w:ascii="Arial" w:hAnsi="Arial" w:eastAsia="仿宋_GB2312" w:cs="Times New Roman"/>
      <w:kern w:val="0"/>
      <w:sz w:val="24"/>
      <w:szCs w:val="20"/>
    </w:rPr>
  </w:style>
  <w:style w:type="character" w:customStyle="1" w:styleId="145">
    <w:name w:val="1级标题 Char"/>
    <w:link w:val="146"/>
    <w:qFormat/>
    <w:uiPriority w:val="0"/>
    <w:rPr>
      <w:rFonts w:ascii="Times New Roman" w:hAnsi="Times New Roman"/>
      <w:b/>
      <w:bCs/>
      <w:kern w:val="2"/>
      <w:sz w:val="32"/>
      <w:szCs w:val="44"/>
    </w:rPr>
  </w:style>
  <w:style w:type="paragraph" w:customStyle="1" w:styleId="146">
    <w:name w:val="1级标题"/>
    <w:basedOn w:val="4"/>
    <w:link w:val="145"/>
    <w:qFormat/>
    <w:uiPriority w:val="0"/>
    <w:pPr>
      <w:pageBreakBefore/>
      <w:adjustRightInd w:val="0"/>
      <w:snapToGrid w:val="0"/>
      <w:spacing w:line="360" w:lineRule="auto"/>
      <w:jc w:val="center"/>
    </w:pPr>
    <w:rPr>
      <w:rFonts w:ascii="Times New Roman" w:hAnsi="Times New Roman"/>
      <w:bCs/>
      <w:kern w:val="2"/>
      <w:sz w:val="32"/>
      <w:szCs w:val="44"/>
      <w:lang w:val="en-US"/>
    </w:rPr>
  </w:style>
  <w:style w:type="character" w:customStyle="1" w:styleId="147">
    <w:name w:val="标准样式 Char"/>
    <w:link w:val="148"/>
    <w:qFormat/>
    <w:locked/>
    <w:uiPriority w:val="99"/>
    <w:rPr>
      <w:sz w:val="28"/>
    </w:rPr>
  </w:style>
  <w:style w:type="paragraph" w:customStyle="1" w:styleId="148">
    <w:name w:val="标准样式"/>
    <w:basedOn w:val="1"/>
    <w:link w:val="147"/>
    <w:qFormat/>
    <w:uiPriority w:val="99"/>
    <w:pPr>
      <w:spacing w:line="600" w:lineRule="exact"/>
      <w:ind w:firstLine="567"/>
    </w:pPr>
    <w:rPr>
      <w:rFonts w:ascii="Calibri" w:hAnsi="Calibri" w:eastAsia="宋体" w:cs="Times New Roman"/>
      <w:kern w:val="0"/>
      <w:sz w:val="28"/>
      <w:szCs w:val="20"/>
    </w:rPr>
  </w:style>
  <w:style w:type="character" w:customStyle="1" w:styleId="149">
    <w:name w:val="正文1 Char"/>
    <w:link w:val="150"/>
    <w:qFormat/>
    <w:uiPriority w:val="0"/>
    <w:rPr>
      <w:rFonts w:ascii="宋体" w:hAnsi="宋体"/>
      <w:snapToGrid w:val="0"/>
      <w:kern w:val="28"/>
      <w:sz w:val="28"/>
      <w:szCs w:val="28"/>
    </w:rPr>
  </w:style>
  <w:style w:type="paragraph" w:customStyle="1" w:styleId="150">
    <w:name w:val="正文1"/>
    <w:basedOn w:val="1"/>
    <w:link w:val="149"/>
    <w:qFormat/>
    <w:uiPriority w:val="0"/>
    <w:pPr>
      <w:adjustRightInd w:val="0"/>
      <w:snapToGrid w:val="0"/>
      <w:spacing w:line="360" w:lineRule="auto"/>
      <w:ind w:firstLine="560" w:firstLineChars="200"/>
    </w:pPr>
    <w:rPr>
      <w:rFonts w:ascii="宋体" w:hAnsi="宋体" w:eastAsia="宋体" w:cs="Times New Roman"/>
      <w:snapToGrid w:val="0"/>
      <w:kern w:val="28"/>
      <w:sz w:val="28"/>
      <w:szCs w:val="28"/>
    </w:rPr>
  </w:style>
  <w:style w:type="character" w:customStyle="1" w:styleId="151">
    <w:name w:val="批注文字 Char1"/>
    <w:semiHidden/>
    <w:qFormat/>
    <w:uiPriority w:val="0"/>
    <w:rPr>
      <w:rFonts w:ascii="Times New Roman" w:hAnsi="Times New Roman" w:eastAsia="宋体" w:cs="Times New Roman"/>
      <w:szCs w:val="24"/>
    </w:rPr>
  </w:style>
  <w:style w:type="character" w:customStyle="1" w:styleId="152">
    <w:name w:val="标题 1 Char1"/>
    <w:qFormat/>
    <w:uiPriority w:val="0"/>
    <w:rPr>
      <w:b/>
      <w:bCs/>
      <w:kern w:val="44"/>
      <w:sz w:val="44"/>
      <w:szCs w:val="44"/>
    </w:rPr>
  </w:style>
  <w:style w:type="character" w:customStyle="1" w:styleId="153">
    <w:name w:val="文档结构图 Char1"/>
    <w:semiHidden/>
    <w:qFormat/>
    <w:uiPriority w:val="0"/>
    <w:rPr>
      <w:rFonts w:ascii="宋体" w:hAnsi="Times New Roman" w:eastAsia="宋体" w:cs="Times New Roman"/>
      <w:sz w:val="18"/>
      <w:szCs w:val="18"/>
    </w:rPr>
  </w:style>
  <w:style w:type="character" w:customStyle="1" w:styleId="154">
    <w:name w:val="纯文本 Char1"/>
    <w:semiHidden/>
    <w:qFormat/>
    <w:uiPriority w:val="99"/>
    <w:rPr>
      <w:rFonts w:ascii="宋体" w:hAnsi="Courier New" w:eastAsia="宋体" w:cs="Courier New"/>
      <w:szCs w:val="21"/>
    </w:rPr>
  </w:style>
  <w:style w:type="character" w:customStyle="1" w:styleId="155">
    <w:name w:val="Char Char11"/>
    <w:qFormat/>
    <w:locked/>
    <w:uiPriority w:val="0"/>
    <w:rPr>
      <w:rFonts w:hint="eastAsia" w:ascii="宋体" w:hAnsi="宋体" w:eastAsia="宋体"/>
      <w:spacing w:val="10"/>
      <w:kern w:val="24"/>
      <w:sz w:val="24"/>
      <w:szCs w:val="24"/>
      <w:lang w:val="en-US" w:eastAsia="zh-CN" w:bidi="ar-SA"/>
    </w:rPr>
  </w:style>
  <w:style w:type="character" w:customStyle="1" w:styleId="156">
    <w:name w:val="样式4 Char"/>
    <w:link w:val="157"/>
    <w:qFormat/>
    <w:uiPriority w:val="0"/>
    <w:rPr>
      <w:rFonts w:ascii="Times New Roman" w:hAnsi="Times New Roman"/>
      <w:b/>
      <w:sz w:val="24"/>
      <w:szCs w:val="26"/>
    </w:rPr>
  </w:style>
  <w:style w:type="paragraph" w:customStyle="1" w:styleId="157">
    <w:name w:val="样式4"/>
    <w:basedOn w:val="158"/>
    <w:link w:val="156"/>
    <w:qFormat/>
    <w:uiPriority w:val="0"/>
    <w:pPr>
      <w:tabs>
        <w:tab w:val="left" w:pos="0"/>
        <w:tab w:val="left" w:pos="142"/>
        <w:tab w:val="left" w:pos="426"/>
        <w:tab w:val="left" w:pos="568"/>
        <w:tab w:val="left" w:pos="3545"/>
      </w:tabs>
      <w:ind w:left="568"/>
    </w:pPr>
    <w:rPr>
      <w:rFonts w:cs="Times New Roman"/>
    </w:rPr>
  </w:style>
  <w:style w:type="paragraph" w:customStyle="1" w:styleId="158">
    <w:name w:val="Title 3"/>
    <w:basedOn w:val="6"/>
    <w:next w:val="1"/>
    <w:qFormat/>
    <w:uiPriority w:val="0"/>
    <w:pPr>
      <w:tabs>
        <w:tab w:val="left" w:pos="0"/>
        <w:tab w:val="left" w:pos="142"/>
        <w:tab w:val="left" w:pos="426"/>
        <w:tab w:val="left" w:pos="3545"/>
      </w:tabs>
      <w:spacing w:before="240" w:after="120" w:line="400" w:lineRule="exact"/>
      <w:ind w:left="426"/>
      <w:jc w:val="left"/>
    </w:pPr>
    <w:rPr>
      <w:rFonts w:cs="Arial"/>
      <w:bCs w:val="0"/>
      <w:sz w:val="24"/>
      <w:szCs w:val="26"/>
    </w:rPr>
  </w:style>
  <w:style w:type="character" w:customStyle="1" w:styleId="159">
    <w:name w:val="正文粗 Char"/>
    <w:qFormat/>
    <w:uiPriority w:val="0"/>
    <w:rPr>
      <w:rFonts w:eastAsia="宋体"/>
      <w:b/>
      <w:sz w:val="24"/>
      <w:lang w:val="en-US" w:eastAsia="zh-CN" w:bidi="ar-SA"/>
    </w:rPr>
  </w:style>
  <w:style w:type="character" w:customStyle="1" w:styleId="160">
    <w:name w:val="apple-converted-space"/>
    <w:basedOn w:val="47"/>
    <w:qFormat/>
    <w:uiPriority w:val="0"/>
  </w:style>
  <w:style w:type="character" w:customStyle="1" w:styleId="161">
    <w:name w:val="正文缩进 Char1"/>
    <w:qFormat/>
    <w:locked/>
    <w:uiPriority w:val="0"/>
    <w:rPr>
      <w:sz w:val="24"/>
    </w:rPr>
  </w:style>
  <w:style w:type="character" w:customStyle="1" w:styleId="162">
    <w:name w:val="2标题 Char"/>
    <w:link w:val="163"/>
    <w:qFormat/>
    <w:uiPriority w:val="0"/>
    <w:rPr>
      <w:rFonts w:ascii="宋体" w:hAnsi="宋体"/>
      <w:b/>
      <w:snapToGrid w:val="0"/>
      <w:kern w:val="2"/>
      <w:sz w:val="28"/>
      <w:szCs w:val="28"/>
    </w:rPr>
  </w:style>
  <w:style w:type="paragraph" w:customStyle="1" w:styleId="163">
    <w:name w:val="2标题"/>
    <w:basedOn w:val="5"/>
    <w:link w:val="162"/>
    <w:qFormat/>
    <w:uiPriority w:val="0"/>
    <w:pPr>
      <w:keepNext w:val="0"/>
      <w:keepLines w:val="0"/>
      <w:adjustRightInd w:val="0"/>
      <w:snapToGrid w:val="0"/>
      <w:spacing w:before="0" w:after="0" w:line="360" w:lineRule="auto"/>
      <w:ind w:firstLine="562" w:firstLineChars="200"/>
    </w:pPr>
    <w:rPr>
      <w:rFonts w:ascii="宋体" w:hAnsi="宋体" w:eastAsia="宋体" w:cs="Times New Roman"/>
      <w:bCs w:val="0"/>
      <w:snapToGrid w:val="0"/>
      <w:sz w:val="28"/>
      <w:szCs w:val="28"/>
    </w:rPr>
  </w:style>
  <w:style w:type="character" w:customStyle="1" w:styleId="164">
    <w:name w:val="正文文本缩进 2 Char1"/>
    <w:semiHidden/>
    <w:qFormat/>
    <w:uiPriority w:val="0"/>
    <w:rPr>
      <w:rFonts w:ascii="Times New Roman" w:hAnsi="Times New Roman" w:eastAsia="宋体" w:cs="Times New Roman"/>
      <w:szCs w:val="24"/>
    </w:rPr>
  </w:style>
  <w:style w:type="character" w:customStyle="1" w:styleId="165">
    <w:name w:val="font11"/>
    <w:basedOn w:val="47"/>
    <w:qFormat/>
    <w:uiPriority w:val="0"/>
    <w:rPr>
      <w:rFonts w:hint="eastAsia" w:ascii="宋体" w:hAnsi="宋体" w:eastAsia="宋体" w:cs="宋体"/>
      <w:color w:val="000000"/>
      <w:sz w:val="20"/>
      <w:szCs w:val="20"/>
      <w:u w:val="none"/>
    </w:rPr>
  </w:style>
  <w:style w:type="paragraph" w:customStyle="1" w:styleId="166">
    <w:name w:val="正文格式"/>
    <w:basedOn w:val="1"/>
    <w:qFormat/>
    <w:uiPriority w:val="0"/>
    <w:pPr>
      <w:spacing w:line="440" w:lineRule="exact"/>
      <w:ind w:firstLine="200" w:firstLineChars="200"/>
    </w:pPr>
    <w:rPr>
      <w:rFonts w:ascii="Times New Roman" w:hAnsi="Times New Roman" w:eastAsia="宋体" w:cs="Times New Roman"/>
      <w:b/>
      <w:sz w:val="24"/>
    </w:rPr>
  </w:style>
  <w:style w:type="paragraph" w:customStyle="1" w:styleId="167">
    <w:name w:val="Adresse"/>
    <w:basedOn w:val="1"/>
    <w:qFormat/>
    <w:uiPriority w:val="0"/>
    <w:pPr>
      <w:widowControl/>
      <w:spacing w:line="240" w:lineRule="atLeast"/>
      <w:jc w:val="left"/>
    </w:pPr>
    <w:rPr>
      <w:rFonts w:ascii="Arial" w:hAnsi="Arial" w:eastAsia="华文细黑" w:cs="Times New Roman"/>
      <w:kern w:val="0"/>
      <w:sz w:val="20"/>
      <w:szCs w:val="20"/>
    </w:rPr>
  </w:style>
  <w:style w:type="paragraph" w:customStyle="1" w:styleId="168">
    <w:name w:val="正文（焦）"/>
    <w:basedOn w:val="20"/>
    <w:qFormat/>
    <w:uiPriority w:val="0"/>
    <w:pPr>
      <w:adjustRightInd w:val="0"/>
      <w:spacing w:after="0" w:line="360" w:lineRule="auto"/>
      <w:ind w:left="0" w:leftChars="0" w:firstLine="200" w:firstLineChars="200"/>
    </w:pPr>
    <w:rPr>
      <w:rFonts w:ascii="宋体" w:hAnsi="宋体"/>
      <w:sz w:val="28"/>
      <w:szCs w:val="28"/>
    </w:rPr>
  </w:style>
  <w:style w:type="paragraph" w:customStyle="1" w:styleId="169">
    <w:name w:val="样式 标题 2 + 首行缩进:  2 字符 行距: 固定值 37 磅"/>
    <w:basedOn w:val="5"/>
    <w:qFormat/>
    <w:uiPriority w:val="0"/>
    <w:pPr>
      <w:spacing w:before="100" w:beforeAutospacing="1" w:after="100" w:afterAutospacing="1" w:line="740" w:lineRule="exact"/>
      <w:ind w:firstLine="562" w:firstLineChars="200"/>
      <w:jc w:val="left"/>
    </w:pPr>
    <w:rPr>
      <w:rFonts w:ascii="Times New Roman" w:hAnsi="Times New Roman" w:eastAsia="黑体" w:cs="Times New Roman"/>
      <w:kern w:val="0"/>
      <w:sz w:val="28"/>
      <w:szCs w:val="20"/>
    </w:rPr>
  </w:style>
  <w:style w:type="paragraph" w:customStyle="1" w:styleId="170">
    <w:name w:val="1A表格样式"/>
    <w:basedOn w:val="1"/>
    <w:qFormat/>
    <w:uiPriority w:val="0"/>
    <w:pPr>
      <w:adjustRightInd w:val="0"/>
      <w:snapToGrid w:val="0"/>
      <w:jc w:val="center"/>
    </w:pPr>
    <w:rPr>
      <w:rFonts w:ascii="宋体" w:hAnsi="宋体" w:eastAsia="宋体" w:cs="Times New Roman"/>
      <w:iCs/>
      <w:kern w:val="0"/>
      <w:sz w:val="21"/>
      <w:szCs w:val="21"/>
    </w:rPr>
  </w:style>
  <w:style w:type="paragraph" w:customStyle="1" w:styleId="171">
    <w:name w:val="表格"/>
    <w:basedOn w:val="1"/>
    <w:qFormat/>
    <w:uiPriority w:val="0"/>
    <w:pPr>
      <w:spacing w:before="50" w:after="50"/>
      <w:jc w:val="center"/>
    </w:pPr>
    <w:rPr>
      <w:rFonts w:ascii="宋体" w:hAnsi="Times New Roman" w:eastAsia="宋体" w:cs="Times New Roman"/>
      <w:sz w:val="21"/>
      <w:szCs w:val="20"/>
    </w:rPr>
  </w:style>
  <w:style w:type="paragraph" w:customStyle="1" w:styleId="172">
    <w:name w:val="Title 2"/>
    <w:basedOn w:val="5"/>
    <w:next w:val="1"/>
    <w:qFormat/>
    <w:uiPriority w:val="0"/>
    <w:pPr>
      <w:keepLines w:val="0"/>
      <w:tabs>
        <w:tab w:val="left" w:pos="0"/>
        <w:tab w:val="left" w:pos="993"/>
      </w:tabs>
      <w:spacing w:before="300" w:after="120" w:line="400" w:lineRule="exact"/>
      <w:ind w:left="993"/>
    </w:pPr>
    <w:rPr>
      <w:rFonts w:ascii="宋体" w:hAnsi="宋体" w:eastAsia="宋体" w:cs="Arial"/>
      <w:bCs w:val="0"/>
      <w:kern w:val="0"/>
      <w:sz w:val="28"/>
      <w:szCs w:val="22"/>
    </w:rPr>
  </w:style>
  <w:style w:type="paragraph" w:customStyle="1" w:styleId="173">
    <w:name w:val="一号 加粗"/>
    <w:basedOn w:val="1"/>
    <w:qFormat/>
    <w:uiPriority w:val="0"/>
    <w:pPr>
      <w:adjustRightInd w:val="0"/>
      <w:snapToGrid w:val="0"/>
      <w:spacing w:line="360" w:lineRule="auto"/>
      <w:jc w:val="center"/>
    </w:pPr>
    <w:rPr>
      <w:rFonts w:ascii="宋体" w:hAnsi="宋体" w:eastAsia="宋体" w:cs="宋体"/>
      <w:b/>
      <w:bCs/>
      <w:color w:val="000000"/>
      <w:kern w:val="0"/>
      <w:sz w:val="52"/>
      <w:szCs w:val="20"/>
    </w:rPr>
  </w:style>
  <w:style w:type="paragraph" w:customStyle="1" w:styleId="174">
    <w:name w:val="样式 样式 样式 (符号) 宋体 14 磅 行距: 1.5 倍行距 首行缩进:  2 字符 + 首行缩进:  2 字符 + 首行..."/>
    <w:basedOn w:val="1"/>
    <w:qFormat/>
    <w:uiPriority w:val="0"/>
    <w:pPr>
      <w:spacing w:line="400" w:lineRule="exact"/>
      <w:ind w:firstLine="200" w:firstLineChars="200"/>
    </w:pPr>
    <w:rPr>
      <w:rFonts w:ascii="Times New Roman" w:hAnsi="宋体" w:eastAsia="宋体" w:cs="宋体"/>
      <w:sz w:val="24"/>
      <w:szCs w:val="20"/>
    </w:rPr>
  </w:style>
  <w:style w:type="paragraph" w:customStyle="1" w:styleId="175">
    <w:name w:val="Title 5"/>
    <w:basedOn w:val="8"/>
    <w:next w:val="1"/>
    <w:qFormat/>
    <w:uiPriority w:val="0"/>
    <w:pPr>
      <w:widowControl/>
      <w:tabs>
        <w:tab w:val="left" w:pos="0"/>
        <w:tab w:val="left" w:pos="1008"/>
      </w:tabs>
      <w:spacing w:before="240" w:after="240" w:line="240" w:lineRule="auto"/>
      <w:jc w:val="left"/>
    </w:pPr>
    <w:rPr>
      <w:rFonts w:ascii="Arial" w:hAnsi="Arial" w:eastAsia="华文细黑"/>
      <w:b w:val="0"/>
      <w:bCs w:val="0"/>
      <w:kern w:val="0"/>
      <w:sz w:val="20"/>
      <w:szCs w:val="26"/>
    </w:rPr>
  </w:style>
  <w:style w:type="paragraph" w:customStyle="1" w:styleId="176">
    <w:name w:val="表内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177">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78">
    <w:name w:val="Default Char Char"/>
    <w:link w:val="56"/>
    <w:qFormat/>
    <w:uiPriority w:val="0"/>
    <w:rPr>
      <w:rFonts w:ascii="仿宋_GB2312" w:eastAsia="仿宋_GB2312" w:cs="仿宋_GB2312"/>
      <w:color w:val="000000"/>
      <w:sz w:val="24"/>
      <w:szCs w:val="24"/>
    </w:rPr>
  </w:style>
  <w:style w:type="paragraph" w:customStyle="1" w:styleId="179">
    <w:name w:val="样式 标题 1H1一级标题(章)一级标题l1第一章1.书名标题 1 Char Char Char Char Ch...5"/>
    <w:basedOn w:val="4"/>
    <w:qFormat/>
    <w:uiPriority w:val="0"/>
    <w:pPr>
      <w:spacing w:before="340" w:beforeLines="50" w:after="330" w:afterLines="50" w:line="360" w:lineRule="auto"/>
      <w:jc w:val="center"/>
    </w:pPr>
    <w:rPr>
      <w:rFonts w:ascii="Times New Roman" w:hAnsi="Times New Roman" w:eastAsia="黑体"/>
      <w:bCs/>
      <w:spacing w:val="-4"/>
      <w:kern w:val="2"/>
      <w:sz w:val="32"/>
      <w:szCs w:val="32"/>
      <w:lang w:val="en-US"/>
    </w:rPr>
  </w:style>
  <w:style w:type="paragraph" w:customStyle="1" w:styleId="180">
    <w:name w:val="正文(首行缩进)"/>
    <w:basedOn w:val="1"/>
    <w:qFormat/>
    <w:uiPriority w:val="0"/>
    <w:pPr>
      <w:tabs>
        <w:tab w:val="left" w:pos="4584"/>
      </w:tabs>
      <w:adjustRightInd w:val="0"/>
      <w:spacing w:beforeLines="50" w:line="560" w:lineRule="exact"/>
      <w:ind w:firstLine="600" w:firstLineChars="200"/>
    </w:pPr>
    <w:rPr>
      <w:rFonts w:ascii="宋体" w:hAnsi="宋体" w:eastAsia="宋体" w:cs="Times New Roman"/>
      <w:snapToGrid w:val="0"/>
      <w:spacing w:val="10"/>
      <w:kern w:val="0"/>
      <w:sz w:val="28"/>
      <w:szCs w:val="20"/>
    </w:rPr>
  </w:style>
  <w:style w:type="paragraph" w:customStyle="1" w:styleId="181">
    <w:name w:val="WPSOffice手动目录 1"/>
    <w:qFormat/>
    <w:uiPriority w:val="0"/>
    <w:rPr>
      <w:rFonts w:ascii="Times New Roman" w:hAnsi="Times New Roman" w:eastAsia="宋体" w:cs="Times New Roman"/>
      <w:lang w:val="en-US" w:eastAsia="zh-CN" w:bidi="ar-SA"/>
    </w:rPr>
  </w:style>
  <w:style w:type="paragraph" w:customStyle="1" w:styleId="182">
    <w:name w:val="表题"/>
    <w:basedOn w:val="1"/>
    <w:next w:val="1"/>
    <w:qFormat/>
    <w:uiPriority w:val="0"/>
    <w:pPr>
      <w:widowControl/>
      <w:overflowPunct w:val="0"/>
      <w:autoSpaceDE w:val="0"/>
      <w:autoSpaceDN w:val="0"/>
      <w:adjustRightInd w:val="0"/>
      <w:spacing w:before="120" w:after="60" w:line="360" w:lineRule="auto"/>
      <w:jc w:val="center"/>
      <w:textAlignment w:val="baseline"/>
    </w:pPr>
    <w:rPr>
      <w:rFonts w:ascii="Times New Roman" w:hAnsi="Times New Roman" w:eastAsia="宋体" w:cs="Times New Roman"/>
      <w:b/>
      <w:kern w:val="0"/>
      <w:sz w:val="21"/>
      <w:szCs w:val="20"/>
      <w:lang w:val="en-GB"/>
    </w:rPr>
  </w:style>
  <w:style w:type="paragraph" w:customStyle="1" w:styleId="183">
    <w:name w:val="xl40"/>
    <w:basedOn w:val="1"/>
    <w:qFormat/>
    <w:uiPriority w:val="0"/>
    <w:pPr>
      <w:widowControl/>
      <w:pBdr>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4">
    <w:name w:val="p0"/>
    <w:basedOn w:val="1"/>
    <w:qFormat/>
    <w:uiPriority w:val="0"/>
    <w:pPr>
      <w:widowControl/>
      <w:ind w:firstLine="420"/>
      <w:jc w:val="left"/>
    </w:pPr>
    <w:rPr>
      <w:rFonts w:ascii="Times New Roman" w:hAnsi="Times New Roman" w:eastAsia="宋体" w:cs="Times New Roman"/>
      <w:kern w:val="0"/>
      <w:sz w:val="20"/>
      <w:szCs w:val="20"/>
    </w:rPr>
  </w:style>
  <w:style w:type="paragraph" w:customStyle="1" w:styleId="185">
    <w:name w:val="Title 1"/>
    <w:basedOn w:val="4"/>
    <w:next w:val="1"/>
    <w:qFormat/>
    <w:uiPriority w:val="0"/>
    <w:pPr>
      <w:pageBreakBefore/>
      <w:tabs>
        <w:tab w:val="left" w:pos="0"/>
        <w:tab w:val="left" w:pos="3545"/>
      </w:tabs>
      <w:spacing w:before="480" w:after="360" w:line="240" w:lineRule="auto"/>
      <w:ind w:left="3545"/>
      <w:jc w:val="center"/>
    </w:pPr>
    <w:rPr>
      <w:rFonts w:ascii="Times New Roman" w:hAnsi="Times New Roman" w:cs="Arial"/>
      <w:kern w:val="0"/>
      <w:sz w:val="32"/>
      <w:szCs w:val="20"/>
      <w:lang w:val="en-US"/>
    </w:rPr>
  </w:style>
  <w:style w:type="paragraph" w:customStyle="1" w:styleId="186">
    <w:name w:val="附录标识"/>
    <w:basedOn w:val="1"/>
    <w:qFormat/>
    <w:uiPriority w:val="0"/>
    <w:pPr>
      <w:widowControl/>
      <w:shd w:val="clear" w:color="FFFFFF" w:fill="FFFFFF"/>
      <w:tabs>
        <w:tab w:val="left" w:pos="420"/>
        <w:tab w:val="left" w:pos="6405"/>
      </w:tabs>
      <w:spacing w:before="640" w:after="200"/>
      <w:ind w:left="420" w:hanging="420"/>
      <w:jc w:val="center"/>
      <w:outlineLvl w:val="0"/>
    </w:pPr>
    <w:rPr>
      <w:rFonts w:ascii="黑体" w:hAnsi="Times New Roman" w:eastAsia="黑体" w:cs="Times New Roman"/>
      <w:kern w:val="0"/>
      <w:sz w:val="21"/>
      <w:szCs w:val="20"/>
    </w:rPr>
  </w:style>
  <w:style w:type="paragraph" w:customStyle="1" w:styleId="187">
    <w:name w:val="p18"/>
    <w:basedOn w:val="1"/>
    <w:qFormat/>
    <w:uiPriority w:val="0"/>
    <w:pPr>
      <w:widowControl/>
    </w:pPr>
    <w:rPr>
      <w:rFonts w:ascii="宋体" w:hAnsi="宋体" w:eastAsia="宋体" w:cs="宋体"/>
      <w:kern w:val="0"/>
      <w:sz w:val="21"/>
      <w:szCs w:val="21"/>
    </w:rPr>
  </w:style>
  <w:style w:type="paragraph" w:customStyle="1" w:styleId="188">
    <w:name w:val="表内单行"/>
    <w:basedOn w:val="1"/>
    <w:qFormat/>
    <w:uiPriority w:val="0"/>
    <w:pPr>
      <w:adjustRightInd w:val="0"/>
      <w:snapToGrid w:val="0"/>
      <w:jc w:val="center"/>
    </w:pPr>
    <w:rPr>
      <w:rFonts w:hint="eastAsia" w:ascii="宋体" w:hAnsi="宋体" w:eastAsia="宋体" w:cs="Times New Roman"/>
      <w:color w:val="000000"/>
      <w:sz w:val="21"/>
      <w:szCs w:val="20"/>
    </w:rPr>
  </w:style>
  <w:style w:type="paragraph" w:customStyle="1" w:styleId="189">
    <w:name w:val="样式 四号"/>
    <w:basedOn w:val="1"/>
    <w:qFormat/>
    <w:uiPriority w:val="0"/>
    <w:pPr>
      <w:ind w:firstLine="560" w:firstLineChars="200"/>
    </w:pPr>
    <w:rPr>
      <w:rFonts w:ascii="Times New Roman" w:hAnsi="Times New Roman" w:eastAsia="宋体" w:cs="宋体"/>
      <w:sz w:val="28"/>
      <w:szCs w:val="20"/>
    </w:rPr>
  </w:style>
  <w:style w:type="paragraph" w:customStyle="1" w:styleId="190">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191">
    <w:name w:val="[내용] 1."/>
    <w:basedOn w:val="1"/>
    <w:qFormat/>
    <w:uiPriority w:val="0"/>
    <w:pPr>
      <w:wordWrap w:val="0"/>
      <w:adjustRightInd w:val="0"/>
      <w:spacing w:after="120" w:line="360" w:lineRule="atLeast"/>
      <w:ind w:left="1135" w:right="284" w:hanging="284"/>
      <w:jc w:val="left"/>
      <w:textAlignment w:val="baseline"/>
    </w:pPr>
    <w:rPr>
      <w:rFonts w:ascii="Times New Roman" w:hAnsi="Times New Roman" w:eastAsia="BatangChe" w:cs="Times New Roman"/>
      <w:color w:val="000000"/>
      <w:kern w:val="0"/>
      <w:sz w:val="22"/>
      <w:szCs w:val="20"/>
      <w:lang w:eastAsia="ko-KR"/>
    </w:rPr>
  </w:style>
  <w:style w:type="paragraph" w:customStyle="1" w:styleId="192">
    <w:name w:val="样式 标题 3三级标题h3th标题 3条标题 3 Char + 小四 段前: 0 磅 段后: 0 磅 行距: 1...1"/>
    <w:basedOn w:val="6"/>
    <w:qFormat/>
    <w:uiPriority w:val="0"/>
    <w:pPr>
      <w:spacing w:before="0" w:after="0" w:line="360" w:lineRule="auto"/>
    </w:pPr>
    <w:rPr>
      <w:rFonts w:eastAsia="楷体_GB2312" w:cs="宋体"/>
      <w:sz w:val="24"/>
      <w:szCs w:val="20"/>
    </w:rPr>
  </w:style>
  <w:style w:type="paragraph" w:customStyle="1" w:styleId="193">
    <w:name w:val="Title 4"/>
    <w:basedOn w:val="7"/>
    <w:next w:val="1"/>
    <w:qFormat/>
    <w:uiPriority w:val="0"/>
    <w:pPr>
      <w:widowControl/>
      <w:tabs>
        <w:tab w:val="left" w:pos="0"/>
        <w:tab w:val="left" w:pos="1418"/>
        <w:tab w:val="left" w:pos="3545"/>
      </w:tabs>
      <w:spacing w:before="120" w:after="0" w:line="400" w:lineRule="exact"/>
      <w:jc w:val="left"/>
    </w:pPr>
    <w:rPr>
      <w:rFonts w:ascii="宋体" w:hAnsi="宋体" w:eastAsia="宋体" w:cs="Arial"/>
      <w:b w:val="0"/>
      <w:sz w:val="24"/>
      <w:szCs w:val="24"/>
    </w:rPr>
  </w:style>
  <w:style w:type="paragraph" w:customStyle="1" w:styleId="194">
    <w:name w:val="美高4号居中"/>
    <w:basedOn w:val="1"/>
    <w:qFormat/>
    <w:uiPriority w:val="0"/>
    <w:pPr>
      <w:adjustRightInd w:val="0"/>
      <w:snapToGrid w:val="0"/>
      <w:spacing w:line="360" w:lineRule="auto"/>
      <w:jc w:val="center"/>
    </w:pPr>
    <w:rPr>
      <w:rFonts w:ascii="宋体" w:hAnsi="宋体" w:eastAsia="宋体" w:cs="宋体"/>
      <w:color w:val="000000"/>
      <w:kern w:val="0"/>
      <w:sz w:val="28"/>
      <w:szCs w:val="20"/>
    </w:rPr>
  </w:style>
  <w:style w:type="paragraph" w:customStyle="1" w:styleId="195">
    <w:name w:val="Char Char Char Char1"/>
    <w:basedOn w:val="1"/>
    <w:next w:val="1"/>
    <w:qFormat/>
    <w:uiPriority w:val="0"/>
    <w:pPr>
      <w:spacing w:line="360" w:lineRule="auto"/>
      <w:ind w:firstLine="200" w:firstLineChars="200"/>
    </w:pPr>
    <w:rPr>
      <w:rFonts w:ascii="Times New Roman" w:hAnsi="Times New Roman" w:eastAsia="宋体" w:cs="Times New Roman"/>
      <w:sz w:val="21"/>
    </w:rPr>
  </w:style>
  <w:style w:type="paragraph" w:customStyle="1" w:styleId="196">
    <w:name w:val="zw"/>
    <w:basedOn w:val="1"/>
    <w:qFormat/>
    <w:uiPriority w:val="0"/>
    <w:pPr>
      <w:widowControl/>
      <w:spacing w:before="100" w:beforeAutospacing="1" w:after="100" w:afterAutospacing="1" w:line="440" w:lineRule="atLeast"/>
      <w:jc w:val="left"/>
    </w:pPr>
    <w:rPr>
      <w:rFonts w:ascii="宋体" w:hAnsi="宋体" w:eastAsia="宋体" w:cs="宋体"/>
      <w:kern w:val="0"/>
      <w:sz w:val="22"/>
      <w:szCs w:val="22"/>
    </w:rPr>
  </w:style>
  <w:style w:type="paragraph" w:customStyle="1" w:styleId="197">
    <w:name w:val="样式 样式 标题 2二级标题标题 lxb2二级标题 Char标题 2 Char1标题 2 Char Char标题 2 Ch......2"/>
    <w:basedOn w:val="1"/>
    <w:qFormat/>
    <w:uiPriority w:val="0"/>
    <w:pPr>
      <w:keepNext/>
      <w:keepLines/>
      <w:spacing w:line="360" w:lineRule="auto"/>
      <w:outlineLvl w:val="1"/>
    </w:pPr>
    <w:rPr>
      <w:rFonts w:ascii="Times New Roman" w:hAnsi="Times New Roman" w:eastAsia="黑体" w:cs="宋体"/>
      <w:b/>
      <w:bCs/>
      <w:spacing w:val="-2"/>
      <w:sz w:val="24"/>
      <w:szCs w:val="20"/>
    </w:rPr>
  </w:style>
  <w:style w:type="paragraph" w:customStyle="1" w:styleId="1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9">
    <w:name w:val="1A李加洪"/>
    <w:basedOn w:val="1"/>
    <w:qFormat/>
    <w:uiPriority w:val="0"/>
    <w:pPr>
      <w:adjustRightInd w:val="0"/>
      <w:snapToGrid w:val="0"/>
      <w:spacing w:line="360" w:lineRule="auto"/>
      <w:ind w:firstLine="560" w:firstLineChars="200"/>
    </w:pPr>
    <w:rPr>
      <w:rFonts w:ascii="宋体" w:hAnsi="宋体" w:eastAsia="宋体" w:cs="宋体"/>
      <w:sz w:val="28"/>
      <w:szCs w:val="28"/>
    </w:rPr>
  </w:style>
  <w:style w:type="paragraph" w:customStyle="1" w:styleId="20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01">
    <w:name w:val="样式 左 首行缩进:  1.01 厘米"/>
    <w:basedOn w:val="1"/>
    <w:qFormat/>
    <w:uiPriority w:val="0"/>
    <w:pPr>
      <w:adjustRightInd w:val="0"/>
      <w:snapToGrid w:val="0"/>
      <w:spacing w:line="460" w:lineRule="exact"/>
      <w:ind w:firstLine="200" w:firstLineChars="200"/>
    </w:pPr>
    <w:rPr>
      <w:rFonts w:ascii="Times New Roman" w:hAnsi="Times New Roman" w:eastAsia="宋体" w:cs="宋体"/>
      <w:sz w:val="26"/>
      <w:szCs w:val="26"/>
    </w:rPr>
  </w:style>
  <w:style w:type="paragraph" w:customStyle="1" w:styleId="202">
    <w:name w:val="TOC 标题1"/>
    <w:basedOn w:val="4"/>
    <w:next w:val="1"/>
    <w:qFormat/>
    <w:uiPriority w:val="39"/>
    <w:pPr>
      <w:widowControl/>
      <w:spacing w:before="480" w:line="276" w:lineRule="auto"/>
      <w:jc w:val="left"/>
      <w:outlineLvl w:val="9"/>
    </w:pPr>
    <w:rPr>
      <w:rFonts w:ascii="Cambria" w:hAnsi="Cambria"/>
      <w:bCs/>
      <w:color w:val="365F91"/>
      <w:kern w:val="0"/>
      <w:sz w:val="28"/>
      <w:szCs w:val="28"/>
      <w:lang w:val="en-US"/>
    </w:rPr>
  </w:style>
  <w:style w:type="paragraph" w:customStyle="1" w:styleId="203">
    <w:name w:val="Char Char Char Char Char Char Char"/>
    <w:basedOn w:val="1"/>
    <w:qFormat/>
    <w:uiPriority w:val="0"/>
    <w:rPr>
      <w:rFonts w:ascii="Times New Roman" w:hAnsi="Times New Roman" w:eastAsia="宋体" w:cs="Times New Roman"/>
      <w:sz w:val="21"/>
    </w:rPr>
  </w:style>
  <w:style w:type="paragraph" w:customStyle="1" w:styleId="204">
    <w:name w:val="正文 首行缩进:  2 字符"/>
    <w:basedOn w:val="1"/>
    <w:qFormat/>
    <w:uiPriority w:val="0"/>
    <w:pPr>
      <w:adjustRightInd w:val="0"/>
      <w:snapToGrid w:val="0"/>
      <w:spacing w:line="360" w:lineRule="auto"/>
      <w:ind w:firstLine="420" w:firstLineChars="200"/>
    </w:pPr>
    <w:rPr>
      <w:rFonts w:ascii="宋体" w:hAnsi="宋体" w:eastAsia="宋体" w:cs="Times New Roman"/>
      <w:sz w:val="28"/>
      <w:szCs w:val="20"/>
    </w:rPr>
  </w:style>
  <w:style w:type="paragraph" w:customStyle="1" w:styleId="205">
    <w:name w:val="Char"/>
    <w:basedOn w:val="1"/>
    <w:qFormat/>
    <w:uiPriority w:val="0"/>
    <w:rPr>
      <w:rFonts w:ascii="Times New Roman" w:hAnsi="Times New Roman" w:eastAsia="宋体" w:cs="Times New Roman"/>
      <w:sz w:val="21"/>
      <w:szCs w:val="21"/>
    </w:rPr>
  </w:style>
  <w:style w:type="paragraph" w:styleId="206">
    <w:name w:val="List Paragraph"/>
    <w:basedOn w:val="1"/>
    <w:qFormat/>
    <w:uiPriority w:val="34"/>
    <w:pPr>
      <w:ind w:firstLine="420" w:firstLineChars="200"/>
    </w:pPr>
    <w:rPr>
      <w:rFonts w:ascii="Times New Roman" w:hAnsi="Times New Roman" w:eastAsia="宋体" w:cs="Times New Roman"/>
      <w:sz w:val="21"/>
    </w:rPr>
  </w:style>
  <w:style w:type="paragraph" w:customStyle="1" w:styleId="207">
    <w:name w:val="正文宋体 四号 + 首行缩进:  2 字符 + 首行缩进:  2 字符 + 首行缩进:  2 字符 + ..."/>
    <w:basedOn w:val="1"/>
    <w:qFormat/>
    <w:uiPriority w:val="0"/>
    <w:pPr>
      <w:keepNext/>
      <w:widowControl/>
      <w:autoSpaceDE w:val="0"/>
      <w:autoSpaceDN w:val="0"/>
      <w:spacing w:line="560" w:lineRule="exact"/>
      <w:ind w:firstLine="200" w:firstLineChars="200"/>
      <w:textAlignment w:val="baseline"/>
    </w:pPr>
    <w:rPr>
      <w:rFonts w:ascii="宋体" w:hAnsi="宋体" w:eastAsia="宋体" w:cs="宋体"/>
      <w:sz w:val="28"/>
      <w:szCs w:val="20"/>
    </w:rPr>
  </w:style>
  <w:style w:type="paragraph" w:customStyle="1" w:styleId="208">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4"/>
    </w:rPr>
  </w:style>
  <w:style w:type="table" w:customStyle="1" w:styleId="209">
    <w:name w:val="网格型3"/>
    <w:basedOn w:val="5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0">
    <w:name w:val="样式 标题 1 + 居中"/>
    <w:basedOn w:val="4"/>
    <w:next w:val="2"/>
    <w:qFormat/>
    <w:uiPriority w:val="0"/>
    <w:pPr>
      <w:adjustRightInd w:val="0"/>
      <w:snapToGrid w:val="0"/>
      <w:spacing w:after="240" w:line="360" w:lineRule="auto"/>
      <w:jc w:val="center"/>
    </w:pPr>
    <w:rPr>
      <w:rFonts w:ascii="宋体" w:hAnsi="宋体" w:eastAsia="黑体" w:cs="宋体"/>
      <w:bCs/>
      <w:sz w:val="30"/>
      <w:szCs w:val="20"/>
      <w:lang w:val="en-US"/>
    </w:rPr>
  </w:style>
  <w:style w:type="paragraph" w:customStyle="1" w:styleId="211">
    <w:name w:val="缩进正文"/>
    <w:basedOn w:val="20"/>
    <w:qFormat/>
    <w:uiPriority w:val="0"/>
    <w:pPr>
      <w:adjustRightInd w:val="0"/>
      <w:snapToGrid w:val="0"/>
      <w:spacing w:after="0" w:line="300" w:lineRule="auto"/>
      <w:ind w:left="0" w:leftChars="0" w:firstLine="200" w:firstLineChars="200"/>
    </w:pPr>
    <w:rPr>
      <w:rFonts w:ascii="宋体" w:hAnsi="宋体"/>
      <w:kern w:val="2"/>
      <w:sz w:val="21"/>
      <w:szCs w:val="20"/>
    </w:rPr>
  </w:style>
  <w:style w:type="paragraph" w:customStyle="1" w:styleId="212">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Courier New"/>
      <w:kern w:val="0"/>
      <w:sz w:val="21"/>
      <w:szCs w:val="21"/>
    </w:rPr>
  </w:style>
  <w:style w:type="paragraph" w:customStyle="1" w:styleId="213">
    <w:name w:val="目录"/>
    <w:basedOn w:val="1"/>
    <w:qFormat/>
    <w:uiPriority w:val="0"/>
    <w:pPr>
      <w:adjustRightInd w:val="0"/>
      <w:snapToGrid w:val="0"/>
      <w:spacing w:line="360" w:lineRule="auto"/>
      <w:jc w:val="center"/>
    </w:pPr>
    <w:rPr>
      <w:rFonts w:ascii="宋体" w:hAnsi="宋体" w:eastAsia="宋体" w:cs="Times New Roman"/>
      <w:b/>
      <w:sz w:val="24"/>
    </w:rPr>
  </w:style>
  <w:style w:type="paragraph" w:customStyle="1" w:styleId="214">
    <w:name w:val="格式正文"/>
    <w:basedOn w:val="1"/>
    <w:qFormat/>
    <w:uiPriority w:val="0"/>
    <w:pPr>
      <w:ind w:firstLine="560" w:firstLineChars="200"/>
    </w:pPr>
    <w:rPr>
      <w:rFonts w:ascii="宋体" w:hAnsi="宋体" w:eastAsia="宋体" w:cs="Times New Roman"/>
      <w:kern w:val="24"/>
      <w:sz w:val="21"/>
      <w:szCs w:val="21"/>
    </w:rPr>
  </w:style>
  <w:style w:type="paragraph" w:customStyle="1" w:styleId="215">
    <w:name w:val="样式134"/>
    <w:basedOn w:val="1"/>
    <w:qFormat/>
    <w:uiPriority w:val="0"/>
    <w:rPr>
      <w:rFonts w:ascii="宋体" w:hAnsi="宋体" w:eastAsia="宋体" w:cs="Times New Roman"/>
      <w:sz w:val="21"/>
    </w:rPr>
  </w:style>
  <w:style w:type="paragraph" w:customStyle="1" w:styleId="216">
    <w:name w:val="xl25"/>
    <w:basedOn w:val="1"/>
    <w:qFormat/>
    <w:uiPriority w:val="0"/>
    <w:pPr>
      <w:widowControl/>
      <w:spacing w:before="100" w:beforeAutospacing="1" w:after="100" w:afterAutospacing="1"/>
      <w:jc w:val="center"/>
    </w:pPr>
    <w:rPr>
      <w:rFonts w:ascii="Arial Unicode MS" w:hAnsi="Arial Unicode MS" w:eastAsia="Arial Unicode MS" w:cs="Times New Roman"/>
      <w:kern w:val="0"/>
      <w:sz w:val="24"/>
    </w:rPr>
  </w:style>
  <w:style w:type="paragraph" w:customStyle="1" w:styleId="217">
    <w:name w:val="font3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18">
    <w:name w:val="节标题"/>
    <w:basedOn w:val="1"/>
    <w:next w:val="1"/>
    <w:qFormat/>
    <w:uiPriority w:val="0"/>
    <w:pPr>
      <w:widowControl/>
      <w:spacing w:line="289" w:lineRule="atLeast"/>
      <w:jc w:val="center"/>
      <w:textAlignment w:val="baseline"/>
    </w:pPr>
    <w:rPr>
      <w:rFonts w:ascii="宋体" w:hAnsi="宋体" w:eastAsia="宋体" w:cs="Times New Roman"/>
      <w:color w:val="000000"/>
      <w:kern w:val="0"/>
      <w:sz w:val="21"/>
      <w:szCs w:val="20"/>
      <w:u w:color="000000"/>
    </w:rPr>
  </w:style>
  <w:style w:type="paragraph" w:customStyle="1" w:styleId="219">
    <w:name w:val="表"/>
    <w:basedOn w:val="1"/>
    <w:qFormat/>
    <w:uiPriority w:val="0"/>
    <w:pPr>
      <w:spacing w:line="300" w:lineRule="auto"/>
    </w:pPr>
    <w:rPr>
      <w:rFonts w:ascii="宋体" w:hAnsi="宋体" w:eastAsia="仿宋_GB2312" w:cs="Times New Roman"/>
      <w:bCs/>
      <w:sz w:val="24"/>
    </w:rPr>
  </w:style>
  <w:style w:type="paragraph" w:customStyle="1" w:styleId="220">
    <w:name w:val="Char1 Char Char Char Char Char Char Char Char Char Char Char Char"/>
    <w:basedOn w:val="1"/>
    <w:qFormat/>
    <w:uiPriority w:val="0"/>
    <w:pPr>
      <w:spacing w:beforeLines="100" w:afterLines="50" w:line="600" w:lineRule="exact"/>
      <w:ind w:firstLine="200" w:firstLineChars="200"/>
    </w:pPr>
    <w:rPr>
      <w:rFonts w:ascii="宋体" w:hAnsi="宋体" w:eastAsia="黑体" w:cs="Times New Roman"/>
      <w:sz w:val="21"/>
    </w:rPr>
  </w:style>
  <w:style w:type="character" w:customStyle="1" w:styleId="221">
    <w:name w:val="Char Char7"/>
    <w:qFormat/>
    <w:uiPriority w:val="0"/>
    <w:rPr>
      <w:rFonts w:eastAsia="宋体"/>
      <w:kern w:val="2"/>
      <w:sz w:val="18"/>
      <w:szCs w:val="18"/>
      <w:lang w:val="en-US" w:eastAsia="zh-CN" w:bidi="ar-SA"/>
    </w:rPr>
  </w:style>
  <w:style w:type="character" w:customStyle="1" w:styleId="222">
    <w:name w:val="页眉00 Char Char"/>
    <w:qFormat/>
    <w:uiPriority w:val="0"/>
    <w:rPr>
      <w:rFonts w:eastAsia="宋体"/>
      <w:kern w:val="2"/>
      <w:sz w:val="18"/>
      <w:szCs w:val="18"/>
      <w:lang w:val="en-US" w:eastAsia="zh-CN" w:bidi="ar-SA"/>
    </w:rPr>
  </w:style>
  <w:style w:type="paragraph" w:customStyle="1" w:styleId="223">
    <w:name w:val="Char Char3 Char Char Char Char"/>
    <w:basedOn w:val="1"/>
    <w:qFormat/>
    <w:uiPriority w:val="0"/>
    <w:pPr>
      <w:widowControl/>
      <w:adjustRightInd w:val="0"/>
      <w:snapToGrid w:val="0"/>
      <w:spacing w:before="156" w:beforeLines="50" w:after="160" w:line="240" w:lineRule="exact"/>
      <w:ind w:firstLine="480" w:firstLineChars="200"/>
      <w:jc w:val="left"/>
    </w:pPr>
    <w:rPr>
      <w:rFonts w:ascii="宋体" w:hAnsi="宋体" w:eastAsia="宋体" w:cs="Times New Roman"/>
      <w:kern w:val="0"/>
      <w:sz w:val="24"/>
      <w:szCs w:val="20"/>
    </w:rPr>
  </w:style>
  <w:style w:type="character" w:customStyle="1" w:styleId="224">
    <w:name w:val="正文（首行缩进两字） Char Char Char Char Char Char Char Char Char Char Char Char Char Char Char Char Char Char Char Char Char"/>
    <w:qFormat/>
    <w:uiPriority w:val="0"/>
    <w:rPr>
      <w:rFonts w:eastAsia="宋体"/>
      <w:kern w:val="2"/>
      <w:sz w:val="28"/>
      <w:szCs w:val="24"/>
      <w:lang w:val="en-US" w:eastAsia="zh-CN" w:bidi="ar-SA"/>
    </w:rPr>
  </w:style>
  <w:style w:type="character" w:customStyle="1" w:styleId="225">
    <w:name w:val="text"/>
    <w:qFormat/>
    <w:uiPriority w:val="0"/>
  </w:style>
  <w:style w:type="paragraph" w:customStyle="1" w:styleId="226">
    <w:name w:val="！正文"/>
    <w:basedOn w:val="1"/>
    <w:link w:val="227"/>
    <w:qFormat/>
    <w:uiPriority w:val="0"/>
    <w:pPr>
      <w:adjustRightInd w:val="0"/>
      <w:snapToGrid w:val="0"/>
      <w:spacing w:line="360" w:lineRule="auto"/>
      <w:ind w:firstLine="560" w:firstLineChars="200"/>
    </w:pPr>
    <w:rPr>
      <w:rFonts w:ascii="宋体" w:hAnsi="宋体" w:eastAsia="宋体" w:cs="Times New Roman"/>
      <w:bCs/>
      <w:color w:val="000000"/>
      <w:kern w:val="0"/>
      <w:sz w:val="21"/>
      <w:szCs w:val="28"/>
      <w:lang w:val="zh-CN"/>
    </w:rPr>
  </w:style>
  <w:style w:type="character" w:customStyle="1" w:styleId="227">
    <w:name w:val="！正文 Char"/>
    <w:link w:val="226"/>
    <w:qFormat/>
    <w:uiPriority w:val="0"/>
    <w:rPr>
      <w:rFonts w:ascii="宋体" w:hAnsi="宋体"/>
      <w:bCs/>
      <w:color w:val="000000"/>
      <w:sz w:val="21"/>
      <w:szCs w:val="28"/>
      <w:lang w:val="zh-CN"/>
    </w:rPr>
  </w:style>
  <w:style w:type="paragraph" w:customStyle="1" w:styleId="228">
    <w:name w:val="Char1"/>
    <w:basedOn w:val="1"/>
    <w:qFormat/>
    <w:uiPriority w:val="0"/>
    <w:rPr>
      <w:rFonts w:ascii="宋体" w:hAnsi="宋体" w:eastAsia="宋体" w:cs="Times New Roman"/>
      <w:sz w:val="21"/>
    </w:rPr>
  </w:style>
  <w:style w:type="paragraph" w:customStyle="1" w:styleId="229">
    <w:name w:val="方框"/>
    <w:basedOn w:val="1"/>
    <w:qFormat/>
    <w:uiPriority w:val="0"/>
    <w:pPr>
      <w:widowControl/>
      <w:spacing w:line="240" w:lineRule="atLeast"/>
    </w:pPr>
    <w:rPr>
      <w:rFonts w:ascii="宋体" w:hAnsi="宋体" w:eastAsia="宋体" w:cs="Times New Roman"/>
      <w:kern w:val="0"/>
      <w:sz w:val="24"/>
      <w:szCs w:val="20"/>
    </w:rPr>
  </w:style>
  <w:style w:type="paragraph" w:customStyle="1" w:styleId="230">
    <w:name w:val="样式9"/>
    <w:basedOn w:val="1"/>
    <w:qFormat/>
    <w:uiPriority w:val="0"/>
    <w:rPr>
      <w:rFonts w:ascii="宋体" w:hAnsi="宋体" w:eastAsia="宋体" w:cs="Times New Roman"/>
      <w:sz w:val="21"/>
    </w:rPr>
  </w:style>
  <w:style w:type="character" w:customStyle="1" w:styleId="231">
    <w:name w:val="biaoti-61"/>
    <w:qFormat/>
    <w:uiPriority w:val="0"/>
    <w:rPr>
      <w:b/>
      <w:bCs/>
      <w:color w:val="000066"/>
      <w:sz w:val="25"/>
      <w:szCs w:val="25"/>
    </w:rPr>
  </w:style>
  <w:style w:type="character" w:customStyle="1" w:styleId="232">
    <w:name w:val="注释标题 Char1"/>
    <w:semiHidden/>
    <w:qFormat/>
    <w:uiPriority w:val="99"/>
    <w:rPr>
      <w:kern w:val="2"/>
      <w:sz w:val="21"/>
      <w:szCs w:val="24"/>
    </w:rPr>
  </w:style>
  <w:style w:type="character" w:customStyle="1" w:styleId="233">
    <w:name w:val="报告正文 Char Char"/>
    <w:qFormat/>
    <w:uiPriority w:val="0"/>
    <w:rPr>
      <w:rFonts w:ascii="Times New Roman" w:hAnsi="Times New Roman"/>
      <w:sz w:val="21"/>
      <w:szCs w:val="21"/>
    </w:rPr>
  </w:style>
  <w:style w:type="paragraph" w:customStyle="1" w:styleId="234">
    <w:name w:val="样式16"/>
    <w:basedOn w:val="1"/>
    <w:next w:val="1"/>
    <w:qFormat/>
    <w:uiPriority w:val="0"/>
    <w:pPr>
      <w:spacing w:line="420" w:lineRule="exact"/>
      <w:ind w:firstLine="200" w:firstLineChars="200"/>
    </w:pPr>
    <w:rPr>
      <w:rFonts w:ascii="宋体" w:hAnsi="宋体" w:eastAsia="宋体" w:cs="Times New Roman"/>
      <w:spacing w:val="20"/>
      <w:sz w:val="24"/>
      <w:szCs w:val="20"/>
    </w:rPr>
  </w:style>
  <w:style w:type="paragraph" w:customStyle="1" w:styleId="235">
    <w:name w:val="默认段落字体 Para Char Char Char Char"/>
    <w:basedOn w:val="1"/>
    <w:link w:val="236"/>
    <w:qFormat/>
    <w:uiPriority w:val="0"/>
    <w:rPr>
      <w:rFonts w:ascii="宋体" w:hAnsi="宋体" w:eastAsia="宋体" w:cs="Times New Roman"/>
      <w:sz w:val="21"/>
    </w:rPr>
  </w:style>
  <w:style w:type="character" w:customStyle="1" w:styleId="236">
    <w:name w:val="默认段落字体 Para Char Char Char Char Char Char"/>
    <w:link w:val="235"/>
    <w:qFormat/>
    <w:uiPriority w:val="0"/>
    <w:rPr>
      <w:rFonts w:ascii="宋体" w:hAnsi="宋体"/>
      <w:kern w:val="2"/>
      <w:sz w:val="21"/>
      <w:szCs w:val="24"/>
    </w:rPr>
  </w:style>
  <w:style w:type="character" w:customStyle="1" w:styleId="237">
    <w:name w:val="表内格式 Char1"/>
    <w:link w:val="238"/>
    <w:qFormat/>
    <w:uiPriority w:val="0"/>
    <w:rPr>
      <w:kern w:val="2"/>
      <w:sz w:val="18"/>
    </w:rPr>
  </w:style>
  <w:style w:type="paragraph" w:customStyle="1" w:styleId="238">
    <w:name w:val="表内格式"/>
    <w:basedOn w:val="1"/>
    <w:link w:val="237"/>
    <w:qFormat/>
    <w:uiPriority w:val="0"/>
    <w:pPr>
      <w:jc w:val="center"/>
    </w:pPr>
    <w:rPr>
      <w:rFonts w:ascii="Calibri" w:hAnsi="Calibri" w:eastAsia="宋体" w:cs="Times New Roman"/>
      <w:sz w:val="18"/>
      <w:szCs w:val="20"/>
    </w:rPr>
  </w:style>
  <w:style w:type="character" w:customStyle="1" w:styleId="239">
    <w:name w:val="1现评正文 Char"/>
    <w:link w:val="240"/>
    <w:qFormat/>
    <w:uiPriority w:val="0"/>
    <w:rPr>
      <w:rFonts w:eastAsia="仿宋_GB2312"/>
      <w:sz w:val="28"/>
      <w:szCs w:val="24"/>
    </w:rPr>
  </w:style>
  <w:style w:type="paragraph" w:customStyle="1" w:styleId="240">
    <w:name w:val="1现评正文"/>
    <w:basedOn w:val="1"/>
    <w:link w:val="239"/>
    <w:qFormat/>
    <w:uiPriority w:val="0"/>
    <w:pPr>
      <w:widowControl/>
      <w:spacing w:line="484" w:lineRule="exact"/>
      <w:ind w:firstLine="200" w:firstLineChars="200"/>
    </w:pPr>
    <w:rPr>
      <w:rFonts w:ascii="Calibri" w:hAnsi="Calibri" w:eastAsia="仿宋_GB2312" w:cs="Times New Roman"/>
      <w:kern w:val="0"/>
      <w:sz w:val="28"/>
    </w:rPr>
  </w:style>
  <w:style w:type="paragraph" w:customStyle="1" w:styleId="241">
    <w:name w:val="1表格1"/>
    <w:basedOn w:val="1"/>
    <w:qFormat/>
    <w:uiPriority w:val="0"/>
    <w:pPr>
      <w:jc w:val="center"/>
    </w:pPr>
    <w:rPr>
      <w:rFonts w:ascii="Times New Roman" w:hAnsi="Times New Roman" w:eastAsia="仿宋_GB2312" w:cs="Times New Roman"/>
      <w:snapToGrid w:val="0"/>
      <w:sz w:val="21"/>
      <w:szCs w:val="21"/>
    </w:rPr>
  </w:style>
  <w:style w:type="paragraph" w:customStyle="1" w:styleId="24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243">
    <w:name w:val="样式 标题 6 + 五号"/>
    <w:basedOn w:val="1"/>
    <w:qFormat/>
    <w:uiPriority w:val="0"/>
    <w:pPr>
      <w:tabs>
        <w:tab w:val="left" w:pos="360"/>
      </w:tabs>
    </w:pPr>
    <w:rPr>
      <w:rFonts w:ascii="Times New Roman" w:hAnsi="Times New Roman" w:eastAsia="宋体" w:cs="Times New Roman"/>
      <w:sz w:val="21"/>
    </w:rPr>
  </w:style>
  <w:style w:type="paragraph" w:customStyle="1" w:styleId="244">
    <w:name w:val="列出段落1"/>
    <w:basedOn w:val="1"/>
    <w:qFormat/>
    <w:uiPriority w:val="0"/>
    <w:pPr>
      <w:ind w:firstLine="420" w:firstLineChars="200"/>
    </w:pPr>
    <w:rPr>
      <w:rFonts w:ascii="Calibri" w:hAnsi="Calibri" w:eastAsia="宋体" w:cs="Times New Roman"/>
      <w:sz w:val="21"/>
      <w:szCs w:val="22"/>
    </w:rPr>
  </w:style>
  <w:style w:type="character" w:customStyle="1" w:styleId="245">
    <w:name w:val="表头 Char"/>
    <w:link w:val="246"/>
    <w:qFormat/>
    <w:uiPriority w:val="0"/>
    <w:rPr>
      <w:rFonts w:ascii="黑体" w:hAnsi="宋体" w:eastAsia="黑体"/>
      <w:color w:val="000000"/>
      <w:kern w:val="2"/>
      <w:sz w:val="24"/>
      <w:szCs w:val="24"/>
    </w:rPr>
  </w:style>
  <w:style w:type="paragraph" w:customStyle="1" w:styleId="246">
    <w:name w:val="表头"/>
    <w:basedOn w:val="1"/>
    <w:link w:val="245"/>
    <w:qFormat/>
    <w:uiPriority w:val="0"/>
    <w:pPr>
      <w:adjustRightInd w:val="0"/>
      <w:snapToGrid w:val="0"/>
      <w:spacing w:line="520" w:lineRule="exact"/>
      <w:ind w:firstLine="198"/>
      <w:jc w:val="center"/>
    </w:pPr>
    <w:rPr>
      <w:rFonts w:ascii="黑体" w:hAnsi="宋体" w:eastAsia="黑体" w:cs="Times New Roman"/>
      <w:color w:val="000000"/>
      <w:sz w:val="24"/>
    </w:rPr>
  </w:style>
  <w:style w:type="paragraph" w:customStyle="1" w:styleId="247">
    <w:name w:val="表中文字"/>
    <w:basedOn w:val="37"/>
    <w:next w:val="1"/>
    <w:qFormat/>
    <w:uiPriority w:val="0"/>
    <w:pPr>
      <w:spacing w:line="360" w:lineRule="exact"/>
    </w:pPr>
    <w:rPr>
      <w:b/>
      <w:szCs w:val="24"/>
    </w:rPr>
  </w:style>
  <w:style w:type="paragraph" w:customStyle="1" w:styleId="248">
    <w:name w:val="CS表格正文"/>
    <w:basedOn w:val="1"/>
    <w:qFormat/>
    <w:uiPriority w:val="0"/>
    <w:pPr>
      <w:adjustRightInd w:val="0"/>
      <w:snapToGrid w:val="0"/>
    </w:pPr>
    <w:rPr>
      <w:rFonts w:ascii="Times New Roman" w:hAnsi="Times New Roman" w:eastAsia="宋体" w:cs="Times New Roman"/>
      <w:kern w:val="0"/>
      <w:sz w:val="21"/>
      <w:szCs w:val="20"/>
    </w:rPr>
  </w:style>
  <w:style w:type="paragraph" w:customStyle="1" w:styleId="249">
    <w:name w:val="修订2"/>
    <w:hidden/>
    <w:semiHidden/>
    <w:qFormat/>
    <w:uiPriority w:val="99"/>
    <w:rPr>
      <w:rFonts w:eastAsia="方正仿宋_GBK" w:asciiTheme="minorHAnsi" w:hAnsiTheme="minorHAnsi" w:cstheme="minorBidi"/>
      <w:kern w:val="2"/>
      <w:sz w:val="32"/>
      <w:szCs w:val="24"/>
      <w:lang w:val="en-US" w:eastAsia="zh-CN" w:bidi="ar-SA"/>
    </w:rPr>
  </w:style>
  <w:style w:type="character" w:customStyle="1" w:styleId="250">
    <w:name w:val="NormalCharacter"/>
    <w:semiHidden/>
    <w:qFormat/>
    <w:uiPriority w:val="0"/>
  </w:style>
  <w:style w:type="paragraph" w:customStyle="1" w:styleId="251">
    <w:name w:val="Revision"/>
    <w:hidden/>
    <w:semiHidden/>
    <w:qFormat/>
    <w:uiPriority w:val="99"/>
    <w:rPr>
      <w:rFonts w:eastAsia="方正仿宋_GBK" w:asciiTheme="minorHAnsi" w:hAnsiTheme="minorHAnsi"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19543</Words>
  <Characters>22254</Characters>
  <Lines>200</Lines>
  <Paragraphs>56</Paragraphs>
  <TotalTime>6</TotalTime>
  <ScaleCrop>false</ScaleCrop>
  <LinksUpToDate>false</LinksUpToDate>
  <CharactersWithSpaces>22707</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2019-03-20T06:06:00Z</dcterms:created>
  <dc:creator>luomz</dc:creator>
  <cp:lastModifiedBy>Administrator</cp:lastModifiedBy>
  <cp:lastPrinted>2019-03-25T01:41:00Z</cp:lastPrinted>
  <dcterms:modified xsi:type="dcterms:W3CDTF">2023-04-27T02:32:18Z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C9BDDCFF4B83403E9A8A0A6F8D692DE5</vt:lpwstr>
  </property>
</Properties>
</file>