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autoSpaceDE/>
        <w:autoSpaceDN/>
        <w:bidi w:val="0"/>
        <w:adjustRightInd/>
        <w:snapToGrid/>
        <w:spacing w:line="594" w:lineRule="exact"/>
        <w:jc w:val="both"/>
        <w:rPr>
          <w:rFonts w:hint="eastAsia" w:ascii="方正黑体_GBK" w:hAnsi="方正黑体_GBK" w:eastAsia="方正黑体_GBK" w:cs="方正黑体_GBK"/>
          <w:i w:val="0"/>
          <w:color w:val="auto"/>
          <w:kern w:val="0"/>
          <w:sz w:val="32"/>
          <w:szCs w:val="32"/>
          <w:highlight w:val="none"/>
          <w:u w:val="none"/>
          <w:lang w:val="en-US" w:eastAsia="zh-CN" w:bidi="ar"/>
        </w:rPr>
      </w:pPr>
      <w:r>
        <w:rPr>
          <w:rFonts w:hint="eastAsia" w:ascii="方正黑体_GBK" w:hAnsi="方正黑体_GBK" w:eastAsia="方正黑体_GBK" w:cs="方正黑体_GBK"/>
          <w:i w:val="0"/>
          <w:color w:val="auto"/>
          <w:kern w:val="0"/>
          <w:sz w:val="32"/>
          <w:szCs w:val="32"/>
          <w:highlight w:val="none"/>
          <w:u w:val="none"/>
          <w:lang w:val="en-US" w:eastAsia="zh-CN" w:bidi="ar"/>
        </w:rPr>
        <w:t>附件2</w:t>
      </w:r>
    </w:p>
    <w:p>
      <w:pPr>
        <w:keepNext w:val="0"/>
        <w:keepLines w:val="0"/>
        <w:pageBreakBefore w:val="0"/>
        <w:widowControl w:val="0"/>
        <w:kinsoku/>
        <w:wordWrap w:val="0"/>
        <w:overflowPunct/>
        <w:topLinePunct/>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olor w:val="auto"/>
          <w:kern w:val="0"/>
          <w:sz w:val="44"/>
          <w:szCs w:val="44"/>
          <w:highlight w:val="none"/>
          <w:u w:val="none"/>
          <w:lang w:val="en-US" w:eastAsia="zh-CN" w:bidi="ar"/>
        </w:rPr>
      </w:pPr>
      <w:r>
        <w:rPr>
          <w:rFonts w:hint="eastAsia" w:ascii="方正小标宋_GBK" w:hAnsi="方正小标宋_GBK" w:eastAsia="方正小标宋_GBK" w:cs="方正小标宋_GBK"/>
          <w:i w:val="0"/>
          <w:color w:val="auto"/>
          <w:kern w:val="0"/>
          <w:sz w:val="44"/>
          <w:szCs w:val="44"/>
          <w:highlight w:val="none"/>
          <w:u w:val="none"/>
          <w:lang w:val="en-US" w:eastAsia="zh-CN" w:bidi="ar"/>
        </w:rPr>
        <w:t>江北区2025年柑橘种植保险实施方案</w:t>
      </w:r>
    </w:p>
    <w:p>
      <w:pPr>
        <w:pStyle w:val="3"/>
        <w:keepNext w:val="0"/>
        <w:keepLines w:val="0"/>
        <w:pageBreakBefore w:val="0"/>
        <w:widowControl w:val="0"/>
        <w:kinsoku/>
        <w:wordWrap w:val="0"/>
        <w:overflowPunct/>
        <w:topLinePunct/>
        <w:autoSpaceDE/>
        <w:autoSpaceDN/>
        <w:bidi w:val="0"/>
        <w:spacing w:line="594" w:lineRule="exact"/>
        <w:ind w:firstLine="643" w:firstLineChars="200"/>
        <w:jc w:val="left"/>
        <w:textAlignment w:val="auto"/>
        <w:rPr>
          <w:rFonts w:hint="default" w:ascii="Times New Roman" w:hAnsi="Times New Roman" w:eastAsia="方正仿宋_GBK" w:cs="Times New Roman"/>
          <w:b/>
          <w:kern w:val="0"/>
          <w:sz w:val="32"/>
          <w:szCs w:val="32"/>
        </w:rPr>
      </w:pPr>
    </w:p>
    <w:p>
      <w:pPr>
        <w:pStyle w:val="3"/>
        <w:keepNext w:val="0"/>
        <w:keepLines w:val="0"/>
        <w:pageBreakBefore w:val="0"/>
        <w:widowControl w:val="0"/>
        <w:kinsoku/>
        <w:wordWrap w:val="0"/>
        <w:overflowPunct/>
        <w:topLinePunct/>
        <w:autoSpaceDE/>
        <w:autoSpaceDN/>
        <w:bidi w:val="0"/>
        <w:spacing w:line="594"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一、保险对象</w:t>
      </w:r>
    </w:p>
    <w:p>
      <w:pPr>
        <w:pStyle w:val="3"/>
        <w:keepNext w:val="0"/>
        <w:keepLines w:val="0"/>
        <w:pageBreakBefore w:val="0"/>
        <w:widowControl w:val="0"/>
        <w:kinsoku/>
        <w:wordWrap w:val="0"/>
        <w:overflowPunct/>
        <w:topLinePunct/>
        <w:autoSpaceDE/>
        <w:autoSpaceDN/>
        <w:bidi w:val="0"/>
        <w:spacing w:line="594"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江北区柑橘种植户、柑橘种植新型农业经营主体均可作为被保险人。</w:t>
      </w:r>
    </w:p>
    <w:p>
      <w:pPr>
        <w:pStyle w:val="3"/>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jc w:val="left"/>
        <w:textAlignment w:val="auto"/>
        <w:rPr>
          <w:rFonts w:hint="eastAsia"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val="en-US" w:eastAsia="zh-CN"/>
        </w:rPr>
        <w:t>二、保险标的</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符合下列条件的柑橘树（包括江北区主要种植的柑、橘、橙、柚、柠檬等品种，下同）可作为保险标的：</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（一）柑橘树种植集中成片且种植面积在5亩（含）以上；</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（二）柑橘树龄45年（含）以下，且生长正常；</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（三）柑橘树种植符合当地农业主管部门制定的种植规范标准和技术管理要求；</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（四）种植在非蓄洪、行洪区。</w:t>
      </w:r>
    </w:p>
    <w:p>
      <w:pPr>
        <w:keepNext w:val="0"/>
        <w:keepLines w:val="0"/>
        <w:pageBreakBefore w:val="0"/>
        <w:widowControl w:val="0"/>
        <w:numPr>
          <w:ilvl w:val="0"/>
          <w:numId w:val="0"/>
        </w:numPr>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投保人应将符合上述条件的柑橘树全部投保，不得选择投保。</w:t>
      </w:r>
    </w:p>
    <w:p>
      <w:pPr>
        <w:keepNext w:val="0"/>
        <w:keepLines w:val="0"/>
        <w:pageBreakBefore w:val="0"/>
        <w:widowControl w:val="0"/>
        <w:kinsoku/>
        <w:wordWrap w:val="0"/>
        <w:overflowPunct/>
        <w:topLinePunct/>
        <w:autoSpaceDE/>
        <w:autoSpaceDN/>
        <w:bidi w:val="0"/>
        <w:spacing w:line="594" w:lineRule="exact"/>
        <w:ind w:firstLine="720" w:firstLineChars="225"/>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三、保险责任</w:t>
      </w:r>
    </w:p>
    <w:p>
      <w:pPr>
        <w:pStyle w:val="3"/>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在保险期间内，由于下列原因直接造成保险柑橘树死亡、折枝、落花、落叶、落果、萎蔫的，保险人按照保险合同的约定负责赔偿：</w:t>
      </w:r>
    </w:p>
    <w:p>
      <w:pPr>
        <w:pStyle w:val="3"/>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（一）旱灾、风灾、内涝、冻灾、雹灾、洪水（政府行蓄洪除外）、暴雨等人力无法抗拒的自然灾害；</w:t>
      </w:r>
    </w:p>
    <w:p>
      <w:pPr>
        <w:pStyle w:val="3"/>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（二）非检疫性病虫害。</w:t>
      </w:r>
    </w:p>
    <w:p>
      <w:pPr>
        <w:pStyle w:val="3"/>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四、保险期限</w:t>
      </w:r>
    </w:p>
    <w:p>
      <w:pPr>
        <w:pStyle w:val="6"/>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保险期间为一年，以保险单载明的起讫时间为准。</w:t>
      </w:r>
    </w:p>
    <w:p>
      <w:pPr>
        <w:pStyle w:val="6"/>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、保费补贴比例</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按照投保则补、不保不补的原则，各级财政对投保</w:t>
      </w:r>
      <w:r>
        <w:rPr>
          <w:rFonts w:hint="default" w:ascii="Times New Roman" w:hAnsi="Times New Roman" w:eastAsia="方正仿宋_GBK" w:cs="Times New Roman"/>
          <w:sz w:val="32"/>
          <w:szCs w:val="32"/>
          <w:lang w:val="en-US" w:eastAsia="zh-CN"/>
        </w:rPr>
        <w:t>柑橘种植户</w:t>
      </w:r>
      <w:r>
        <w:rPr>
          <w:rFonts w:hint="default" w:ascii="Times New Roman" w:hAnsi="Times New Roman" w:eastAsia="方正仿宋_GBK" w:cs="Times New Roman"/>
          <w:sz w:val="32"/>
          <w:szCs w:val="32"/>
        </w:rPr>
        <w:t>给予保费补贴。保费由财政承担</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%，农户（</w:t>
      </w:r>
      <w:r>
        <w:rPr>
          <w:rFonts w:hint="default" w:ascii="Times New Roman" w:hAnsi="Times New Roman" w:eastAsia="方正仿宋_GBK" w:cs="Times New Roman"/>
          <w:sz w:val="32"/>
          <w:szCs w:val="32"/>
          <w:lang w:val="en-US" w:eastAsia="zh-CN"/>
        </w:rPr>
        <w:t>种植户</w:t>
      </w:r>
      <w:r>
        <w:rPr>
          <w:rFonts w:hint="default" w:ascii="Times New Roman" w:hAnsi="Times New Roman" w:eastAsia="方正仿宋_GBK" w:cs="Times New Roman"/>
          <w:sz w:val="32"/>
          <w:szCs w:val="32"/>
        </w:rPr>
        <w:t>）承担</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val="en-US" w:eastAsia="zh-CN"/>
        </w:rPr>
        <w:t>六</w:t>
      </w:r>
      <w:r>
        <w:rPr>
          <w:rFonts w:hint="eastAsia" w:ascii="方正黑体_GBK" w:hAnsi="方正黑体_GBK" w:eastAsia="方正黑体_GBK" w:cs="方正黑体_GBK"/>
          <w:b w:val="0"/>
          <w:bCs/>
          <w:kern w:val="0"/>
          <w:sz w:val="32"/>
          <w:szCs w:val="32"/>
        </w:rPr>
        <w:t>、赔偿处理</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保</w:t>
      </w:r>
      <w:r>
        <w:rPr>
          <w:rFonts w:hint="default" w:ascii="Times New Roman" w:hAnsi="Times New Roman" w:eastAsia="方正仿宋_GBK" w:cs="Times New Roman"/>
          <w:sz w:val="32"/>
          <w:szCs w:val="32"/>
        </w:rPr>
        <w:t>险柑橘树在保险期间内，发生保险责任范围内的损失，保险人在保险金额内按下列规定承担赔偿责任：</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（一）保险柑橘树发生保险责任范围内的损失，保险人按以下方式计算赔偿</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赔偿金额=每亩保险金额×受损面积（亩）×赔付比例</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受损面积=种植面积×受损率</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受损率为单位面积受损株数/单位面积种植株数，可采用抽样法确定。</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当损失率在80%（含）以上时，视为全部损失。</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（二）赔付比例由保险柑橘树受损程度确定</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柑橘树死亡的，赔付比例为100%。</w:t>
      </w:r>
    </w:p>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val="0"/>
        <w:overflowPunct/>
        <w:topLinePunct/>
        <w:autoSpaceDE/>
        <w:autoSpaceDN/>
        <w:bidi w:val="0"/>
        <w:adjustRightInd w:val="0"/>
        <w:spacing w:line="594" w:lineRule="exact"/>
        <w:ind w:firstLine="640" w:firstLineChars="200"/>
        <w:jc w:val="left"/>
        <w:textAlignment w:val="auto"/>
        <w:rPr>
          <w:rFonts w:hint="default" w:ascii="Times New Roman" w:hAnsi="Times New Roman" w:eastAsia="方正仿宋_GBK" w:cs="Times New Roman"/>
          <w:szCs w:val="21"/>
        </w:rPr>
      </w:pPr>
      <w:r>
        <w:rPr>
          <w:rFonts w:hint="eastAsia" w:ascii="方正仿宋_GBK" w:hAnsi="方正仿宋_GBK" w:eastAsia="方正仿宋_GBK" w:cs="方正仿宋_GBK"/>
          <w:sz w:val="32"/>
          <w:szCs w:val="32"/>
        </w:rPr>
        <w:t>（1）折枝</w:t>
      </w:r>
    </w:p>
    <w:tbl>
      <w:tblPr>
        <w:tblStyle w:val="5"/>
        <w:tblW w:w="8899" w:type="dxa"/>
        <w:tblInd w:w="249" w:type="dxa"/>
        <w:tblLayout w:type="fixed"/>
        <w:tblCellMar>
          <w:top w:w="0" w:type="dxa"/>
          <w:left w:w="108" w:type="dxa"/>
          <w:bottom w:w="0" w:type="dxa"/>
          <w:right w:w="108" w:type="dxa"/>
        </w:tblCellMar>
      </w:tblPr>
      <w:tblGrid>
        <w:gridCol w:w="1548"/>
        <w:gridCol w:w="5127"/>
        <w:gridCol w:w="2224"/>
      </w:tblGrid>
      <w:tr>
        <w:tblPrEx>
          <w:tblLayout w:type="fixed"/>
        </w:tblPrEx>
        <w:trPr>
          <w:trHeight w:val="63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受灾级别</w:t>
            </w:r>
          </w:p>
        </w:tc>
        <w:tc>
          <w:tcPr>
            <w:tcW w:w="51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损失情况</w:t>
            </w:r>
          </w:p>
        </w:tc>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赔付比例</w:t>
            </w:r>
          </w:p>
        </w:tc>
      </w:tr>
      <w:tr>
        <w:tblPrEx>
          <w:tblLayout w:type="fixed"/>
        </w:tblPrEx>
        <w:trPr>
          <w:trHeight w:val="63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轻度</w:t>
            </w:r>
          </w:p>
        </w:tc>
        <w:tc>
          <w:tcPr>
            <w:tcW w:w="51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其树枝折断比例占整棵树30%（含）以下，对其产量影响较小。</w:t>
            </w:r>
          </w:p>
        </w:tc>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1%-10%（含）</w:t>
            </w:r>
          </w:p>
        </w:tc>
      </w:tr>
      <w:tr>
        <w:tblPrEx>
          <w:tblLayout w:type="fixed"/>
          <w:tblCellMar>
            <w:top w:w="0" w:type="dxa"/>
            <w:left w:w="108" w:type="dxa"/>
            <w:bottom w:w="0" w:type="dxa"/>
            <w:right w:w="108" w:type="dxa"/>
          </w:tblCellMar>
        </w:tblPrEx>
        <w:trPr>
          <w:trHeight w:val="946"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中度</w:t>
            </w:r>
          </w:p>
        </w:tc>
        <w:tc>
          <w:tcPr>
            <w:tcW w:w="51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其树枝折断比例占整棵树30%-60%（含），对其产量影响较大。</w:t>
            </w:r>
          </w:p>
        </w:tc>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10%-30%（含）</w:t>
            </w:r>
          </w:p>
        </w:tc>
      </w:tr>
      <w:tr>
        <w:tblPrEx>
          <w:tblLayout w:type="fixed"/>
          <w:tblCellMar>
            <w:top w:w="0" w:type="dxa"/>
            <w:left w:w="108" w:type="dxa"/>
            <w:bottom w:w="0" w:type="dxa"/>
            <w:right w:w="108" w:type="dxa"/>
          </w:tblCellMar>
        </w:tblPrEx>
        <w:trPr>
          <w:trHeight w:val="954"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重度</w:t>
            </w:r>
          </w:p>
        </w:tc>
        <w:tc>
          <w:tcPr>
            <w:tcW w:w="51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其树枝折断比例占整棵树60%-100%（含），已严重影响了其生长和产量。</w:t>
            </w:r>
          </w:p>
        </w:tc>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30%-50%（含）</w:t>
            </w:r>
          </w:p>
        </w:tc>
      </w:tr>
    </w:tbl>
    <w:p>
      <w:pPr>
        <w:keepNext w:val="0"/>
        <w:keepLines w:val="0"/>
        <w:pageBreakBefore w:val="0"/>
        <w:widowControl w:val="0"/>
        <w:kinsoku/>
        <w:wordWrap w:val="0"/>
        <w:overflowPunct/>
        <w:topLinePunct/>
        <w:autoSpaceDE/>
        <w:autoSpaceDN/>
        <w:bidi w:val="0"/>
        <w:adjustRightInd w:val="0"/>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（2）落花、落叶、落果</w:t>
      </w:r>
    </w:p>
    <w:tbl>
      <w:tblPr>
        <w:tblStyle w:val="5"/>
        <w:tblW w:w="8759" w:type="dxa"/>
        <w:tblInd w:w="289" w:type="dxa"/>
        <w:tblLayout w:type="fixed"/>
        <w:tblCellMar>
          <w:top w:w="0" w:type="dxa"/>
          <w:left w:w="108" w:type="dxa"/>
          <w:bottom w:w="0" w:type="dxa"/>
          <w:right w:w="108" w:type="dxa"/>
        </w:tblCellMar>
      </w:tblPr>
      <w:tblGrid>
        <w:gridCol w:w="1508"/>
        <w:gridCol w:w="5061"/>
        <w:gridCol w:w="2190"/>
      </w:tblGrid>
      <w:tr>
        <w:tblPrEx>
          <w:tblLayout w:type="fixed"/>
        </w:tblPrEx>
        <w:trPr>
          <w:trHeight w:val="732" w:hRule="atLeast"/>
        </w:trPr>
        <w:tc>
          <w:tcPr>
            <w:tcW w:w="1508"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受灾级别</w:t>
            </w:r>
          </w:p>
        </w:tc>
        <w:tc>
          <w:tcPr>
            <w:tcW w:w="5061"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损失情况</w:t>
            </w:r>
          </w:p>
        </w:tc>
        <w:tc>
          <w:tcPr>
            <w:tcW w:w="219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赔付比例</w:t>
            </w:r>
          </w:p>
        </w:tc>
      </w:tr>
      <w:tr>
        <w:tblPrEx>
          <w:tblLayout w:type="fixed"/>
          <w:tblCellMar>
            <w:top w:w="0" w:type="dxa"/>
            <w:left w:w="108" w:type="dxa"/>
            <w:bottom w:w="0" w:type="dxa"/>
            <w:right w:w="108" w:type="dxa"/>
          </w:tblCellMar>
        </w:tblPrEx>
        <w:trPr>
          <w:trHeight w:val="1080" w:hRule="atLeast"/>
        </w:trPr>
        <w:tc>
          <w:tcPr>
            <w:tcW w:w="15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轻度</w:t>
            </w:r>
          </w:p>
        </w:tc>
        <w:tc>
          <w:tcPr>
            <w:tcW w:w="5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10%（含）-30%（含）花掉落；10%（含）-20%（含）叶片掉落；10%（含）-30%（含）的果掉落。</w:t>
            </w:r>
          </w:p>
        </w:tc>
        <w:tc>
          <w:tcPr>
            <w:tcW w:w="219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1%-5%（含）</w:t>
            </w:r>
          </w:p>
        </w:tc>
      </w:tr>
      <w:tr>
        <w:tblPrEx>
          <w:tblLayout w:type="fixed"/>
          <w:tblCellMar>
            <w:top w:w="0" w:type="dxa"/>
            <w:left w:w="108" w:type="dxa"/>
            <w:bottom w:w="0" w:type="dxa"/>
            <w:right w:w="108" w:type="dxa"/>
          </w:tblCellMar>
        </w:tblPrEx>
        <w:trPr>
          <w:trHeight w:val="1080" w:hRule="atLeast"/>
        </w:trPr>
        <w:tc>
          <w:tcPr>
            <w:tcW w:w="15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中度</w:t>
            </w:r>
          </w:p>
        </w:tc>
        <w:tc>
          <w:tcPr>
            <w:tcW w:w="5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30%-50%（含）花掉落；20%-30%（含）叶片掉落；30%-50%（含）的果掉落。</w:t>
            </w:r>
          </w:p>
        </w:tc>
        <w:tc>
          <w:tcPr>
            <w:tcW w:w="219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5%-25%（含）</w:t>
            </w:r>
          </w:p>
        </w:tc>
      </w:tr>
      <w:tr>
        <w:tblPrEx>
          <w:tblLayout w:type="fixed"/>
          <w:tblCellMar>
            <w:top w:w="0" w:type="dxa"/>
            <w:left w:w="108" w:type="dxa"/>
            <w:bottom w:w="0" w:type="dxa"/>
            <w:right w:w="108" w:type="dxa"/>
          </w:tblCellMar>
        </w:tblPrEx>
        <w:trPr>
          <w:trHeight w:val="740" w:hRule="atLeast"/>
        </w:trPr>
        <w:tc>
          <w:tcPr>
            <w:tcW w:w="1508"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重度</w:t>
            </w:r>
          </w:p>
        </w:tc>
        <w:tc>
          <w:tcPr>
            <w:tcW w:w="5061"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50%以上花掉落；30%以上叶片掉落；50%以上的果掉落。</w:t>
            </w:r>
          </w:p>
        </w:tc>
        <w:tc>
          <w:tcPr>
            <w:tcW w:w="2190"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25%-50%（含）</w:t>
            </w:r>
          </w:p>
        </w:tc>
      </w:tr>
    </w:tbl>
    <w:p>
      <w:pPr>
        <w:keepNext w:val="0"/>
        <w:keepLines w:val="0"/>
        <w:pageBreakBefore w:val="0"/>
        <w:widowControl w:val="0"/>
        <w:kinsoku/>
        <w:wordWrap w:val="0"/>
        <w:overflowPunct/>
        <w:topLinePunct/>
        <w:autoSpaceDE/>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（3）萎蔫</w:t>
      </w:r>
    </w:p>
    <w:tbl>
      <w:tblPr>
        <w:tblStyle w:val="5"/>
        <w:tblW w:w="8739" w:type="dxa"/>
        <w:tblInd w:w="289" w:type="dxa"/>
        <w:tblLayout w:type="fixed"/>
        <w:tblCellMar>
          <w:top w:w="0" w:type="dxa"/>
          <w:left w:w="108" w:type="dxa"/>
          <w:bottom w:w="0" w:type="dxa"/>
          <w:right w:w="108" w:type="dxa"/>
        </w:tblCellMar>
      </w:tblPr>
      <w:tblGrid>
        <w:gridCol w:w="1508"/>
        <w:gridCol w:w="5046"/>
        <w:gridCol w:w="2185"/>
      </w:tblGrid>
      <w:tr>
        <w:tblPrEx>
          <w:tblLayout w:type="fixed"/>
        </w:tblPrEx>
        <w:trPr>
          <w:trHeight w:val="696" w:hRule="atLeast"/>
        </w:trPr>
        <w:tc>
          <w:tcPr>
            <w:tcW w:w="1508"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受灾级别</w:t>
            </w:r>
          </w:p>
        </w:tc>
        <w:tc>
          <w:tcPr>
            <w:tcW w:w="50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损失情况</w:t>
            </w:r>
          </w:p>
        </w:tc>
        <w:tc>
          <w:tcPr>
            <w:tcW w:w="218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赔付比例</w:t>
            </w:r>
          </w:p>
        </w:tc>
      </w:tr>
      <w:tr>
        <w:tblPrEx>
          <w:tblLayout w:type="fixed"/>
          <w:tblCellMar>
            <w:top w:w="0" w:type="dxa"/>
            <w:left w:w="108" w:type="dxa"/>
            <w:bottom w:w="0" w:type="dxa"/>
            <w:right w:w="108" w:type="dxa"/>
          </w:tblCellMar>
        </w:tblPrEx>
        <w:trPr>
          <w:trHeight w:val="688" w:hRule="atLeast"/>
        </w:trPr>
        <w:tc>
          <w:tcPr>
            <w:tcW w:w="15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轻度</w:t>
            </w:r>
          </w:p>
        </w:tc>
        <w:tc>
          <w:tcPr>
            <w:tcW w:w="50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其嫩叶片卷曲，傍晚或清晨能及时恢复的，对树体影响不大。</w:t>
            </w:r>
          </w:p>
        </w:tc>
        <w:tc>
          <w:tcPr>
            <w:tcW w:w="218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r>
      <w:tr>
        <w:tblPrEx>
          <w:tblLayout w:type="fixed"/>
          <w:tblCellMar>
            <w:top w:w="0" w:type="dxa"/>
            <w:left w:w="108" w:type="dxa"/>
            <w:bottom w:w="0" w:type="dxa"/>
            <w:right w:w="108" w:type="dxa"/>
          </w:tblCellMar>
        </w:tblPrEx>
        <w:trPr>
          <w:trHeight w:val="1027" w:hRule="atLeast"/>
        </w:trPr>
        <w:tc>
          <w:tcPr>
            <w:tcW w:w="15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中度</w:t>
            </w:r>
          </w:p>
        </w:tc>
        <w:tc>
          <w:tcPr>
            <w:tcW w:w="50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其叶片卷曲，傍晚或清晨不能及时恢复的，对树体生长造成一定影响。</w:t>
            </w:r>
          </w:p>
        </w:tc>
        <w:tc>
          <w:tcPr>
            <w:tcW w:w="218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0-20%（含）</w:t>
            </w:r>
          </w:p>
        </w:tc>
      </w:tr>
      <w:tr>
        <w:tblPrEx>
          <w:tblLayout w:type="fixed"/>
          <w:tblCellMar>
            <w:top w:w="0" w:type="dxa"/>
            <w:left w:w="108" w:type="dxa"/>
            <w:bottom w:w="0" w:type="dxa"/>
            <w:right w:w="108" w:type="dxa"/>
          </w:tblCellMar>
        </w:tblPrEx>
        <w:trPr>
          <w:trHeight w:val="1043" w:hRule="atLeast"/>
        </w:trPr>
        <w:tc>
          <w:tcPr>
            <w:tcW w:w="1508"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重度</w:t>
            </w:r>
          </w:p>
        </w:tc>
        <w:tc>
          <w:tcPr>
            <w:tcW w:w="5046" w:type="dxa"/>
            <w:tcBorders>
              <w:top w:val="single" w:color="auto" w:sz="4" w:space="0"/>
              <w:left w:val="single" w:color="auto" w:sz="4" w:space="0"/>
              <w:bottom w:val="single" w:color="auto" w:sz="8" w:space="0"/>
              <w:right w:val="single" w:color="auto" w:sz="4" w:space="0"/>
            </w:tcBorders>
            <w:vAlign w:val="top"/>
          </w:tcPr>
          <w:p>
            <w:pPr>
              <w:keepNext w:val="0"/>
              <w:keepLines w:val="0"/>
              <w:pageBreakBefore w:val="0"/>
              <w:widowControl w:val="0"/>
              <w:kinsoku/>
              <w:wordWrap w:val="0"/>
              <w:overflowPunct/>
              <w:topLinePunct/>
              <w:autoSpaceDE/>
              <w:autoSpaceDN/>
              <w:bidi w:val="0"/>
              <w:adjustRightInd w:val="0"/>
              <w:snapToGrid w:val="0"/>
              <w:spacing w:line="594"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其整树叶片卷曲，果子皱缩失水，枝条失水，严重影响其生长和产量。</w:t>
            </w:r>
          </w:p>
        </w:tc>
        <w:tc>
          <w:tcPr>
            <w:tcW w:w="21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20%-50%（含）</w:t>
            </w:r>
          </w:p>
        </w:tc>
      </w:tr>
    </w:tbl>
    <w:p>
      <w:pPr>
        <w:keepNext w:val="0"/>
        <w:keepLines w:val="0"/>
        <w:pageBreakBefore w:val="0"/>
        <w:widowControl w:val="0"/>
        <w:kinsoku/>
        <w:wordWrap w:val="0"/>
        <w:overflowPunct/>
        <w:topLinePunct/>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发生保险事故时，保险单载明的保险面积小于其可保面积时，可以区分保险柑橘树与非保险柑橘树的，以保险单载明的保险面积为赔偿计算标准；</w:t>
      </w:r>
      <w:r>
        <w:rPr>
          <w:rFonts w:hint="eastAsia" w:ascii="方正仿宋_GBK" w:hAnsi="方正仿宋_GBK" w:eastAsia="方正仿宋_GBK" w:cs="方正仿宋_GBK"/>
          <w:b w:val="0"/>
          <w:bCs/>
          <w:i w:val="0"/>
          <w:iCs w:val="0"/>
          <w:sz w:val="32"/>
          <w:szCs w:val="32"/>
        </w:rPr>
        <w:t>无法区分保险柑橘树与非保险柑橘树的，保险人按保险单载明的保险面积与可保面积的比例计算赔偿。</w:t>
      </w:r>
      <w:r>
        <w:rPr>
          <w:rFonts w:hint="eastAsia" w:ascii="方正仿宋_GBK" w:hAnsi="方正仿宋_GBK" w:eastAsia="方正仿宋_GBK" w:cs="方正仿宋_GBK"/>
          <w:sz w:val="32"/>
          <w:szCs w:val="32"/>
        </w:rPr>
        <w:t>保险单载明的保险面积大于可保面积时，</w:t>
      </w:r>
      <w:r>
        <w:rPr>
          <w:rFonts w:hint="eastAsia" w:ascii="方正仿宋_GBK" w:hAnsi="方正仿宋_GBK" w:eastAsia="方正仿宋_GBK" w:cs="方正仿宋_GBK"/>
          <w:color w:val="000000"/>
          <w:sz w:val="32"/>
          <w:szCs w:val="32"/>
        </w:rPr>
        <w:t>保险人以</w:t>
      </w:r>
      <w:r>
        <w:rPr>
          <w:rFonts w:hint="eastAsia" w:ascii="方正仿宋_GBK" w:hAnsi="方正仿宋_GBK" w:eastAsia="方正仿宋_GBK" w:cs="方正仿宋_GBK"/>
          <w:sz w:val="32"/>
          <w:szCs w:val="32"/>
        </w:rPr>
        <w:t>可保面积为赔偿计算标准。</w:t>
      </w:r>
    </w:p>
    <w:p>
      <w:pPr>
        <w:keepNext w:val="0"/>
        <w:keepLines w:val="0"/>
        <w:pageBreakBefore w:val="0"/>
        <w:widowControl w:val="0"/>
        <w:kinsoku/>
        <w:wordWrap w:val="0"/>
        <w:overflowPunct/>
        <w:topLinePunct/>
        <w:autoSpaceDE/>
        <w:autoSpaceDN/>
        <w:bidi w:val="0"/>
        <w:spacing w:line="594" w:lineRule="exact"/>
        <w:textAlignment w:val="auto"/>
        <w:rPr>
          <w:rFonts w:hint="default" w:ascii="Times New Roman" w:hAnsi="Times New Roman" w:eastAsia="方正仿宋_GBK" w:cs="Times New Roman"/>
          <w:i w:val="0"/>
          <w:color w:val="auto"/>
          <w:kern w:val="0"/>
          <w:sz w:val="36"/>
          <w:szCs w:val="36"/>
          <w:highlight w:val="none"/>
          <w:u w:val="none"/>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47552"/>
    <w:rsid w:val="4BE4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Indent"/>
    <w:basedOn w:val="1"/>
    <w:next w:val="1"/>
    <w:qFormat/>
    <w:uiPriority w:val="0"/>
  </w:style>
  <w:style w:type="paragraph" w:customStyle="1" w:styleId="6">
    <w:name w:val="Default"/>
    <w:next w:val="1"/>
    <w:qFormat/>
    <w:uiPriority w:val="0"/>
    <w:pPr>
      <w:widowControl w:val="0"/>
      <w:autoSpaceDE w:val="0"/>
      <w:autoSpaceDN w:val="0"/>
      <w:adjustRightInd w:val="0"/>
    </w:pPr>
    <w:rPr>
      <w:rFonts w:ascii="方正仿宋_GBK" w:hAnsi="Calibri" w:eastAsia="方正仿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2025-01-02T06:39:00Z</dcterms:created>
  <dc:creator>hp</dc:creator>
  <cp:lastModifiedBy>hp</cp:lastModifiedBy>
  <dcterms:modified xsi:type="dcterms:W3CDTF">2025-01-02T06:39:50Z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