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val="0"/>
        <w:overflowPunct/>
        <w:topLinePunct/>
        <w:autoSpaceDE/>
        <w:autoSpaceDN/>
        <w:bidi w:val="0"/>
        <w:adjustRightInd/>
        <w:snapToGrid/>
        <w:spacing w:line="594" w:lineRule="exact"/>
        <w:jc w:val="both"/>
        <w:rPr>
          <w:rFonts w:hint="eastAsia" w:ascii="方正黑体_GBK" w:hAnsi="方正黑体_GBK" w:eastAsia="方正黑体_GBK" w:cs="方正黑体_GBK"/>
          <w:i w:val="0"/>
          <w:color w:val="auto"/>
          <w:kern w:val="0"/>
          <w:sz w:val="32"/>
          <w:szCs w:val="32"/>
          <w:highlight w:val="none"/>
          <w:u w:val="none"/>
          <w:lang w:val="en-US" w:eastAsia="zh-CN" w:bidi="ar"/>
        </w:rPr>
      </w:pPr>
      <w:r>
        <w:rPr>
          <w:rFonts w:hint="eastAsia" w:ascii="方正黑体_GBK" w:hAnsi="方正黑体_GBK" w:eastAsia="方正黑体_GBK" w:cs="方正黑体_GBK"/>
          <w:i w:val="0"/>
          <w:color w:val="auto"/>
          <w:kern w:val="0"/>
          <w:sz w:val="32"/>
          <w:szCs w:val="32"/>
          <w:highlight w:val="none"/>
          <w:u w:val="none"/>
          <w:lang w:val="en-US" w:eastAsia="zh-CN" w:bidi="ar"/>
        </w:rPr>
        <w:t>附件3</w:t>
      </w:r>
    </w:p>
    <w:p>
      <w:pPr>
        <w:keepNext w:val="0"/>
        <w:keepLines w:val="0"/>
        <w:pageBreakBefore w:val="0"/>
        <w:widowControl w:val="0"/>
        <w:kinsoku/>
        <w:wordWrap w:val="0"/>
        <w:overflowPunct/>
        <w:topLinePunct/>
        <w:autoSpaceDE/>
        <w:autoSpaceDN/>
        <w:bidi w:val="0"/>
        <w:adjustRightInd/>
        <w:snapToGrid/>
        <w:spacing w:line="594" w:lineRule="exact"/>
        <w:jc w:val="center"/>
        <w:textAlignment w:val="auto"/>
        <w:rPr>
          <w:rFonts w:hint="default" w:ascii="Times New Roman" w:hAnsi="Times New Roman" w:eastAsia="方正仿宋_GBK" w:cs="Times New Roman"/>
          <w:i w:val="0"/>
          <w:color w:val="auto"/>
          <w:kern w:val="0"/>
          <w:sz w:val="36"/>
          <w:szCs w:val="36"/>
          <w:highlight w:val="none"/>
          <w:u w:val="none"/>
          <w:lang w:val="en-US" w:eastAsia="zh-CN" w:bidi="ar"/>
        </w:rPr>
      </w:pPr>
      <w:bookmarkStart w:id="0" w:name="_GoBack"/>
      <w:r>
        <w:rPr>
          <w:rFonts w:hint="default" w:ascii="Times New Roman" w:hAnsi="Times New Roman" w:eastAsia="方正小标宋_GBK" w:cs="Times New Roman"/>
          <w:i w:val="0"/>
          <w:color w:val="auto"/>
          <w:kern w:val="0"/>
          <w:sz w:val="44"/>
          <w:szCs w:val="44"/>
          <w:highlight w:val="none"/>
          <w:u w:val="none"/>
          <w:lang w:val="en-US" w:eastAsia="zh-CN" w:bidi="ar"/>
        </w:rPr>
        <w:t>江北区2025年李子种植保险实施方案</w:t>
      </w:r>
      <w:bookmarkEnd w:id="0"/>
    </w:p>
    <w:p>
      <w:pPr>
        <w:pStyle w:val="3"/>
        <w:keepNext w:val="0"/>
        <w:keepLines w:val="0"/>
        <w:pageBreakBefore w:val="0"/>
        <w:widowControl w:val="0"/>
        <w:kinsoku/>
        <w:wordWrap w:val="0"/>
        <w:overflowPunct/>
        <w:topLinePunct/>
        <w:autoSpaceDE/>
        <w:autoSpaceDN/>
        <w:bidi w:val="0"/>
        <w:snapToGrid/>
        <w:spacing w:line="594" w:lineRule="exact"/>
        <w:ind w:firstLine="643" w:firstLineChars="200"/>
        <w:jc w:val="left"/>
        <w:textAlignment w:val="auto"/>
        <w:rPr>
          <w:rFonts w:hint="default" w:ascii="Times New Roman" w:hAnsi="Times New Roman" w:eastAsia="方正仿宋_GBK" w:cs="Times New Roman"/>
          <w:b/>
          <w:kern w:val="0"/>
          <w:sz w:val="32"/>
          <w:szCs w:val="32"/>
        </w:rPr>
      </w:pPr>
    </w:p>
    <w:p>
      <w:pPr>
        <w:pStyle w:val="3"/>
        <w:keepNext w:val="0"/>
        <w:keepLines w:val="0"/>
        <w:pageBreakBefore w:val="0"/>
        <w:widowControl w:val="0"/>
        <w:kinsoku/>
        <w:wordWrap w:val="0"/>
        <w:overflowPunct/>
        <w:topLinePunct/>
        <w:autoSpaceDE/>
        <w:autoSpaceDN/>
        <w:bidi w:val="0"/>
        <w:snapToGrid/>
        <w:spacing w:line="594" w:lineRule="exact"/>
        <w:ind w:firstLine="640" w:firstLineChars="200"/>
        <w:jc w:val="left"/>
        <w:textAlignment w:val="auto"/>
        <w:rPr>
          <w:rFonts w:hint="eastAsia" w:ascii="方正黑体_GBK" w:hAnsi="方正黑体_GBK" w:eastAsia="方正黑体_GBK" w:cs="方正黑体_GBK"/>
          <w:b w:val="0"/>
          <w:bCs/>
          <w:kern w:val="0"/>
          <w:sz w:val="32"/>
          <w:szCs w:val="32"/>
        </w:rPr>
      </w:pPr>
      <w:r>
        <w:rPr>
          <w:rFonts w:hint="eastAsia" w:ascii="方正黑体_GBK" w:hAnsi="方正黑体_GBK" w:eastAsia="方正黑体_GBK" w:cs="方正黑体_GBK"/>
          <w:b w:val="0"/>
          <w:bCs/>
          <w:kern w:val="0"/>
          <w:sz w:val="32"/>
          <w:szCs w:val="32"/>
        </w:rPr>
        <w:t>一、保险对象</w:t>
      </w:r>
    </w:p>
    <w:p>
      <w:pPr>
        <w:pStyle w:val="3"/>
        <w:keepNext w:val="0"/>
        <w:keepLines w:val="0"/>
        <w:pageBreakBefore w:val="0"/>
        <w:widowControl w:val="0"/>
        <w:kinsoku/>
        <w:wordWrap w:val="0"/>
        <w:overflowPunct/>
        <w:topLinePunct/>
        <w:autoSpaceDE/>
        <w:autoSpaceDN/>
        <w:bidi w:val="0"/>
        <w:snapToGrid/>
        <w:spacing w:line="594"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江北区李子种植户、李子种植新型农业经营主体均可作为被保险人。</w:t>
      </w:r>
    </w:p>
    <w:p>
      <w:pPr>
        <w:pStyle w:val="3"/>
        <w:keepNext w:val="0"/>
        <w:keepLines w:val="0"/>
        <w:pageBreakBefore w:val="0"/>
        <w:widowControl w:val="0"/>
        <w:numPr>
          <w:ilvl w:val="0"/>
          <w:numId w:val="0"/>
        </w:numPr>
        <w:kinsoku/>
        <w:wordWrap w:val="0"/>
        <w:overflowPunct/>
        <w:topLinePunct/>
        <w:autoSpaceDE/>
        <w:autoSpaceDN/>
        <w:bidi w:val="0"/>
        <w:snapToGrid/>
        <w:spacing w:line="594" w:lineRule="exact"/>
        <w:ind w:firstLine="640" w:firstLineChars="200"/>
        <w:jc w:val="left"/>
        <w:textAlignment w:val="auto"/>
        <w:rPr>
          <w:rFonts w:hint="eastAsia" w:ascii="方正黑体_GBK" w:hAnsi="方正黑体_GBK" w:eastAsia="方正黑体_GBK" w:cs="方正黑体_GBK"/>
          <w:b w:val="0"/>
          <w:bCs/>
          <w:kern w:val="0"/>
          <w:sz w:val="32"/>
          <w:szCs w:val="32"/>
          <w:lang w:val="en-US" w:eastAsia="zh-CN"/>
        </w:rPr>
      </w:pPr>
      <w:r>
        <w:rPr>
          <w:rFonts w:hint="eastAsia" w:ascii="方正黑体_GBK" w:hAnsi="方正黑体_GBK" w:eastAsia="方正黑体_GBK" w:cs="方正黑体_GBK"/>
          <w:b w:val="0"/>
          <w:bCs/>
          <w:kern w:val="0"/>
          <w:sz w:val="32"/>
          <w:szCs w:val="32"/>
          <w:lang w:val="en-US" w:eastAsia="zh-CN"/>
        </w:rPr>
        <w:t>二、保险标的</w:t>
      </w:r>
    </w:p>
    <w:p>
      <w:pPr>
        <w:keepNext w:val="0"/>
        <w:keepLines w:val="0"/>
        <w:pageBreakBefore w:val="0"/>
        <w:widowControl w:val="0"/>
        <w:kinsoku/>
        <w:wordWrap w:val="0"/>
        <w:overflowPunct/>
        <w:topLinePunct/>
        <w:autoSpaceDE/>
        <w:autoSpaceDN/>
        <w:bidi w:val="0"/>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同时符合下列条件种植的李子可作为保险标的：</w:t>
      </w:r>
    </w:p>
    <w:p>
      <w:pPr>
        <w:keepNext w:val="0"/>
        <w:keepLines w:val="0"/>
        <w:pageBreakBefore w:val="0"/>
        <w:widowControl w:val="0"/>
        <w:kinsoku/>
        <w:wordWrap w:val="0"/>
        <w:overflowPunct/>
        <w:topLinePunct/>
        <w:autoSpaceDE/>
        <w:autoSpaceDN/>
        <w:bidi w:val="0"/>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（一）李子种植符合农业技术规定和普遍采用的种植规范标准与技术管理要求；</w:t>
      </w:r>
    </w:p>
    <w:p>
      <w:pPr>
        <w:keepNext w:val="0"/>
        <w:keepLines w:val="0"/>
        <w:pageBreakBefore w:val="0"/>
        <w:widowControl w:val="0"/>
        <w:kinsoku/>
        <w:wordWrap w:val="0"/>
        <w:overflowPunct/>
        <w:topLinePunct/>
        <w:autoSpaceDE/>
        <w:autoSpaceDN/>
        <w:bidi w:val="0"/>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（二）种植场所在当地洪水水位线以上的非蓄洪、行洪区；</w:t>
      </w:r>
    </w:p>
    <w:p>
      <w:pPr>
        <w:keepNext w:val="0"/>
        <w:keepLines w:val="0"/>
        <w:pageBreakBefore w:val="0"/>
        <w:widowControl w:val="0"/>
        <w:kinsoku/>
        <w:wordWrap w:val="0"/>
        <w:overflowPunct/>
        <w:topLinePunct/>
        <w:autoSpaceDE/>
        <w:autoSpaceDN/>
        <w:bidi w:val="0"/>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（三）生长管理正常，且4年生（含）以上投产期果林；</w:t>
      </w:r>
    </w:p>
    <w:p>
      <w:pPr>
        <w:keepNext w:val="0"/>
        <w:keepLines w:val="0"/>
        <w:pageBreakBefore w:val="0"/>
        <w:widowControl w:val="0"/>
        <w:kinsoku/>
        <w:wordWrap w:val="0"/>
        <w:overflowPunct/>
        <w:topLinePunct/>
        <w:autoSpaceDE/>
        <w:autoSpaceDN/>
        <w:bidi w:val="0"/>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投保人应将被保险人种植的符合上述全部条件的李子全部投保，不得选择投保。</w:t>
      </w:r>
    </w:p>
    <w:p>
      <w:pPr>
        <w:keepNext w:val="0"/>
        <w:keepLines w:val="0"/>
        <w:pageBreakBefore w:val="0"/>
        <w:widowControl w:val="0"/>
        <w:kinsoku/>
        <w:wordWrap w:val="0"/>
        <w:overflowPunct/>
        <w:topLinePunct/>
        <w:autoSpaceDE/>
        <w:autoSpaceDN/>
        <w:bidi w:val="0"/>
        <w:snapToGrid/>
        <w:spacing w:line="594" w:lineRule="exact"/>
        <w:ind w:firstLine="640" w:firstLineChars="200"/>
        <w:textAlignment w:val="auto"/>
        <w:rPr>
          <w:rFonts w:hint="eastAsia" w:ascii="方正黑体_GBK" w:hAnsi="方正黑体_GBK" w:eastAsia="方正黑体_GBK" w:cs="方正黑体_GBK"/>
          <w:b w:val="0"/>
          <w:bCs/>
          <w:kern w:val="0"/>
          <w:sz w:val="32"/>
          <w:szCs w:val="32"/>
        </w:rPr>
      </w:pPr>
      <w:r>
        <w:rPr>
          <w:rFonts w:hint="eastAsia" w:ascii="方正黑体_GBK" w:hAnsi="方正黑体_GBK" w:eastAsia="方正黑体_GBK" w:cs="方正黑体_GBK"/>
          <w:b w:val="0"/>
          <w:bCs/>
          <w:kern w:val="0"/>
          <w:sz w:val="32"/>
          <w:szCs w:val="32"/>
        </w:rPr>
        <w:t>三、保险责任</w:t>
      </w:r>
    </w:p>
    <w:p>
      <w:pPr>
        <w:pStyle w:val="3"/>
        <w:keepNext w:val="0"/>
        <w:keepLines w:val="0"/>
        <w:pageBreakBefore w:val="0"/>
        <w:widowControl w:val="0"/>
        <w:kinsoku/>
        <w:wordWrap w:val="0"/>
        <w:overflowPunct/>
        <w:topLinePunct/>
        <w:autoSpaceDE/>
        <w:autoSpaceDN/>
        <w:bidi w:val="0"/>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在保险期间内，由于下列原因直接造成保险李子树死亡或保险李子果实裂口、落果等情况导致保险李子损失的，保险人按照本保险合同的约定负责赔偿：</w:t>
      </w:r>
    </w:p>
    <w:p>
      <w:pPr>
        <w:pStyle w:val="3"/>
        <w:keepNext w:val="0"/>
        <w:keepLines w:val="0"/>
        <w:pageBreakBefore w:val="0"/>
        <w:widowControl w:val="0"/>
        <w:kinsoku/>
        <w:wordWrap w:val="0"/>
        <w:overflowPunct/>
        <w:topLinePunct/>
        <w:autoSpaceDE/>
        <w:autoSpaceDN/>
        <w:bidi w:val="0"/>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（一）冰雹、六级（含）以上风；</w:t>
      </w:r>
    </w:p>
    <w:p>
      <w:pPr>
        <w:pStyle w:val="3"/>
        <w:keepNext w:val="0"/>
        <w:keepLines w:val="0"/>
        <w:pageBreakBefore w:val="0"/>
        <w:widowControl w:val="0"/>
        <w:kinsoku/>
        <w:wordWrap w:val="0"/>
        <w:overflowPunct/>
        <w:topLinePunct/>
        <w:autoSpaceDE/>
        <w:autoSpaceDN/>
        <w:bidi w:val="0"/>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（二）连阴雨、旱灾、冻灾；</w:t>
      </w:r>
    </w:p>
    <w:p>
      <w:pPr>
        <w:pStyle w:val="3"/>
        <w:keepNext w:val="0"/>
        <w:keepLines w:val="0"/>
        <w:pageBreakBefore w:val="0"/>
        <w:widowControl w:val="0"/>
        <w:kinsoku/>
        <w:wordWrap w:val="0"/>
        <w:overflowPunct/>
        <w:topLinePunct/>
        <w:autoSpaceDE/>
        <w:autoSpaceDN/>
        <w:bidi w:val="0"/>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（三）暴雨形成的洪涝灾害，泥石流、山体滑坡；</w:t>
      </w:r>
    </w:p>
    <w:p>
      <w:pPr>
        <w:pStyle w:val="3"/>
        <w:keepNext w:val="0"/>
        <w:keepLines w:val="0"/>
        <w:pageBreakBefore w:val="0"/>
        <w:widowControl w:val="0"/>
        <w:kinsoku/>
        <w:wordWrap w:val="0"/>
        <w:overflowPunct/>
        <w:topLinePunct/>
        <w:autoSpaceDE/>
        <w:autoSpaceDN/>
        <w:bidi w:val="0"/>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（四）病虫害。</w:t>
      </w:r>
    </w:p>
    <w:p>
      <w:pPr>
        <w:pStyle w:val="3"/>
        <w:keepNext w:val="0"/>
        <w:keepLines w:val="0"/>
        <w:pageBreakBefore w:val="0"/>
        <w:widowControl w:val="0"/>
        <w:kinsoku/>
        <w:wordWrap w:val="0"/>
        <w:overflowPunct/>
        <w:topLinePunct/>
        <w:autoSpaceDE/>
        <w:autoSpaceDN/>
        <w:bidi w:val="0"/>
        <w:snapToGrid/>
        <w:spacing w:line="594" w:lineRule="exact"/>
        <w:ind w:firstLine="640" w:firstLineChars="200"/>
        <w:textAlignment w:val="auto"/>
        <w:rPr>
          <w:rFonts w:hint="eastAsia" w:ascii="方正黑体_GBK" w:hAnsi="方正黑体_GBK" w:eastAsia="方正黑体_GBK" w:cs="方正黑体_GBK"/>
          <w:b w:val="0"/>
          <w:bCs/>
          <w:kern w:val="0"/>
          <w:sz w:val="32"/>
          <w:szCs w:val="32"/>
        </w:rPr>
      </w:pPr>
      <w:r>
        <w:rPr>
          <w:rFonts w:hint="eastAsia" w:ascii="方正黑体_GBK" w:hAnsi="方正黑体_GBK" w:eastAsia="方正黑体_GBK" w:cs="方正黑体_GBK"/>
          <w:b w:val="0"/>
          <w:bCs/>
          <w:kern w:val="0"/>
          <w:sz w:val="32"/>
          <w:szCs w:val="32"/>
        </w:rPr>
        <w:t>四、保险期限</w:t>
      </w:r>
    </w:p>
    <w:p>
      <w:pPr>
        <w:pStyle w:val="6"/>
        <w:keepNext w:val="0"/>
        <w:keepLines w:val="0"/>
        <w:pageBreakBefore w:val="0"/>
        <w:widowControl w:val="0"/>
        <w:kinsoku/>
        <w:wordWrap w:val="0"/>
        <w:overflowPunct/>
        <w:topLinePunct/>
        <w:autoSpaceDE/>
        <w:autoSpaceDN/>
        <w:bidi w:val="0"/>
        <w:snapToGrid/>
        <w:spacing w:line="594"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保险期间为一年，以保险单载明的起讫时间为准。</w:t>
      </w:r>
    </w:p>
    <w:p>
      <w:pPr>
        <w:pStyle w:val="6"/>
        <w:keepNext w:val="0"/>
        <w:keepLines w:val="0"/>
        <w:pageBreakBefore w:val="0"/>
        <w:widowControl w:val="0"/>
        <w:kinsoku/>
        <w:wordWrap w:val="0"/>
        <w:overflowPunct/>
        <w:topLinePunct/>
        <w:autoSpaceDE/>
        <w:autoSpaceDN/>
        <w:bidi w:val="0"/>
        <w:snapToGrid/>
        <w:spacing w:line="594" w:lineRule="exact"/>
        <w:ind w:firstLine="640" w:firstLineChars="20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val="en-US" w:eastAsia="zh-CN"/>
        </w:rPr>
        <w:t>五</w:t>
      </w:r>
      <w:r>
        <w:rPr>
          <w:rFonts w:hint="eastAsia" w:ascii="方正黑体_GBK" w:hAnsi="方正黑体_GBK" w:eastAsia="方正黑体_GBK" w:cs="方正黑体_GBK"/>
          <w:b w:val="0"/>
          <w:bCs/>
          <w:sz w:val="32"/>
          <w:szCs w:val="32"/>
        </w:rPr>
        <w:t>、保费补贴比例</w:t>
      </w:r>
    </w:p>
    <w:p>
      <w:pPr>
        <w:keepNext w:val="0"/>
        <w:keepLines w:val="0"/>
        <w:pageBreakBefore w:val="0"/>
        <w:widowControl w:val="0"/>
        <w:kinsoku/>
        <w:wordWrap w:val="0"/>
        <w:overflowPunct/>
        <w:topLinePunct/>
        <w:autoSpaceDE/>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按照投保则补、不保不补的原则，各级财政对投保</w:t>
      </w:r>
      <w:r>
        <w:rPr>
          <w:rFonts w:hint="default" w:ascii="Times New Roman" w:hAnsi="Times New Roman" w:eastAsia="方正仿宋_GBK" w:cs="Times New Roman"/>
          <w:sz w:val="32"/>
          <w:szCs w:val="32"/>
          <w:lang w:val="en-US" w:eastAsia="zh-CN"/>
        </w:rPr>
        <w:t>李子种植户</w:t>
      </w:r>
      <w:r>
        <w:rPr>
          <w:rFonts w:hint="default" w:ascii="Times New Roman" w:hAnsi="Times New Roman" w:eastAsia="方正仿宋_GBK" w:cs="Times New Roman"/>
          <w:sz w:val="32"/>
          <w:szCs w:val="32"/>
        </w:rPr>
        <w:t>给予保费补贴。保费由财政承担</w:t>
      </w:r>
      <w:r>
        <w:rPr>
          <w:rFonts w:hint="default" w:ascii="Times New Roman" w:hAnsi="Times New Roman" w:eastAsia="方正仿宋_GBK" w:cs="Times New Roman"/>
          <w:sz w:val="32"/>
          <w:szCs w:val="32"/>
          <w:lang w:val="en-US" w:eastAsia="zh-CN"/>
        </w:rPr>
        <w:t>70</w:t>
      </w:r>
      <w:r>
        <w:rPr>
          <w:rFonts w:hint="default" w:ascii="Times New Roman" w:hAnsi="Times New Roman" w:eastAsia="方正仿宋_GBK" w:cs="Times New Roman"/>
          <w:sz w:val="32"/>
          <w:szCs w:val="32"/>
        </w:rPr>
        <w:t>%，农户（</w:t>
      </w:r>
      <w:r>
        <w:rPr>
          <w:rFonts w:hint="default" w:ascii="Times New Roman" w:hAnsi="Times New Roman" w:eastAsia="方正仿宋_GBK" w:cs="Times New Roman"/>
          <w:sz w:val="32"/>
          <w:szCs w:val="32"/>
          <w:lang w:val="en-US" w:eastAsia="zh-CN"/>
        </w:rPr>
        <w:t>种植户</w:t>
      </w:r>
      <w:r>
        <w:rPr>
          <w:rFonts w:hint="default" w:ascii="Times New Roman" w:hAnsi="Times New Roman" w:eastAsia="方正仿宋_GBK" w:cs="Times New Roman"/>
          <w:sz w:val="32"/>
          <w:szCs w:val="32"/>
        </w:rPr>
        <w:t>）承担</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w:t>
      </w:r>
    </w:p>
    <w:p>
      <w:pPr>
        <w:keepNext w:val="0"/>
        <w:keepLines w:val="0"/>
        <w:pageBreakBefore w:val="0"/>
        <w:widowControl w:val="0"/>
        <w:kinsoku/>
        <w:wordWrap w:val="0"/>
        <w:overflowPunct/>
        <w:topLinePunct/>
        <w:autoSpaceDE/>
        <w:autoSpaceDN/>
        <w:bidi w:val="0"/>
        <w:snapToGrid/>
        <w:spacing w:line="594" w:lineRule="exact"/>
        <w:ind w:firstLine="640" w:firstLineChars="200"/>
        <w:textAlignment w:val="auto"/>
        <w:rPr>
          <w:rFonts w:hint="eastAsia" w:ascii="方正黑体_GBK" w:hAnsi="方正黑体_GBK" w:eastAsia="方正黑体_GBK" w:cs="方正黑体_GBK"/>
          <w:b w:val="0"/>
          <w:bCs/>
          <w:kern w:val="0"/>
          <w:sz w:val="32"/>
          <w:szCs w:val="32"/>
        </w:rPr>
      </w:pPr>
      <w:r>
        <w:rPr>
          <w:rFonts w:hint="eastAsia" w:ascii="方正黑体_GBK" w:hAnsi="方正黑体_GBK" w:eastAsia="方正黑体_GBK" w:cs="方正黑体_GBK"/>
          <w:b w:val="0"/>
          <w:bCs/>
          <w:kern w:val="0"/>
          <w:sz w:val="32"/>
          <w:szCs w:val="32"/>
          <w:lang w:val="en-US" w:eastAsia="zh-CN"/>
        </w:rPr>
        <w:t>六</w:t>
      </w:r>
      <w:r>
        <w:rPr>
          <w:rFonts w:hint="eastAsia" w:ascii="方正黑体_GBK" w:hAnsi="方正黑体_GBK" w:eastAsia="方正黑体_GBK" w:cs="方正黑体_GBK"/>
          <w:b w:val="0"/>
          <w:bCs/>
          <w:kern w:val="0"/>
          <w:sz w:val="32"/>
          <w:szCs w:val="32"/>
        </w:rPr>
        <w:t>、赔偿处理</w:t>
      </w:r>
    </w:p>
    <w:p>
      <w:pPr>
        <w:keepNext w:val="0"/>
        <w:keepLines w:val="0"/>
        <w:pageBreakBefore w:val="0"/>
        <w:widowControl w:val="0"/>
        <w:kinsoku/>
        <w:wordWrap w:val="0"/>
        <w:overflowPunct/>
        <w:topLinePunct/>
        <w:autoSpaceDE/>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保险李子发生保险责任范围内的损失，保险人按以下方式计算赔偿：</w:t>
      </w:r>
    </w:p>
    <w:p>
      <w:pPr>
        <w:keepNext w:val="0"/>
        <w:keepLines w:val="0"/>
        <w:pageBreakBefore w:val="0"/>
        <w:widowControl w:val="0"/>
        <w:kinsoku/>
        <w:wordWrap w:val="0"/>
        <w:overflowPunct/>
        <w:topLinePunct/>
        <w:autoSpaceDE/>
        <w:autoSpaceDN/>
        <w:bidi w:val="0"/>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（一）保险李子树发生保险责任范围内的损失，按以下方式计算赔偿</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val="0"/>
        <w:overflowPunct/>
        <w:topLinePunct/>
        <w:autoSpaceDE/>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保险李子树赔偿金额（元）=每亩保险金额（元/亩）×损失面积（亩）×损失率</w:t>
      </w:r>
    </w:p>
    <w:p>
      <w:pPr>
        <w:keepNext w:val="0"/>
        <w:keepLines w:val="0"/>
        <w:pageBreakBefore w:val="0"/>
        <w:widowControl w:val="0"/>
        <w:kinsoku/>
        <w:wordWrap w:val="0"/>
        <w:overflowPunct/>
        <w:topLinePunct/>
        <w:autoSpaceDE/>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损失率=单位面积受损株树/单位面积种植株树×100%</w:t>
      </w:r>
    </w:p>
    <w:p>
      <w:pPr>
        <w:keepNext w:val="0"/>
        <w:keepLines w:val="0"/>
        <w:pageBreakBefore w:val="0"/>
        <w:widowControl w:val="0"/>
        <w:kinsoku/>
        <w:wordWrap w:val="0"/>
        <w:overflowPunct/>
        <w:topLinePunct/>
        <w:autoSpaceDE/>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（二）保险李子果实发生保险责任范围内的损失，按以下方式计算赔偿：</w:t>
      </w:r>
    </w:p>
    <w:p>
      <w:pPr>
        <w:keepNext w:val="0"/>
        <w:keepLines w:val="0"/>
        <w:pageBreakBefore w:val="0"/>
        <w:widowControl w:val="0"/>
        <w:kinsoku/>
        <w:wordWrap w:val="0"/>
        <w:overflowPunct/>
        <w:topLinePunct/>
        <w:autoSpaceDE/>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保险李子果实赔偿金额（元）=每亩保险金额（元/亩）×不同受灾级别赔付比例×受损面积（亩）</w:t>
      </w:r>
    </w:p>
    <w:p>
      <w:pPr>
        <w:keepNext w:val="0"/>
        <w:keepLines w:val="0"/>
        <w:pageBreakBefore w:val="0"/>
        <w:widowControl w:val="0"/>
        <w:kinsoku/>
        <w:wordWrap w:val="0"/>
        <w:overflowPunct/>
        <w:topLinePunct/>
        <w:autoSpaceDE/>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损失率=每亩平均损失产量/每亩平均正常产量×100%</w:t>
      </w:r>
    </w:p>
    <w:p>
      <w:pPr>
        <w:keepNext w:val="0"/>
        <w:keepLines w:val="0"/>
        <w:pageBreakBefore w:val="0"/>
        <w:widowControl w:val="0"/>
        <w:kinsoku/>
        <w:wordWrap w:val="0"/>
        <w:overflowPunct/>
        <w:topLinePunct/>
        <w:autoSpaceDE/>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每亩平均正常产量以</w:t>
      </w:r>
      <w:r>
        <w:rPr>
          <w:rFonts w:hint="eastAsia" w:ascii="Times New Roman" w:hAnsi="Times New Roman" w:eastAsia="方正仿宋_GBK" w:cs="Times New Roman"/>
          <w:sz w:val="32"/>
          <w:szCs w:val="32"/>
          <w:lang w:val="en-US" w:eastAsia="zh-CN"/>
        </w:rPr>
        <w:t>我区</w:t>
      </w:r>
      <w:r>
        <w:rPr>
          <w:rFonts w:hint="default" w:ascii="Times New Roman" w:hAnsi="Times New Roman" w:eastAsia="方正仿宋_GBK" w:cs="Times New Roman"/>
          <w:sz w:val="32"/>
          <w:szCs w:val="32"/>
        </w:rPr>
        <w:t>前三年平均产量确定，也可根据保险李子树龄及产量推定。具体视历史数据完整性，可由当地农业部门出具数据或推定意见，或由投保人和保险人协商确定。</w:t>
      </w:r>
    </w:p>
    <w:p>
      <w:pPr>
        <w:keepNext w:val="0"/>
        <w:keepLines w:val="0"/>
        <w:pageBreakBefore w:val="0"/>
        <w:widowControl w:val="0"/>
        <w:kinsoku/>
        <w:wordWrap w:val="0"/>
        <w:overflowPunct/>
        <w:topLinePunct/>
        <w:autoSpaceDE/>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针对落果、裂口的不同类别的受灾情况，通过确定每种受灾类别的保险李子果实的损失情况（损失率），将分成轻度、中度、重度三个受灾级别并确定相应的赔付比例，两种或两种以上症状造成的损失按照最严重的受灾级别进行赔付，不累加赔付。</w:t>
      </w:r>
    </w:p>
    <w:p>
      <w:pPr>
        <w:keepNext w:val="0"/>
        <w:keepLines w:val="0"/>
        <w:pageBreakBefore w:val="0"/>
        <w:widowControl w:val="0"/>
        <w:kinsoku/>
        <w:wordWrap w:val="0"/>
        <w:overflowPunct/>
        <w:topLinePunct/>
        <w:autoSpaceDE/>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1.裂口类别的不同受灾级别赔付比例表</w:t>
      </w:r>
    </w:p>
    <w:tbl>
      <w:tblPr>
        <w:tblStyle w:val="5"/>
        <w:tblW w:w="8418" w:type="dxa"/>
        <w:jc w:val="center"/>
        <w:tblInd w:w="0" w:type="dxa"/>
        <w:tblLayout w:type="fixed"/>
        <w:tblCellMar>
          <w:top w:w="0" w:type="dxa"/>
          <w:left w:w="108" w:type="dxa"/>
          <w:bottom w:w="0" w:type="dxa"/>
          <w:right w:w="108" w:type="dxa"/>
        </w:tblCellMar>
      </w:tblPr>
      <w:tblGrid>
        <w:gridCol w:w="1528"/>
        <w:gridCol w:w="4636"/>
        <w:gridCol w:w="2254"/>
      </w:tblGrid>
      <w:tr>
        <w:tblPrEx>
          <w:tblLayout w:type="fixed"/>
          <w:tblCellMar>
            <w:top w:w="0" w:type="dxa"/>
            <w:left w:w="108" w:type="dxa"/>
            <w:bottom w:w="0" w:type="dxa"/>
            <w:right w:w="108" w:type="dxa"/>
          </w:tblCellMar>
        </w:tblPrEx>
        <w:trPr>
          <w:trHeight w:val="722" w:hRule="atLeast"/>
          <w:jc w:val="center"/>
        </w:trPr>
        <w:tc>
          <w:tcPr>
            <w:tcW w:w="1528" w:type="dxa"/>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受灾级别</w:t>
            </w:r>
          </w:p>
        </w:tc>
        <w:tc>
          <w:tcPr>
            <w:tcW w:w="4636" w:type="dxa"/>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损失情况（损失率）</w:t>
            </w:r>
          </w:p>
        </w:tc>
        <w:tc>
          <w:tcPr>
            <w:tcW w:w="2254"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赔付比例</w:t>
            </w:r>
          </w:p>
        </w:tc>
      </w:tr>
      <w:tr>
        <w:tblPrEx>
          <w:tblLayout w:type="fixed"/>
          <w:tblCellMar>
            <w:top w:w="0" w:type="dxa"/>
            <w:left w:w="108" w:type="dxa"/>
            <w:bottom w:w="0" w:type="dxa"/>
            <w:right w:w="108" w:type="dxa"/>
          </w:tblCellMar>
        </w:tblPrEx>
        <w:trPr>
          <w:trHeight w:val="400" w:hRule="atLeast"/>
          <w:jc w:val="center"/>
        </w:trPr>
        <w:tc>
          <w:tcPr>
            <w:tcW w:w="1528"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轻度</w:t>
            </w:r>
          </w:p>
        </w:tc>
        <w:tc>
          <w:tcPr>
            <w:tcW w:w="46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10%（含）-30%（不含）的果实裂口</w:t>
            </w:r>
          </w:p>
        </w:tc>
        <w:tc>
          <w:tcPr>
            <w:tcW w:w="2254"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10%（含）-20%（不含）</w:t>
            </w:r>
          </w:p>
        </w:tc>
      </w:tr>
      <w:tr>
        <w:tblPrEx>
          <w:tblLayout w:type="fixed"/>
          <w:tblCellMar>
            <w:top w:w="0" w:type="dxa"/>
            <w:left w:w="108" w:type="dxa"/>
            <w:bottom w:w="0" w:type="dxa"/>
            <w:right w:w="108" w:type="dxa"/>
          </w:tblCellMar>
        </w:tblPrEx>
        <w:trPr>
          <w:trHeight w:val="400" w:hRule="atLeast"/>
          <w:jc w:val="center"/>
        </w:trPr>
        <w:tc>
          <w:tcPr>
            <w:tcW w:w="1528"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中度</w:t>
            </w:r>
          </w:p>
        </w:tc>
        <w:tc>
          <w:tcPr>
            <w:tcW w:w="46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30%（含）-60%（不含）的果实裂口</w:t>
            </w:r>
          </w:p>
        </w:tc>
        <w:tc>
          <w:tcPr>
            <w:tcW w:w="2254"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20%（含）-50%（不含）</w:t>
            </w:r>
          </w:p>
        </w:tc>
      </w:tr>
      <w:tr>
        <w:tblPrEx>
          <w:tblLayout w:type="fixed"/>
          <w:tblCellMar>
            <w:top w:w="0" w:type="dxa"/>
            <w:left w:w="108" w:type="dxa"/>
            <w:bottom w:w="0" w:type="dxa"/>
            <w:right w:w="108" w:type="dxa"/>
          </w:tblCellMar>
        </w:tblPrEx>
        <w:trPr>
          <w:trHeight w:val="428" w:hRule="atLeast"/>
          <w:jc w:val="center"/>
        </w:trPr>
        <w:tc>
          <w:tcPr>
            <w:tcW w:w="1528"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重度</w:t>
            </w:r>
          </w:p>
        </w:tc>
        <w:tc>
          <w:tcPr>
            <w:tcW w:w="463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60%（含）-100%（含）的果实裂口</w:t>
            </w:r>
          </w:p>
        </w:tc>
        <w:tc>
          <w:tcPr>
            <w:tcW w:w="2254" w:type="dxa"/>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50%（含）-80%（含）</w:t>
            </w:r>
          </w:p>
        </w:tc>
      </w:tr>
    </w:tbl>
    <w:p>
      <w:pPr>
        <w:keepNext w:val="0"/>
        <w:keepLines w:val="0"/>
        <w:pageBreakBefore w:val="0"/>
        <w:widowControl w:val="0"/>
        <w:kinsoku/>
        <w:wordWrap w:val="0"/>
        <w:overflowPunct/>
        <w:topLinePunct/>
        <w:autoSpaceDE/>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2.落果类别的不同受灾级别赔付比例表</w:t>
      </w:r>
    </w:p>
    <w:tbl>
      <w:tblPr>
        <w:tblStyle w:val="5"/>
        <w:tblW w:w="8415" w:type="dxa"/>
        <w:jc w:val="center"/>
        <w:tblInd w:w="0" w:type="dxa"/>
        <w:tblLayout w:type="fixed"/>
        <w:tblCellMar>
          <w:top w:w="0" w:type="dxa"/>
          <w:left w:w="108" w:type="dxa"/>
          <w:bottom w:w="0" w:type="dxa"/>
          <w:right w:w="108" w:type="dxa"/>
        </w:tblCellMar>
      </w:tblPr>
      <w:tblGrid>
        <w:gridCol w:w="1527"/>
        <w:gridCol w:w="4636"/>
        <w:gridCol w:w="2252"/>
      </w:tblGrid>
      <w:tr>
        <w:tblPrEx>
          <w:tblLayout w:type="fixed"/>
        </w:tblPrEx>
        <w:trPr>
          <w:trHeight w:val="839" w:hRule="atLeast"/>
          <w:jc w:val="center"/>
        </w:trPr>
        <w:tc>
          <w:tcPr>
            <w:tcW w:w="1527" w:type="dxa"/>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受灾级别</w:t>
            </w:r>
          </w:p>
        </w:tc>
        <w:tc>
          <w:tcPr>
            <w:tcW w:w="4636" w:type="dxa"/>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损失情况（损失率）</w:t>
            </w:r>
          </w:p>
        </w:tc>
        <w:tc>
          <w:tcPr>
            <w:tcW w:w="225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赔付比例</w:t>
            </w:r>
          </w:p>
        </w:tc>
      </w:tr>
      <w:tr>
        <w:tblPrEx>
          <w:tblLayout w:type="fixed"/>
          <w:tblCellMar>
            <w:top w:w="0" w:type="dxa"/>
            <w:left w:w="108" w:type="dxa"/>
            <w:bottom w:w="0" w:type="dxa"/>
            <w:right w:w="108" w:type="dxa"/>
          </w:tblCellMar>
        </w:tblPrEx>
        <w:trPr>
          <w:trHeight w:val="532" w:hRule="atLeast"/>
          <w:jc w:val="center"/>
        </w:trPr>
        <w:tc>
          <w:tcPr>
            <w:tcW w:w="1527"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轻度</w:t>
            </w:r>
          </w:p>
        </w:tc>
        <w:tc>
          <w:tcPr>
            <w:tcW w:w="46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10%（含）-30%（不含）的果掉落。</w:t>
            </w:r>
          </w:p>
        </w:tc>
        <w:tc>
          <w:tcPr>
            <w:tcW w:w="2252"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10%（含）-30％（不含）</w:t>
            </w:r>
          </w:p>
        </w:tc>
      </w:tr>
      <w:tr>
        <w:tblPrEx>
          <w:tblLayout w:type="fixed"/>
          <w:tblCellMar>
            <w:top w:w="0" w:type="dxa"/>
            <w:left w:w="108" w:type="dxa"/>
            <w:bottom w:w="0" w:type="dxa"/>
            <w:right w:w="108" w:type="dxa"/>
          </w:tblCellMar>
        </w:tblPrEx>
        <w:trPr>
          <w:trHeight w:val="532" w:hRule="atLeast"/>
          <w:jc w:val="center"/>
        </w:trPr>
        <w:tc>
          <w:tcPr>
            <w:tcW w:w="1527"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中度</w:t>
            </w:r>
          </w:p>
        </w:tc>
        <w:tc>
          <w:tcPr>
            <w:tcW w:w="46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30%（含）-60%（不含）的果掉落。</w:t>
            </w:r>
          </w:p>
        </w:tc>
        <w:tc>
          <w:tcPr>
            <w:tcW w:w="2252"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30％（含）-60%（不含）</w:t>
            </w:r>
          </w:p>
        </w:tc>
      </w:tr>
      <w:tr>
        <w:tblPrEx>
          <w:tblLayout w:type="fixed"/>
          <w:tblCellMar>
            <w:top w:w="0" w:type="dxa"/>
            <w:left w:w="108" w:type="dxa"/>
            <w:bottom w:w="0" w:type="dxa"/>
            <w:right w:w="108" w:type="dxa"/>
          </w:tblCellMar>
        </w:tblPrEx>
        <w:trPr>
          <w:trHeight w:val="542" w:hRule="atLeast"/>
          <w:jc w:val="center"/>
        </w:trPr>
        <w:tc>
          <w:tcPr>
            <w:tcW w:w="1527"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重度</w:t>
            </w:r>
          </w:p>
        </w:tc>
        <w:tc>
          <w:tcPr>
            <w:tcW w:w="46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60%（含）-100%（含）的果掉落。</w:t>
            </w:r>
          </w:p>
        </w:tc>
        <w:tc>
          <w:tcPr>
            <w:tcW w:w="2252"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val="0"/>
              <w:overflowPunct/>
              <w:topLinePunct/>
              <w:autoSpaceDE/>
              <w:autoSpaceDN/>
              <w:bidi w:val="0"/>
              <w:adjustRightInd w:val="0"/>
              <w:snapToGrid w:val="0"/>
              <w:spacing w:line="594"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60%（含）-100%（含）</w:t>
            </w:r>
          </w:p>
        </w:tc>
      </w:tr>
    </w:tbl>
    <w:p>
      <w:pPr>
        <w:keepNext w:val="0"/>
        <w:keepLines w:val="0"/>
        <w:pageBreakBefore w:val="0"/>
        <w:widowControl w:val="0"/>
        <w:kinsoku/>
        <w:wordWrap w:val="0"/>
        <w:overflowPunct/>
        <w:topLinePunct/>
        <w:autoSpaceDE/>
        <w:autoSpaceDN/>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保险李子树发生保险责任范围内的损失，损失保险李子树无论是否有果实，均不再赔偿损失保险李子树的果实损失，并且不纳入保险李子果实损失率的计算。</w:t>
      </w:r>
    </w:p>
    <w:p>
      <w:pPr>
        <w:keepNext w:val="0"/>
        <w:keepLines w:val="0"/>
        <w:pageBreakBefore w:val="0"/>
        <w:widowControl w:val="0"/>
        <w:kinsoku/>
        <w:wordWrap w:val="0"/>
        <w:overflowPunct/>
        <w:topLinePunct/>
        <w:autoSpaceDE/>
        <w:autoSpaceDN/>
        <w:bidi w:val="0"/>
        <w:snapToGrid/>
        <w:spacing w:line="594" w:lineRule="exact"/>
        <w:textAlignment w:val="auto"/>
        <w:rPr>
          <w:rFonts w:hint="default" w:ascii="Times New Roman" w:hAnsi="Times New Roman" w:eastAsia="方正仿宋_GBK" w:cs="Times New Roman"/>
          <w:i w:val="0"/>
          <w:color w:val="auto"/>
          <w:kern w:val="0"/>
          <w:sz w:val="36"/>
          <w:szCs w:val="36"/>
          <w:highlight w:val="none"/>
          <w:u w:val="none"/>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6B197F"/>
    <w:rsid w:val="286B1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Calibri" w:hAnsi="Calibri" w:eastAsia="宋体" w:cs="Times New Roman"/>
      <w:szCs w:val="24"/>
    </w:rPr>
  </w:style>
  <w:style w:type="paragraph" w:styleId="3">
    <w:name w:val="Normal Indent"/>
    <w:basedOn w:val="1"/>
    <w:next w:val="1"/>
    <w:qFormat/>
    <w:uiPriority w:val="0"/>
  </w:style>
  <w:style w:type="paragraph" w:customStyle="1" w:styleId="6">
    <w:name w:val="Default"/>
    <w:next w:val="1"/>
    <w:qFormat/>
    <w:uiPriority w:val="0"/>
    <w:pPr>
      <w:widowControl w:val="0"/>
      <w:autoSpaceDE w:val="0"/>
      <w:autoSpaceDN w:val="0"/>
      <w:adjustRightInd w:val="0"/>
    </w:pPr>
    <w:rPr>
      <w:rFonts w:ascii="方正仿宋_GBK" w:hAnsi="Calibri" w:eastAsia="方正仿宋_GBK"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2025-01-02T06:40:00Z</dcterms:created>
  <dc:creator>hp</dc:creator>
  <cp:lastModifiedBy>hp</cp:lastModifiedBy>
  <dcterms:modified xsi:type="dcterms:W3CDTF">2025-01-02T06:40:26Z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