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96" w:lineRule="exact"/>
        <w:rPr>
          <w:rFonts w:ascii="宋体" w:eastAsia="方正黑体_GBK" w:hAnsi="宋体"/>
          <w:b/>
          <w:sz w:val="28"/>
          <w:szCs w:val="28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附件1</w:t>
      </w:r>
    </w:p>
    <w:p>
      <w:pPr>
        <w:spacing w:line="240" w:lineRule="exact"/>
        <w:jc w:val="center"/>
        <w:rPr>
          <w:rFonts w:ascii="宋体"/>
          <w:b/>
          <w:szCs w:val="21"/>
        </w:rPr>
      </w:pPr>
      <w:r>
        <w:rPr>
          <w:rFonts w:ascii="宋体" w:hint="eastAsia"/>
          <w:b/>
          <w:szCs w:val="21"/>
        </w:rPr>
        <w:t>鹞子丘片区路网工程一期水土保持方案特性表</w:t>
      </w:r>
    </w:p>
    <w:tbl>
      <w:tblPr>
        <w:jc w:val="left"/>
        <w:tblInd w:w="0" w:type="dxa"/>
        <w:tblW w:w="5162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528"/>
        <w:gridCol w:w="215"/>
        <w:gridCol w:w="518"/>
        <w:gridCol w:w="267"/>
        <w:gridCol w:w="1584"/>
        <w:gridCol w:w="299"/>
        <w:gridCol w:w="800"/>
        <w:gridCol w:w="177"/>
        <w:gridCol w:w="345"/>
        <w:gridCol w:w="80"/>
        <w:gridCol w:w="997"/>
        <w:gridCol w:w="1342"/>
        <w:gridCol w:w="1412"/>
      </w:tblGrid>
      <w:tr>
        <w:trPr>
          <w:trHeight w:val="422"/>
        </w:trPr>
        <w:tc>
          <w:tcPr>
            <w:tcW w:w="783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项目名称</w:t>
            </w:r>
          </w:p>
        </w:tc>
        <w:tc>
          <w:tcPr>
            <w:tcW w:w="2025" w:type="pct"/>
            <w:gridSpan w:val="7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鹞子丘片区路网工程一期</w:t>
            </w:r>
          </w:p>
        </w:tc>
        <w:tc>
          <w:tcPr>
            <w:tcW w:w="1450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流域管理机构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长江水利委员会</w:t>
            </w:r>
          </w:p>
        </w:tc>
      </w:tr>
      <w:tr>
        <w:trPr>
          <w:trHeight w:val="445"/>
        </w:trPr>
        <w:tc>
          <w:tcPr>
            <w:tcW w:w="783" w:type="pct"/>
            <w:gridSpan w:val="2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涉及省（市、区）</w:t>
            </w:r>
          </w:p>
        </w:tc>
        <w:tc>
          <w:tcPr>
            <w:tcW w:w="135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重庆市</w:t>
            </w:r>
          </w:p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涉及地市或个数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涉及县或个数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江北区</w:t>
            </w:r>
          </w:p>
        </w:tc>
      </w:tr>
      <w:tr>
        <w:trPr>
          <w:trHeight w:val="270"/>
        </w:trPr>
        <w:tc>
          <w:tcPr>
            <w:tcW w:w="783" w:type="pct"/>
            <w:gridSpan w:val="2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项目规模</w:t>
            </w:r>
          </w:p>
        </w:tc>
        <w:tc>
          <w:tcPr>
            <w:tcW w:w="1356" w:type="pct"/>
            <w:gridSpan w:val="4"/>
            <w:noWrap/>
            <w:vAlign w:val="center"/>
          </w:tcPr>
          <w:p>
            <w:pPr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工程全长1665.47m，为城市次干路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、城市支路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，设计时速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0km/h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、2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0km/h，标准路幅宽度22m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、16m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，双向四车道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双向四车道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仿宋" w:cs="Times New Roman" w:hAnsi="Times New Roman" w:hint="eastAsia"/>
                <w:bCs/>
                <w:sz w:val="18"/>
                <w:szCs w:val="18"/>
              </w:rPr>
              <w:t>双向两车道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。</w:t>
            </w:r>
          </w:p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总投资（万元）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60521.59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土建投资（万元）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37333.08</w:t>
            </w:r>
          </w:p>
        </w:tc>
      </w:tr>
      <w:tr>
        <w:trPr>
          <w:trHeight w:val="335"/>
        </w:trPr>
        <w:tc>
          <w:tcPr>
            <w:tcW w:w="783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动工时间</w:t>
            </w:r>
          </w:p>
        </w:tc>
        <w:tc>
          <w:tcPr>
            <w:tcW w:w="135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2022年12月</w:t>
            </w:r>
          </w:p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完工时间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2024年6月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设计水平年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年</w:t>
            </w:r>
          </w:p>
        </w:tc>
      </w:tr>
      <w:tr>
        <w:trPr>
          <w:trHeight w:val="335"/>
        </w:trPr>
        <w:tc>
          <w:tcPr>
            <w:tcW w:w="783" w:type="pct"/>
            <w:gridSpan w:val="2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工程占地（hm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35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3.96（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  <w:lang w:val="en-US" w:eastAsia="zh-CN"/>
              </w:rPr>
              <w:t>39582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永久占地（hm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3.56（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356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临时占地（hm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0.40（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397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）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vMerge w:val="restar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土石方量（万m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挖方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填方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借方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余（弃）方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vMerge/>
            <w:vAlign w:val="center"/>
          </w:tcPr>
          <w:p/>
        </w:tc>
        <w:tc>
          <w:tcPr>
            <w:tcW w:w="670" w:type="pct"/>
            <w:gridSpan w:val="3"/>
            <w:noWrap/>
            <w:vAlign w:val="center"/>
          </w:tcPr>
          <w:p>
            <w:pPr>
              <w:spacing w:line="280" w:lineRule="exact"/>
              <w:jc w:val="center"/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  <w:t>18.95</w:t>
            </w:r>
          </w:p>
        </w:tc>
        <w:tc>
          <w:tcPr>
            <w:tcW w:w="746" w:type="pct"/>
            <w:gridSpan w:val="3"/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  <w:t>2.63</w:t>
            </w:r>
          </w:p>
        </w:tc>
        <w:tc>
          <w:tcPr>
            <w:tcW w:w="704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16.32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重点防治区名称</w:t>
            </w:r>
          </w:p>
        </w:tc>
        <w:tc>
          <w:tcPr>
            <w:tcW w:w="2861" w:type="pct"/>
            <w:gridSpan w:val="8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重庆市水土流失重点预防区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地貌类型</w:t>
            </w:r>
          </w:p>
        </w:tc>
        <w:tc>
          <w:tcPr>
            <w:tcW w:w="851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浅丘剥蚀地貌</w:t>
            </w:r>
          </w:p>
        </w:tc>
        <w:tc>
          <w:tcPr>
            <w:tcW w:w="1269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水土保持区划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西南紫色土区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土壤侵蚀类型</w:t>
            </w:r>
          </w:p>
        </w:tc>
        <w:tc>
          <w:tcPr>
            <w:tcW w:w="851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水力侵蚀</w:t>
            </w:r>
          </w:p>
        </w:tc>
        <w:tc>
          <w:tcPr>
            <w:tcW w:w="1269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土壤侵蚀强度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轻度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防治责任范围面积（hm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851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3.96</w:t>
            </w:r>
          </w:p>
        </w:tc>
        <w:tc>
          <w:tcPr>
            <w:tcW w:w="1269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容许土壤流失量[t/(km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宋体" w:cs="Times New Roman" w:hAnsi="Times New Roman"/>
                <w:sz w:val="18"/>
                <w:szCs w:val="18"/>
              </w:rPr>
              <w:t>•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a)]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500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土壤流失预测总量（t）</w:t>
            </w:r>
          </w:p>
        </w:tc>
        <w:tc>
          <w:tcPr>
            <w:tcW w:w="851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284</w:t>
            </w:r>
          </w:p>
        </w:tc>
        <w:tc>
          <w:tcPr>
            <w:tcW w:w="1269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新增土壤流失量（t）</w:t>
            </w:r>
          </w:p>
        </w:tc>
        <w:tc>
          <w:tcPr>
            <w:tcW w:w="741" w:type="pct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206</w:t>
            </w:r>
          </w:p>
        </w:tc>
      </w:tr>
      <w:tr>
        <w:trPr>
          <w:trHeight w:val="335"/>
        </w:trPr>
        <w:tc>
          <w:tcPr>
            <w:tcW w:w="2139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水土流失防治标准执行等级</w:t>
            </w:r>
          </w:p>
        </w:tc>
        <w:tc>
          <w:tcPr>
            <w:tcW w:w="2861" w:type="pct"/>
            <w:gridSpan w:val="8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西南紫色土区建设类一级标准</w:t>
            </w:r>
          </w:p>
        </w:tc>
      </w:tr>
      <w:tr>
        <w:trPr>
          <w:trHeight w:val="335"/>
        </w:trPr>
        <w:tc>
          <w:tcPr>
            <w:tcW w:w="506" w:type="pct"/>
            <w:vMerge w:val="restart"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防治目标</w:t>
            </w:r>
          </w:p>
        </w:tc>
        <w:tc>
          <w:tcPr>
            <w:tcW w:w="1790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水土流失治理度（%）</w:t>
            </w:r>
          </w:p>
        </w:tc>
        <w:tc>
          <w:tcPr>
            <w:tcW w:w="420" w:type="pct"/>
            <w:noWrap/>
            <w:vAlign w:val="center"/>
          </w:tcPr>
          <w:p>
            <w:pPr>
              <w:spacing w:line="260" w:lineRule="exact"/>
              <w:ind w:firstLineChars="100" w:firstLine="180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839" w:type="pct"/>
            <w:gridSpan w:val="4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土壤流失控制比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1.0</w:t>
            </w:r>
          </w:p>
        </w:tc>
      </w:tr>
      <w:tr>
        <w:trPr>
          <w:trHeight w:val="335"/>
        </w:trPr>
        <w:tc>
          <w:tcPr>
            <w:tcW w:w="506" w:type="pct"/>
            <w:vMerge/>
            <w:vAlign w:val="center"/>
          </w:tcPr>
          <w:p/>
        </w:tc>
        <w:tc>
          <w:tcPr>
            <w:tcW w:w="1790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渣土防护率（%）</w:t>
            </w:r>
          </w:p>
        </w:tc>
        <w:tc>
          <w:tcPr>
            <w:tcW w:w="420" w:type="pct"/>
            <w:noWrap/>
            <w:vAlign w:val="center"/>
          </w:tcPr>
          <w:p>
            <w:pPr>
              <w:spacing w:line="260" w:lineRule="exact"/>
              <w:ind w:firstLineChars="100" w:firstLine="180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839" w:type="pct"/>
            <w:gridSpan w:val="4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表土保护率（%）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/</w:t>
            </w:r>
          </w:p>
        </w:tc>
      </w:tr>
      <w:tr>
        <w:trPr>
          <w:trHeight w:val="335"/>
        </w:trPr>
        <w:tc>
          <w:tcPr>
            <w:tcW w:w="506" w:type="pct"/>
            <w:vMerge/>
            <w:vAlign w:val="center"/>
          </w:tcPr>
          <w:p/>
        </w:tc>
        <w:tc>
          <w:tcPr>
            <w:tcW w:w="1790" w:type="pct"/>
            <w:gridSpan w:val="6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林草植被恢复率（%）</w:t>
            </w:r>
          </w:p>
        </w:tc>
        <w:tc>
          <w:tcPr>
            <w:tcW w:w="420" w:type="pct"/>
            <w:noWrap/>
            <w:vAlign w:val="center"/>
          </w:tcPr>
          <w:p>
            <w:pPr>
              <w:spacing w:line="260" w:lineRule="exact"/>
              <w:ind w:firstLineChars="100" w:firstLine="180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839" w:type="pct"/>
            <w:gridSpan w:val="4"/>
            <w:noWrap/>
            <w:vAlign w:val="center"/>
          </w:tcPr>
          <w:p>
            <w:pPr>
              <w:spacing w:line="260" w:lineRule="exac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林草覆盖率（%）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17</w:t>
            </w:r>
          </w:p>
        </w:tc>
      </w:tr>
      <w:tr>
        <w:trPr>
          <w:trHeight w:val="335"/>
        </w:trPr>
        <w:tc>
          <w:tcPr>
            <w:tcW w:w="506" w:type="pct"/>
            <w:vMerge w:val="restart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防治措施及工程量</w:t>
            </w:r>
          </w:p>
        </w:tc>
        <w:tc>
          <w:tcPr>
            <w:tcW w:w="662" w:type="pct"/>
            <w:gridSpan w:val="3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分区</w:t>
            </w:r>
          </w:p>
        </w:tc>
        <w:tc>
          <w:tcPr>
            <w:tcW w:w="1128" w:type="pct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工程措施</w:t>
            </w:r>
          </w:p>
        </w:tc>
        <w:tc>
          <w:tcPr>
            <w:tcW w:w="1259" w:type="pct"/>
            <w:gridSpan w:val="5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植物措施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临时措施</w:t>
            </w:r>
          </w:p>
        </w:tc>
      </w:tr>
      <w:tr>
        <w:trPr>
          <w:trHeight w:val="927"/>
        </w:trPr>
        <w:tc>
          <w:tcPr>
            <w:tcW w:w="506" w:type="pct"/>
            <w:vMerge/>
            <w:vAlign w:val="center"/>
          </w:tcPr>
          <w:p/>
        </w:tc>
        <w:tc>
          <w:tcPr>
            <w:tcW w:w="662" w:type="pct"/>
            <w:gridSpan w:val="3"/>
            <w:noWrap/>
            <w:vAlign w:val="center"/>
          </w:tcPr>
          <w:p>
            <w:pPr>
              <w:jc w:val="lef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项目建设防治区</w:t>
            </w:r>
          </w:p>
        </w:tc>
        <w:tc>
          <w:tcPr>
            <w:tcW w:w="1128" w:type="pct"/>
            <w:gridSpan w:val="3"/>
            <w:vAlign w:val="center"/>
          </w:tcPr>
          <w:p>
            <w:pP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主体已列：雨水管网2050m，截排水沟668m，透水砖11493m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59" w:type="pct"/>
            <w:gridSpan w:val="5"/>
            <w:noWrap/>
            <w:vAlign w:val="center"/>
          </w:tcPr>
          <w:p>
            <w:pPr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主体已列：行道树设计0.31hm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，植草护坡</w:t>
            </w: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0.39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hm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jc w:val="left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方案新增</w:t>
            </w:r>
            <w:r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  <w:t>：</w:t>
            </w:r>
            <w:r>
              <w:rPr>
                <w:rFonts w:ascii="Times New Roman" w:eastAsia="仿宋" w:cs="Times New Roman" w:hAnsi="Times New Roman" w:hint="eastAsia"/>
                <w:kern w:val="0"/>
                <w:sz w:val="18"/>
                <w:szCs w:val="18"/>
              </w:rPr>
              <w:t>临时排水沟2050m，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防雨布5500m</w:t>
            </w:r>
            <w:r>
              <w:rPr>
                <w:rFonts w:ascii="Times New Roman" w:eastAsia="仿宋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 xml:space="preserve"> </w:t>
            </w:r>
          </w:p>
        </w:tc>
      </w:tr>
      <w:tr>
        <w:trPr>
          <w:trHeight w:val="323"/>
        </w:trPr>
        <w:tc>
          <w:tcPr>
            <w:tcW w:w="1168" w:type="pct"/>
            <w:gridSpan w:val="4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投资（万元）</w:t>
            </w:r>
          </w:p>
        </w:tc>
        <w:tc>
          <w:tcPr>
            <w:tcW w:w="1128" w:type="pct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439.18（主体已列）</w:t>
            </w:r>
          </w:p>
        </w:tc>
        <w:tc>
          <w:tcPr>
            <w:tcW w:w="1259" w:type="pct"/>
            <w:gridSpan w:val="5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135.00（主体已列）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8.30</w:t>
            </w: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（方案新增）</w:t>
            </w:r>
          </w:p>
        </w:tc>
      </w:tr>
      <w:tr>
        <w:trPr>
          <w:trHeight w:val="270"/>
        </w:trPr>
        <w:tc>
          <w:tcPr>
            <w:tcW w:w="1308" w:type="pct"/>
            <w:gridSpan w:val="5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水土保持总投资（万元）</w:t>
            </w:r>
          </w:p>
        </w:tc>
        <w:tc>
          <w:tcPr>
            <w:tcW w:w="988" w:type="pct"/>
            <w:gridSpan w:val="2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608.37（主体已列574.18，方案新增34.19）</w:t>
            </w:r>
          </w:p>
        </w:tc>
        <w:tc>
          <w:tcPr>
            <w:tcW w:w="1259" w:type="pct"/>
            <w:gridSpan w:val="5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独立费用（万元）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9.67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监理费（万元）</w:t>
            </w:r>
          </w:p>
        </w:tc>
        <w:tc>
          <w:tcPr>
            <w:tcW w:w="412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88" w:type="pct"/>
            <w:gridSpan w:val="2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监测费（万元）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9.06</w:t>
            </w:r>
          </w:p>
        </w:tc>
        <w:tc>
          <w:tcPr>
            <w:tcW w:w="523" w:type="pct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补偿费（万元）</w:t>
            </w:r>
          </w:p>
        </w:tc>
        <w:tc>
          <w:tcPr>
            <w:tcW w:w="1445" w:type="pct"/>
            <w:gridSpan w:val="2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5.54(55414.80元)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分省措施费（万元）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分省补偿费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/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方案编制单位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重庆润源鑫水土保持科技开发有限公司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建设单位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重庆市江北区观音桥商圈管理办公室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法定代表人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李 源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法定代表人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李四川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地址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重庆市渝中区石油路1号恒大都市广场11栋10-5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地址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重庆市江北区建新西路2号北城艺术大厦10楼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邮编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  <w:t>400021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邮编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400060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联系人及电话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kern w:val="0"/>
                <w:sz w:val="18"/>
                <w:szCs w:val="18"/>
              </w:rPr>
              <w:t>李 源 13594198198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联系人及电话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周凤17823372757</w:t>
            </w:r>
          </w:p>
        </w:tc>
      </w:tr>
      <w:tr>
        <w:trPr>
          <w:trHeight w:val="484"/>
        </w:trPr>
        <w:tc>
          <w:tcPr>
            <w:tcW w:w="896" w:type="pct"/>
            <w:gridSpan w:val="3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统一社会信用代码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 w:hint="eastAsia"/>
                <w:sz w:val="18"/>
                <w:szCs w:val="18"/>
              </w:rPr>
              <w:t>91500112053217107E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统一社会信用代码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115001057688652122</w:t>
            </w:r>
          </w:p>
        </w:tc>
      </w:tr>
      <w:tr>
        <w:trPr>
          <w:trHeight w:val="335"/>
        </w:trPr>
        <w:tc>
          <w:tcPr>
            <w:tcW w:w="896" w:type="pct"/>
            <w:gridSpan w:val="3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电子邮箱</w:t>
            </w:r>
          </w:p>
        </w:tc>
        <w:tc>
          <w:tcPr>
            <w:tcW w:w="1400" w:type="pct"/>
            <w:gridSpan w:val="4"/>
            <w:noWrap/>
            <w:vAlign w:val="center"/>
          </w:tcPr>
          <w:p>
            <w:pPr>
              <w:jc w:val="center"/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kern w:val="0"/>
                <w:sz w:val="18"/>
                <w:szCs w:val="18"/>
              </w:rPr>
              <w:t>592681351@qq.com</w:t>
            </w:r>
          </w:p>
        </w:tc>
        <w:tc>
          <w:tcPr>
            <w:tcW w:w="736" w:type="pct"/>
            <w:gridSpan w:val="4"/>
            <w:noWrap/>
            <w:vAlign w:val="center"/>
          </w:tcPr>
          <w:p>
            <w:pPr>
              <w:spacing w:line="260" w:lineRule="exact"/>
              <w:ind w:firstLineChars="100" w:firstLine="180"/>
              <w:jc w:val="center"/>
              <w:rPr>
                <w:rFonts w:ascii="Times New Roman" w:eastAsia="仿宋" w:cs="Times New Roman" w:hAnsi="Times New Roman"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sz w:val="18"/>
                <w:szCs w:val="18"/>
              </w:rPr>
              <w:t>电子邮箱</w:t>
            </w:r>
          </w:p>
        </w:tc>
        <w:tc>
          <w:tcPr>
            <w:tcW w:w="1968" w:type="pct"/>
            <w:gridSpan w:val="3"/>
            <w:noWrap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" w:cs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eastAsia="仿宋" w:cs="Times New Roman" w:hAnsi="Times New Roman"/>
                <w:bCs/>
                <w:sz w:val="18"/>
                <w:szCs w:val="18"/>
              </w:rPr>
              <w:t>/</w:t>
            </w:r>
          </w:p>
        </w:tc>
      </w:tr>
    </w:tbl>
    <w:p>
      <w:pPr>
        <w:spacing w:line="480" w:lineRule="exact"/>
        <w:rPr>
          <w:rFonts w:ascii="方正黑体_GBK" w:eastAsia="方正黑体_GBK" w:cs="宋体"/>
          <w:bCs/>
          <w:sz w:val="32"/>
          <w:szCs w:val="32"/>
        </w:rPr>
      </w:pPr>
    </w:p>
    <w:p>
      <w:pPr>
        <w:widowControl/>
        <w:jc w:val="lef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/>
          <w:bCs/>
          <w:sz w:val="32"/>
          <w:szCs w:val="32"/>
        </w:rPr>
        <w:br w:type="page"/>
      </w:r>
    </w:p>
    <w:p>
      <w:pPr>
        <w:spacing w:line="480" w:lineRule="exac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附件2</w:t>
      </w:r>
    </w:p>
    <w:p>
      <w:pPr>
        <w:jc w:val="center"/>
        <w:rPr>
          <w:rFonts w:ascii="方正黑体_GBK" w:eastAsia="方正黑体_GBK" w:cs="宋体"/>
          <w:bCs/>
          <w:sz w:val="32"/>
          <w:szCs w:val="32"/>
        </w:rPr>
      </w:pPr>
      <w:r>
        <w:drawing>
          <wp:inline distT="0" distB="0" distL="0" distR="0">
            <wp:extent cx="5560060" cy="7867650"/>
            <wp:effectExtent l="0" t="0" r="0" b="0"/>
            <wp:docPr id="1" name="图片 4" descr="H:\2022\鹞子丘片区路网工程一期11.4\鹞子丘片区路网工程一期报批11.30\附件\附件9鹞子丘片区路网工程一期专家评审意见11.30_页面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4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0060" cy="78676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05145" cy="7931784"/>
            <wp:effectExtent l="0" t="0" r="0" b="0"/>
            <wp:docPr id="4" name="图片 5" descr="H:\2022\鹞子丘片区路网工程一期11.4\鹞子丘片区路网工程一期报批11.30\附件\附件9鹞子丘片区路网工程一期专家评审意见11.30_页面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5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5145" cy="793178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20385" cy="7952740"/>
            <wp:effectExtent l="0" t="0" r="0" b="0"/>
            <wp:docPr id="7" name="图片 6" descr="H:\2022\鹞子丘片区路网工程一期11.4\鹞子丘片区路网工程一期报批11.30\附件\附件9鹞子丘片区路网工程一期专家评审意见11.30_页面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6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0385" cy="795274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34990" cy="7973059"/>
            <wp:effectExtent l="0" t="0" r="0" b="0"/>
            <wp:docPr id="10" name="图片 7" descr="H:\2022\鹞子丘片区路网工程一期11.4\鹞子丘片区路网工程一期报批11.30\附件\附件9鹞子丘片区路网工程一期专家评审意见11.30_页面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7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990" cy="7973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37530" cy="7976869"/>
            <wp:effectExtent l="0" t="0" r="0" b="0"/>
            <wp:docPr id="13" name="图片 8" descr="H:\2022\鹞子丘片区路网工程一期11.4\鹞子丘片区路网工程一期报批11.30\附件\附件9鹞子丘片区路网工程一期专家评审意见11.30_页面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8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7530" cy="797686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exact"/>
        <w:rPr>
          <w:rFonts w:ascii="Times New Roman" w:eastAsia="仿宋_GB2312" w:cs="Times New Roman" w:hAnsi="Times New Roman"/>
          <w:sz w:val="28"/>
          <w:szCs w:val="28"/>
        </w:rPr>
      </w:pPr>
      <w:bookmarkStart w:id="0" w:name="_GoBack"/>
      <w:bookmarkEnd w:id="0"/>
    </w:p>
    <w:sectPr>
      <w:footerReference w:type="default" r:id="rId2"/>
      <w:footerReference w:type="even" r:id="rId3"/>
      <w:pgSz w:w="11906" w:h="16838"/>
      <w:pgMar w:top="1984" w:right="1446" w:bottom="1644" w:left="1446" w:header="851" w:footer="992" w:gutter="0"/>
      <w:pgNumType w:fmt="numberInDash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方正黑体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仿宋"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variable"/>
    <w:sig w:usb0="00000000" w:usb1="00000000" w:usb2="00000010" w:usb3="00000000" w:csb0="00040000" w:csb1="00000000"/>
  </w:font>
  <w:font w:name="Calibri">
    <w:altName w:val="Times New Roman"/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Arial">
    <w:altName w:val="DejaVu Sans"/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Cambria">
    <w:altName w:val="DejaVu Sans"/>
    <w:panose1 w:val="02040503050406030204"/>
    <w:charset w:val="00"/>
    <w:family w:val="roman"/>
    <w:pitch w:val="variable"/>
    <w:sig w:usb0="E00006FF" w:usb1="420024FF" w:usb2="02000000" w:usb3="00000000" w:csb0="2000019F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6"/>
      <w:tabs>
        <w:tab w:val="center" w:pos="4153"/>
        <w:tab w:val="right" w:pos="8306"/>
      </w:tabs>
      <w:jc w:val="right"/>
    </w:pPr>
    <w:r>
      <w:rPr>
        <w:rFonts w:ascii="宋体" w:eastAsia="宋体"/>
        <w:sz w:val="28"/>
        <w:szCs w:val="28"/>
      </w:rPr>
      <w:fldChar w:fldCharType="begin"/>
    </w:r>
    <w:r>
      <w:rPr>
        <w:rFonts w:ascii="宋体" w:eastAsia="宋体"/>
        <w:sz w:val="28"/>
        <w:szCs w:val="28"/>
      </w:rPr>
      <w:instrText xml:space="preserve"> PAGE   \* MERGEFORMAT </w:instrText>
    </w:r>
    <w:r>
      <w:rPr>
        <w:rFonts w:ascii="宋体" w:eastAsia="宋体"/>
        <w:sz w:val="28"/>
        <w:szCs w:val="28"/>
      </w:rPr>
      <w:fldChar w:fldCharType="separate"/>
    </w:r>
    <w:r>
      <w:rPr>
        <w:rFonts w:ascii="宋体" w:eastAsia="宋体"/>
        <w:sz w:val="28"/>
        <w:szCs w:val="28"/>
      </w:rPr>
      <w:t>- 1 -</w:t>
    </w:r>
    <w:r>
      <w:rPr>
        <w:rFonts w:ascii="宋体" w:eastAsia="宋体"/>
        <w:sz w:val="28"/>
        <w:szCs w:val="28"/>
      </w:rPr>
      <w:fldChar w:fldCharType="end"/>
    </w:r>
  </w:p>
  <w:p>
    <w:pPr>
      <w:pStyle w:val="16"/>
      <w:tabs>
        <w:tab w:val="center" w:pos="4153"/>
        <w:tab w:val="right" w:pos="8306"/>
      </w:tabs>
    </w:pP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6"/>
      <w:tabs>
        <w:tab w:val="center" w:pos="4153"/>
        <w:tab w:val="right" w:pos="8306"/>
      </w:tabs>
      <w:jc w:val="right"/>
    </w:pPr>
  </w:p>
  <w:p>
    <w:pPr>
      <w:pStyle w:val="16"/>
      <w:tabs>
        <w:tab w:val="center" w:pos="4153"/>
        <w:tab w:val="right" w:pos="8306"/>
      </w:tabs>
      <w:ind w:right="720"/>
    </w:pPr>
    <w:r>
      <w:rPr>
        <w:rFonts w:ascii="宋体" w:eastAsia="宋体"/>
        <w:sz w:val="28"/>
        <w:szCs w:val="28"/>
      </w:rPr>
      <w:fldChar w:fldCharType="begin"/>
    </w:r>
    <w:r>
      <w:rPr>
        <w:rFonts w:ascii="宋体" w:eastAsia="宋体"/>
        <w:sz w:val="28"/>
        <w:szCs w:val="28"/>
      </w:rPr>
      <w:instrText xml:space="preserve"> PAGE   \* MERGEFORMAT </w:instrText>
    </w:r>
    <w:r>
      <w:rPr>
        <w:rFonts w:ascii="宋体" w:eastAsia="宋体"/>
        <w:sz w:val="28"/>
        <w:szCs w:val="28"/>
      </w:rPr>
      <w:fldChar w:fldCharType="separate"/>
    </w:r>
    <w:r>
      <w:rPr>
        <w:rFonts w:ascii="宋体" w:eastAsia="宋体"/>
        <w:sz w:val="28"/>
        <w:szCs w:val="28"/>
      </w:rPr>
      <w:t>- 2 -</w:t>
    </w:r>
    <w:r>
      <w:rPr>
        <w:rFonts w:ascii="宋体" w:eastAsia="宋体"/>
        <w:sz w:val="28"/>
        <w:szCs w:val="28"/>
      </w:rPr>
      <w:fldChar w:fldCharType="end"/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w:docVars>
    <w:docVar w:name="commondata" w:val="eyJoZGlkIjoiYjA4YTRlNGZmOWU2OGRjZTVlYzlkZjc0MDgwMmQzYjg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widowControl/>
      <w:spacing w:before="480" w:line="276" w:lineRule="auto"/>
      <w:contextualSpacing/>
      <w:jc w:val="left"/>
      <w:outlineLvl w:val="0"/>
    </w:pPr>
    <w:rPr>
      <w:rFonts w:ascii="Cambria" w:eastAsia="宋体" w:cs="Times New Roman" w:hAnsi="Cambria"/>
      <w:b/>
      <w:bCs/>
      <w:kern w:val="0"/>
      <w:sz w:val="28"/>
      <w:szCs w:val="28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Times New Roman"/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8">
    <w:name w:val="样式 表格文字 + 宋体"/>
    <w:basedOn w:val="0"/>
    <w:pPr>
      <w:widowControl/>
      <w:tabs>
        <w:tab w:val="left" w:pos="-24"/>
      </w:tabs>
      <w:spacing w:line="0" w:lineRule="atLeast"/>
      <w:jc w:val="center"/>
      <w:textAlignment w:val="baseline"/>
    </w:pPr>
    <w:rPr>
      <w:rFonts w:ascii="宋体" w:eastAsia="宋体" w:cs="Times New Roman"/>
      <w:color w:val="000000"/>
      <w:kern w:val="0"/>
      <w:szCs w:val="20"/>
      <w:u w:color="000000"/>
    </w:rPr>
  </w:style>
  <w:style w:type="paragraph" w:customStyle="1" w:styleId="19">
    <w:name w:val="WJ表中文字"/>
    <w:basedOn w:val="0"/>
    <w:pPr>
      <w:spacing w:line="300" w:lineRule="exact"/>
      <w:jc w:val="center"/>
    </w:pPr>
    <w:rPr>
      <w:rFonts w:ascii="Times New Roman" w:eastAsia="仿宋_GB2312" w:cs="Times New Roman" w:hAnsi="Times New Roman"/>
      <w:kern w:val="10"/>
      <w:szCs w:val="24"/>
    </w:rPr>
  </w:style>
  <w:style w:type="paragraph" w:customStyle="1" w:styleId="20">
    <w:name w:val="WJ表头"/>
    <w:basedOn w:val="0"/>
    <w:pPr>
      <w:spacing w:line="440" w:lineRule="exact"/>
      <w:jc w:val="center"/>
    </w:pPr>
    <w:rPr>
      <w:rFonts w:ascii="Times New Roman" w:eastAsia="仿宋_GB2312" w:cs="Times New Roman" w:hAnsi="Times New Roman"/>
      <w:b/>
      <w:sz w:val="24"/>
      <w:szCs w:val="24"/>
    </w:rPr>
  </w:style>
  <w:style w:type="paragraph" w:customStyle="1" w:styleId="21">
    <w:name w:val="List Paragraph"/>
    <w:basedOn w:val="0"/>
    <w:pPr>
      <w:ind w:firstLineChars="200" w:firstLine="200"/>
    </w:pPr>
  </w:style>
  <w:style w:type="paragraph" w:customStyle="1" w:styleId="22">
    <w:name w:val="样式 宋体 五号 蓝色 居中 行距: 单倍行距"/>
    <w:basedOn w:val="0"/>
    <w:pPr>
      <w:jc w:val="center"/>
    </w:pPr>
    <w:rPr>
      <w:rFonts w:ascii="宋体" w:cs="宋体"/>
      <w:color w:val="0000FF"/>
      <w:szCs w:val="20"/>
    </w:rPr>
  </w:style>
  <w:style w:type="paragraph" w:customStyle="1" w:styleId="23">
    <w:name w:val="样式 样式 宋体 五号 蓝色 居中 行距: 单倍行距 + Times New Roman 自动设置"/>
    <w:basedOn w:val="22"/>
  </w:style>
  <w:style w:type="paragraph" w:customStyle="1" w:styleId="24">
    <w:name w:val="样式 样式 样式 宋体 五号 蓝色 居中 行距: 单倍行距 + Times New Roman 自动设置 + 蓝色"/>
    <w:basedOn w:val="23"/>
  </w:style>
  <w:style w:type="paragraph" w:customStyle="1" w:styleId="25">
    <w:name w:val="xns表格"/>
    <w:basedOn w:val="24"/>
    <w:rPr>
      <w:color w:val="FF00FF"/>
      <w:szCs w:val="24"/>
    </w:rPr>
  </w:style>
  <w:style w:type="paragraph" w:customStyle="1" w:styleId="26">
    <w:name w:val="样式 xns表格 + 行距: 最小值 0 磅"/>
    <w:basedOn w:val="25"/>
    <w:pPr>
      <w:spacing w:line="0" w:lineRule="atLeast"/>
    </w:pPr>
    <w:rPr>
      <w:rFonts w:eastAsia="宋体"/>
    </w:rPr>
  </w:style>
  <w:style w:type="paragraph" w:customStyle="1" w:styleId="27">
    <w:name w:val="都福路表标题"/>
    <w:basedOn w:val="0"/>
    <w:next w:val="0"/>
    <w:pPr>
      <w:keepNext/>
      <w:keepLines/>
      <w:widowControl/>
      <w:spacing w:line="460" w:lineRule="exact"/>
      <w:jc w:val="center"/>
      <w:outlineLvl w:val="5"/>
    </w:pPr>
    <w:rPr>
      <w:rFonts w:ascii="宋体" w:eastAsia="宋体"/>
      <w:b/>
      <w:color w:val="0000FF"/>
      <w:sz w:val="24"/>
      <w:szCs w:val="24"/>
    </w:rPr>
  </w:style>
  <w:style w:type="paragraph" w:customStyle="1" w:styleId="28">
    <w:name w:val="正文文字110"/>
    <w:basedOn w:val="0"/>
    <w:rPr>
      <w:rFonts w:cs="宋体"/>
    </w:rPr>
  </w:style>
  <w:style w:type="paragraph" w:customStyle="1" w:styleId="29">
    <w:name w:val="表格文本"/>
    <w:basedOn w:val="28"/>
    <w:pPr>
      <w:adjustRightInd w:val="0"/>
      <w:snapToGrid w:val="0"/>
      <w:jc w:val="center"/>
    </w:pPr>
    <w:rPr>
      <w:rFonts w:ascii="Times New Roman" w:eastAsia="宋体" w:cs="Times New Roman" w:hAnsi="Times New Roman"/>
      <w:color w:val="000000"/>
      <w:kern w:val="0"/>
      <w:szCs w:val="21"/>
    </w:rPr>
  </w:style>
  <w:style w:type="paragraph" w:customStyle="1" w:styleId="30">
    <w:name w:val="表题"/>
    <w:pPr>
      <w:keepNext/>
      <w:keepLines/>
      <w:spacing w:line="460" w:lineRule="exact"/>
      <w:jc w:val="center"/>
    </w:pPr>
    <w:rPr>
      <w:rFonts w:ascii="Times New Roman" w:eastAsia="仿宋" w:cs="Times New Roman" w:hAnsi="Times New Roman"/>
      <w:b/>
      <w:sz w:val="24"/>
      <w:lang w:val="en-US" w:eastAsia="zh-CN" w:bidi="ar-SA"/>
    </w:rPr>
  </w:style>
  <w:style w:type="paragraph" w:customStyle="1" w:styleId="31">
    <w:name w:val="表格内容"/>
    <w:basedOn w:val="0"/>
    <w:pPr>
      <w:jc w:val="center"/>
    </w:pPr>
    <w:rPr>
      <w:rFonts w:ascii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2.jpeg"/><Relationship Id="rId5" Type="http://schemas.openxmlformats.org/officeDocument/2006/relationships/image" Target="media/5.jpeg"/><Relationship Id="rId6" Type="http://schemas.openxmlformats.org/officeDocument/2006/relationships/image" Target="media/8.jpeg"/><Relationship Id="rId7" Type="http://schemas.openxmlformats.org/officeDocument/2006/relationships/image" Target="media/11.jpeg"/><Relationship Id="rId8" Type="http://schemas.openxmlformats.org/officeDocument/2006/relationships/image" Target="media/14.jpeg"/><Relationship Id="rId9" Type="http://schemas.openxmlformats.org/officeDocument/2006/relationships/styles" Target="styles.xml"/><Relationship Id="rId1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6</TotalTime>
  <Application>Yozo_Office</Application>
  <Pages>7</Pages>
  <Words>767</Words>
  <Characters>1044</Characters>
  <Lines>162</Lines>
  <Paragraphs>129</Paragraphs>
  <CharactersWithSpaces>1048</CharactersWithSpaces>
  <Company>ITianKong.Com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SkyUser</dc:creator>
  <cp:lastModifiedBy>ft</cp:lastModifiedBy>
  <cp:revision>4</cp:revision>
  <cp:lastPrinted>2021-11-15T07:09:00Z</cp:lastPrinted>
  <dcterms:created xsi:type="dcterms:W3CDTF">2022-04-22T06:41:00Z</dcterms:created>
  <dcterms:modified xsi:type="dcterms:W3CDTF">2023-01-19T01:29:38Z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2052-11.1.0.12980</vt:lpwstr>
  </property>
  <property fmtid="{D5CDD505-2E9C-101B-9397-08002B2CF9AE}" pid="3" name="ICV">
    <vt:lpwstr>F8753E9E6F124DCCA095C7DAABF19358</vt:lpwstr>
  </property>
  <property fmtid="{D5CDD505-2E9C-101B-9397-08002B2CF9AE}" pid="4" name="KSOSaveFontToCloudKey">
    <vt:lpwstr>499768886_btnclosed</vt:lpwstr>
  </property>
</Properties>
</file>