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spacing w:line="596" w:lineRule="exact"/>
        <w:rPr>
          <w:rFonts w:ascii="方正黑体_GBK" w:eastAsia="方正黑体_GBK" w:cs="宋体"/>
          <w:bCs/>
          <w:sz w:val="32"/>
          <w:szCs w:val="32"/>
        </w:rPr>
      </w:pPr>
      <w:r>
        <w:rPr>
          <w:rFonts w:ascii="方正黑体_GBK" w:eastAsia="方正黑体_GBK" w:cs="宋体" w:hint="eastAsia"/>
          <w:bCs/>
          <w:sz w:val="32"/>
          <w:szCs w:val="32"/>
        </w:rPr>
        <w:t>附件1</w:t>
      </w:r>
    </w:p>
    <w:p>
      <w:pPr>
        <w:pStyle w:val="3"/>
      </w:pPr>
    </w:p>
    <w:p>
      <w:pPr>
        <w:spacing w:line="240" w:lineRule="exact"/>
        <w:jc w:val="center"/>
        <w:rPr>
          <w:rFonts w:ascii="宋体"/>
          <w:b/>
          <w:szCs w:val="21"/>
        </w:rPr>
      </w:pPr>
      <w:r>
        <w:rPr>
          <w:rFonts w:ascii="宋体"/>
          <w:b/>
          <w:szCs w:val="21"/>
        </w:rPr>
        <w:t>唐桂新城胜利花园北侧道路工程</w:t>
      </w:r>
      <w:r>
        <w:rPr>
          <w:rFonts w:ascii="宋体" w:hint="eastAsia"/>
          <w:b/>
          <w:szCs w:val="21"/>
        </w:rPr>
        <w:t>水土保持方案特性表</w:t>
      </w:r>
    </w:p>
    <w:tbl>
      <w:tblPr>
        <w:jc w:val="center"/>
        <w:tblW w:w="1003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4"/>
        <w:gridCol w:w="90"/>
        <w:gridCol w:w="1170"/>
        <w:gridCol w:w="40"/>
        <w:gridCol w:w="1070"/>
        <w:gridCol w:w="1134"/>
        <w:gridCol w:w="541"/>
        <w:gridCol w:w="451"/>
        <w:gridCol w:w="1008"/>
        <w:gridCol w:w="54"/>
        <w:gridCol w:w="214"/>
        <w:gridCol w:w="567"/>
        <w:gridCol w:w="635"/>
        <w:gridCol w:w="74"/>
        <w:gridCol w:w="510"/>
        <w:gridCol w:w="961"/>
      </w:tblGrid>
      <w:tr>
        <w:tc>
          <w:tcPr>
            <w:tcW w:w="160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项目名称</w:t>
            </w:r>
          </w:p>
        </w:tc>
        <w:tc>
          <w:tcPr>
            <w:tcW w:w="3955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bookmarkStart w:id="0" w:name="_Hlk120973344"/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唐桂新城胜利花园北侧道路工程</w:t>
            </w:r>
            <w:bookmarkEnd w:id="0"/>
          </w:p>
        </w:tc>
        <w:tc>
          <w:tcPr>
            <w:tcW w:w="2929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流域管理机构</w:t>
            </w: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长江水利委员会</w:t>
            </w:r>
          </w:p>
        </w:tc>
      </w:tr>
      <w:tr>
        <w:tc>
          <w:tcPr>
            <w:tcW w:w="160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涉及省（市、区）</w:t>
            </w:r>
          </w:p>
        </w:tc>
        <w:tc>
          <w:tcPr>
            <w:tcW w:w="228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重庆市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涉及地市或个数</w:t>
            </w:r>
          </w:p>
        </w:tc>
        <w:tc>
          <w:tcPr>
            <w:tcW w:w="1459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7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涉及县或个数</w:t>
            </w: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江北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区</w:t>
            </w:r>
          </w:p>
        </w:tc>
      </w:tr>
      <w:tr>
        <w:tc>
          <w:tcPr>
            <w:tcW w:w="160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项目规模</w:t>
            </w:r>
          </w:p>
        </w:tc>
        <w:tc>
          <w:tcPr>
            <w:tcW w:w="3414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本工程包含8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49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m道路和一座桥梁，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道路包括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主线道路和还建道路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，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其中，主线道路长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709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m；还建道路长140m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；桥梁长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1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 xml:space="preserve">24m </w:t>
            </w:r>
          </w:p>
        </w:tc>
        <w:tc>
          <w:tcPr>
            <w:tcW w:w="99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总投资</w:t>
            </w:r>
          </w:p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（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万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元）</w:t>
            </w:r>
          </w:p>
        </w:tc>
        <w:tc>
          <w:tcPr>
            <w:tcW w:w="1008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13523.29</w:t>
            </w:r>
          </w:p>
        </w:tc>
        <w:tc>
          <w:tcPr>
            <w:tcW w:w="154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土建投资</w:t>
            </w:r>
          </w:p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（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万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元）</w:t>
            </w:r>
          </w:p>
        </w:tc>
        <w:tc>
          <w:tcPr>
            <w:tcW w:w="1471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5926.06</w:t>
            </w:r>
          </w:p>
        </w:tc>
      </w:tr>
      <w:tr>
        <w:tc>
          <w:tcPr>
            <w:tcW w:w="160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动工时间</w:t>
            </w:r>
          </w:p>
        </w:tc>
        <w:tc>
          <w:tcPr>
            <w:tcW w:w="228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2022年12月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完工时间</w:t>
            </w:r>
          </w:p>
        </w:tc>
        <w:tc>
          <w:tcPr>
            <w:tcW w:w="1459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2023年12月</w:t>
            </w:r>
          </w:p>
        </w:tc>
        <w:tc>
          <w:tcPr>
            <w:tcW w:w="147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设计水平年</w:t>
            </w: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202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年</w:t>
            </w:r>
          </w:p>
        </w:tc>
      </w:tr>
      <w:tr>
        <w:tc>
          <w:tcPr>
            <w:tcW w:w="1604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工程占地（hm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228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2.80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永久占地（hm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727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1.98</w:t>
            </w:r>
          </w:p>
        </w:tc>
        <w:tc>
          <w:tcPr>
            <w:tcW w:w="120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临时占地（hm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0.82</w:t>
            </w:r>
          </w:p>
        </w:tc>
      </w:tr>
      <w:tr>
        <w:tc>
          <w:tcPr>
            <w:tcW w:w="1604" w:type="dxa"/>
            <w:gridSpan w:val="2"/>
            <w:vMerge w:val="restart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土石方量（万m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228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项目组成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挖方(万m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727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填方(万m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20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借方(万m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)</w:t>
            </w: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弃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方(万m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)</w:t>
            </w:r>
          </w:p>
        </w:tc>
      </w:tr>
      <w:tr>
        <w:tc>
          <w:tcPr>
            <w:tcW w:w="1604" w:type="dxa"/>
            <w:gridSpan w:val="2"/>
            <w:vMerge/>
            <w:vAlign w:val="center"/>
          </w:tcPr>
          <w:p/>
        </w:tc>
        <w:tc>
          <w:tcPr>
            <w:tcW w:w="228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路基工程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5.26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（表土0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.14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1727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1.05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（表土0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.13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120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4.20</w:t>
            </w:r>
          </w:p>
        </w:tc>
      </w:tr>
      <w:tr>
        <w:tc>
          <w:tcPr>
            <w:tcW w:w="1604" w:type="dxa"/>
            <w:gridSpan w:val="2"/>
            <w:vMerge/>
            <w:vAlign w:val="center"/>
          </w:tcPr>
          <w:p/>
        </w:tc>
        <w:tc>
          <w:tcPr>
            <w:tcW w:w="228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桥梁工程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0.25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（表土0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.03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1727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0.07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（表土0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.04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120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0.19</w:t>
            </w:r>
          </w:p>
        </w:tc>
      </w:tr>
      <w:tr>
        <w:tc>
          <w:tcPr>
            <w:tcW w:w="1604" w:type="dxa"/>
            <w:gridSpan w:val="2"/>
            <w:vMerge/>
            <w:vAlign w:val="center"/>
          </w:tcPr>
          <w:p/>
        </w:tc>
        <w:tc>
          <w:tcPr>
            <w:tcW w:w="228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表土堆放场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 xml:space="preserve">0 </w:t>
            </w:r>
          </w:p>
        </w:tc>
        <w:tc>
          <w:tcPr>
            <w:tcW w:w="1727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0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　</w:t>
            </w:r>
          </w:p>
        </w:tc>
      </w:tr>
      <w:tr>
        <w:tc>
          <w:tcPr>
            <w:tcW w:w="1604" w:type="dxa"/>
            <w:gridSpan w:val="2"/>
            <w:vMerge/>
            <w:vAlign w:val="center"/>
          </w:tcPr>
          <w:p/>
        </w:tc>
        <w:tc>
          <w:tcPr>
            <w:tcW w:w="228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合计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5.51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（表土0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.17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1727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1.12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（表土0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.17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）</w:t>
            </w:r>
          </w:p>
        </w:tc>
        <w:tc>
          <w:tcPr>
            <w:tcW w:w="1202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4.39</w:t>
            </w:r>
          </w:p>
        </w:tc>
      </w:tr>
      <w:tr>
        <w:tc>
          <w:tcPr>
            <w:tcW w:w="388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重点防治区名称</w:t>
            </w:r>
          </w:p>
        </w:tc>
        <w:tc>
          <w:tcPr>
            <w:tcW w:w="6149" w:type="dxa"/>
            <w:gridSpan w:val="11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重庆市水土流失重点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预防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区</w:t>
            </w:r>
          </w:p>
        </w:tc>
      </w:tr>
      <w:tr>
        <w:tc>
          <w:tcPr>
            <w:tcW w:w="388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地貌类型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构造剥蚀侵蚀地貌</w:t>
            </w:r>
          </w:p>
        </w:tc>
        <w:tc>
          <w:tcPr>
            <w:tcW w:w="2929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水土保持区划</w:t>
            </w: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西南紫色土区</w:t>
            </w:r>
          </w:p>
        </w:tc>
      </w:tr>
      <w:tr>
        <w:tc>
          <w:tcPr>
            <w:tcW w:w="388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土壤侵蚀类型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水力侵蚀</w:t>
            </w:r>
          </w:p>
        </w:tc>
        <w:tc>
          <w:tcPr>
            <w:tcW w:w="2929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土壤侵蚀模数〔t/(km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·a)〕</w:t>
            </w: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1186</w:t>
            </w:r>
          </w:p>
        </w:tc>
      </w:tr>
      <w:tr>
        <w:tc>
          <w:tcPr>
            <w:tcW w:w="388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防治责任范围面积（hm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2.80</w:t>
            </w:r>
          </w:p>
        </w:tc>
        <w:tc>
          <w:tcPr>
            <w:tcW w:w="2929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容许土壤流失量〔t/(km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·a)〕</w:t>
            </w: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500</w:t>
            </w:r>
          </w:p>
        </w:tc>
      </w:tr>
      <w:tr>
        <w:tc>
          <w:tcPr>
            <w:tcW w:w="388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土壤流失预测总量（t）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164</w:t>
            </w:r>
          </w:p>
        </w:tc>
        <w:tc>
          <w:tcPr>
            <w:tcW w:w="2929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新增土壤流失量（t）</w:t>
            </w:r>
          </w:p>
        </w:tc>
        <w:tc>
          <w:tcPr>
            <w:tcW w:w="15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118</w:t>
            </w:r>
          </w:p>
        </w:tc>
      </w:tr>
      <w:tr>
        <w:tc>
          <w:tcPr>
            <w:tcW w:w="388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水土流失防治标准执行等级</w:t>
            </w:r>
          </w:p>
        </w:tc>
        <w:tc>
          <w:tcPr>
            <w:tcW w:w="6149" w:type="dxa"/>
            <w:gridSpan w:val="11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西南紫色土区建设类项目一级标准</w:t>
            </w:r>
          </w:p>
        </w:tc>
      </w:tr>
      <w:tr>
        <w:tc>
          <w:tcPr>
            <w:tcW w:w="1514" w:type="dxa"/>
            <w:vMerge w:val="restart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防治指标</w:t>
            </w:r>
          </w:p>
        </w:tc>
        <w:tc>
          <w:tcPr>
            <w:tcW w:w="237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水土流失治理度（%）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229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土壤流失控制比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1.0</w:t>
            </w:r>
          </w:p>
        </w:tc>
      </w:tr>
      <w:tr>
        <w:tc>
          <w:tcPr>
            <w:tcW w:w="1514" w:type="dxa"/>
            <w:vMerge/>
            <w:vAlign w:val="center"/>
          </w:tcPr>
          <w:p/>
        </w:tc>
        <w:tc>
          <w:tcPr>
            <w:tcW w:w="237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渣土防护率（%）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229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表土保护率（%）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92</w:t>
            </w:r>
          </w:p>
        </w:tc>
      </w:tr>
      <w:tr>
        <w:tc>
          <w:tcPr>
            <w:tcW w:w="1514" w:type="dxa"/>
            <w:vMerge/>
            <w:vAlign w:val="center"/>
          </w:tcPr>
          <w:p/>
        </w:tc>
        <w:tc>
          <w:tcPr>
            <w:tcW w:w="237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林草植被恢复率（%）</w:t>
            </w:r>
          </w:p>
        </w:tc>
        <w:tc>
          <w:tcPr>
            <w:tcW w:w="1675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97</w:t>
            </w:r>
          </w:p>
        </w:tc>
        <w:tc>
          <w:tcPr>
            <w:tcW w:w="229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林草覆盖率（%）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27</w:t>
            </w:r>
          </w:p>
        </w:tc>
      </w:tr>
      <w:tr>
        <w:tc>
          <w:tcPr>
            <w:tcW w:w="1514" w:type="dxa"/>
            <w:vMerge w:val="restart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防治措施</w:t>
            </w:r>
          </w:p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及工程量</w:t>
            </w:r>
          </w:p>
        </w:tc>
        <w:tc>
          <w:tcPr>
            <w:tcW w:w="1260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防治分区</w:t>
            </w:r>
          </w:p>
        </w:tc>
        <w:tc>
          <w:tcPr>
            <w:tcW w:w="2785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工程措施</w:t>
            </w:r>
          </w:p>
        </w:tc>
        <w:tc>
          <w:tcPr>
            <w:tcW w:w="229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植物措施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临时措施</w:t>
            </w:r>
          </w:p>
        </w:tc>
      </w:tr>
      <w:tr>
        <w:tc>
          <w:tcPr>
            <w:tcW w:w="1514" w:type="dxa"/>
            <w:vMerge/>
            <w:vAlign w:val="center"/>
          </w:tcPr>
          <w:p/>
        </w:tc>
        <w:tc>
          <w:tcPr>
            <w:tcW w:w="1260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路基工程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防治区</w:t>
            </w:r>
          </w:p>
        </w:tc>
        <w:tc>
          <w:tcPr>
            <w:tcW w:w="2785" w:type="dxa"/>
            <w:gridSpan w:val="4"/>
            <w:vAlign w:val="center"/>
          </w:tcPr>
          <w:p>
            <w:pPr>
              <w:topLinePunct/>
              <w:snapToGrid w:val="0"/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主体设计：雨水管网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9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75m、透水砖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6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350m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，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边沟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1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40m</w:t>
            </w:r>
          </w:p>
          <w:p>
            <w:pPr>
              <w:topLinePunct/>
              <w:snapToGrid w:val="0"/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方案新增：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表土剥离0.14万m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，表土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回填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0.13万m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294" w:type="dxa"/>
            <w:gridSpan w:val="5"/>
            <w:vAlign w:val="center"/>
          </w:tcPr>
          <w:p>
            <w:pPr>
              <w:topLinePunct/>
              <w:snapToGrid w:val="0"/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主体设计：喷播植草护坡0.65hm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、种植行道树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2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06株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topLinePunct/>
              <w:snapToGrid w:val="0"/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方案新增：临时排水沟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7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40m，填土编织袋拦挡110m，临时沉砂池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8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口，临时覆盖2000m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2</w:t>
            </w:r>
          </w:p>
        </w:tc>
      </w:tr>
      <w:tr>
        <w:tc>
          <w:tcPr>
            <w:tcW w:w="1514" w:type="dxa"/>
            <w:vMerge/>
            <w:vAlign w:val="center"/>
          </w:tcPr>
          <w:p/>
        </w:tc>
        <w:tc>
          <w:tcPr>
            <w:tcW w:w="1260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桥梁工程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防治区</w:t>
            </w:r>
          </w:p>
        </w:tc>
        <w:tc>
          <w:tcPr>
            <w:tcW w:w="2785" w:type="dxa"/>
            <w:gridSpan w:val="4"/>
            <w:vAlign w:val="center"/>
          </w:tcPr>
          <w:p>
            <w:pPr>
              <w:topLinePunct/>
              <w:snapToGrid w:val="0"/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主体设计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：透水砖550m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2</w:t>
            </w:r>
          </w:p>
          <w:p>
            <w:pPr>
              <w:topLinePunct/>
              <w:snapToGrid w:val="0"/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方案新增：表土剥离0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.03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万m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，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表土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回填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0.04万m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294" w:type="dxa"/>
            <w:gridSpan w:val="5"/>
            <w:vAlign w:val="center"/>
          </w:tcPr>
          <w:p>
            <w:pPr>
              <w:topLinePunct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方案新增：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撒播草籽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0.08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h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topLinePunct/>
              <w:snapToGrid w:val="0"/>
              <w:rPr>
                <w:rFonts w:ascii="Times New Roman" w:eastAsia="仿宋_GB2312" w:cs="Times New Roman" w:hAnsi="Times New Roman" w:hint="eastAsia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方案新增：临时覆盖500m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，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填土编织袋拦挡1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0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0m</w:t>
            </w:r>
          </w:p>
        </w:tc>
      </w:tr>
      <w:tr>
        <w:tc>
          <w:tcPr>
            <w:tcW w:w="1514" w:type="dxa"/>
            <w:vMerge/>
            <w:vAlign w:val="center"/>
          </w:tcPr>
          <w:p/>
        </w:tc>
        <w:tc>
          <w:tcPr>
            <w:tcW w:w="1260" w:type="dxa"/>
            <w:gridSpan w:val="2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表土堆放场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防治区</w:t>
            </w:r>
          </w:p>
        </w:tc>
        <w:tc>
          <w:tcPr>
            <w:tcW w:w="2785" w:type="dxa"/>
            <w:gridSpan w:val="4"/>
            <w:vAlign w:val="center"/>
          </w:tcPr>
          <w:p>
            <w:pPr>
              <w:topLinePunct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方案新增：土地整治0.08hm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。</w:t>
            </w:r>
          </w:p>
        </w:tc>
        <w:tc>
          <w:tcPr>
            <w:tcW w:w="2294" w:type="dxa"/>
            <w:gridSpan w:val="5"/>
            <w:vAlign w:val="center"/>
          </w:tcPr>
          <w:p>
            <w:pPr>
              <w:topLinePunct/>
              <w:snapToGrid w:val="0"/>
              <w:rPr>
                <w:rFonts w:ascii="Times New Roman" w:eastAsia="仿宋_GB2312" w:cs="Times New Roman" w:hAnsi="Times New Roman" w:hint="eastAsia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方案新增：撒播草籽0.08hm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topLinePunct/>
              <w:snapToGrid w:val="0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方案新增</w:t>
            </w:r>
            <w:r>
              <w:rPr>
                <w:rFonts w:ascii="Times New Roman" w:eastAsia="仿宋_GB2312" w:cs="Times New Roman" w:hAnsi="Times New Roman" w:hint="eastAsia"/>
                <w:bCs/>
                <w:sz w:val="18"/>
                <w:szCs w:val="18"/>
              </w:rPr>
              <w:t>：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</w:rPr>
              <w:t>临时排水沟84m、填土编织袋拦挡120m、临时覆盖900m</w:t>
            </w:r>
            <w:r>
              <w:rPr>
                <w:rFonts w:ascii="Times New Roman" w:eastAsia="仿宋_GB2312" w:cs="Times New Roman" w:hAnsi="Times New Roman"/>
                <w:bCs/>
                <w:sz w:val="18"/>
                <w:szCs w:val="18"/>
                <w:vertAlign w:val="superscript"/>
              </w:rPr>
              <w:t>2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投资（万元）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78.24（新增4.04）</w:t>
            </w:r>
          </w:p>
        </w:tc>
        <w:tc>
          <w:tcPr>
            <w:tcW w:w="2294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23.15（新增0.14）</w:t>
            </w:r>
          </w:p>
        </w:tc>
        <w:tc>
          <w:tcPr>
            <w:tcW w:w="2180" w:type="dxa"/>
            <w:gridSpan w:val="4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11.42（新增11.42）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水土保持总投资（万元）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133.27（新增36.06）</w:t>
            </w:r>
          </w:p>
        </w:tc>
        <w:tc>
          <w:tcPr>
            <w:tcW w:w="3513" w:type="dxa"/>
            <w:gridSpan w:val="8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独立费用（万元）</w:t>
            </w:r>
          </w:p>
        </w:tc>
        <w:tc>
          <w:tcPr>
            <w:tcW w:w="961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9.20</w:t>
            </w:r>
          </w:p>
        </w:tc>
      </w:tr>
      <w:tr>
        <w:trPr>
          <w:trHeight w:val="59"/>
        </w:trP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监理费（万元）</w:t>
            </w:r>
          </w:p>
        </w:tc>
        <w:tc>
          <w:tcPr>
            <w:tcW w:w="1300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/</w:t>
            </w:r>
          </w:p>
        </w:tc>
        <w:tc>
          <w:tcPr>
            <w:tcW w:w="2745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监测费（万元）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5.52</w:t>
            </w:r>
          </w:p>
        </w:tc>
        <w:tc>
          <w:tcPr>
            <w:tcW w:w="2000" w:type="dxa"/>
            <w:gridSpan w:val="5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补偿费（万元）</w:t>
            </w:r>
          </w:p>
        </w:tc>
        <w:tc>
          <w:tcPr>
            <w:tcW w:w="961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3.92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方案编制单位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重庆隆湖工程设计咨询有限公司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建设单位</w:t>
            </w:r>
          </w:p>
        </w:tc>
        <w:tc>
          <w:tcPr>
            <w:tcW w:w="2961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重庆市江北区新港城建设开发有限公司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法定代表人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代数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法定代表人</w:t>
            </w:r>
          </w:p>
        </w:tc>
        <w:tc>
          <w:tcPr>
            <w:tcW w:w="2961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曾国涛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地址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重庆市渝北区龙溪街道新南路203号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地址</w:t>
            </w:r>
          </w:p>
        </w:tc>
        <w:tc>
          <w:tcPr>
            <w:tcW w:w="2961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 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重庆市江北区海尔路952号水语华庭二期11号楼第三层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邮编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401120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邮编</w:t>
            </w:r>
          </w:p>
        </w:tc>
        <w:tc>
          <w:tcPr>
            <w:tcW w:w="2961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400000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联系人及电话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贾桃涛/13527393879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联系人及电话</w:t>
            </w:r>
          </w:p>
        </w:tc>
        <w:tc>
          <w:tcPr>
            <w:tcW w:w="2961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陈磊</w:t>
            </w: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/</w:t>
            </w: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13220339070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传真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传真</w:t>
            </w:r>
          </w:p>
        </w:tc>
        <w:tc>
          <w:tcPr>
            <w:tcW w:w="2961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-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社会信用代码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91500112305000327G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 w:hint="eastAsia"/>
                <w:sz w:val="18"/>
                <w:szCs w:val="18"/>
              </w:rPr>
              <w:t>社会信用代码</w:t>
            </w:r>
          </w:p>
        </w:tc>
        <w:tc>
          <w:tcPr>
            <w:tcW w:w="2961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91500105MA5YUKHP8D</w:t>
            </w:r>
          </w:p>
        </w:tc>
      </w:tr>
      <w:tr>
        <w:tc>
          <w:tcPr>
            <w:tcW w:w="1514" w:type="dxa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电子信箱</w:t>
            </w:r>
          </w:p>
        </w:tc>
        <w:tc>
          <w:tcPr>
            <w:tcW w:w="4045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120900827@qq.com</w:t>
            </w:r>
          </w:p>
        </w:tc>
        <w:tc>
          <w:tcPr>
            <w:tcW w:w="1513" w:type="dxa"/>
            <w:gridSpan w:val="3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  <w:r>
              <w:rPr>
                <w:rFonts w:ascii="Times New Roman" w:eastAsia="仿宋_GB2312" w:cs="Times New Roman" w:hAnsi="Times New Roman"/>
                <w:sz w:val="18"/>
                <w:szCs w:val="18"/>
              </w:rPr>
              <w:t>电子信箱</w:t>
            </w:r>
          </w:p>
        </w:tc>
        <w:tc>
          <w:tcPr>
            <w:tcW w:w="2961" w:type="dxa"/>
            <w:gridSpan w:val="6"/>
            <w:vAlign w:val="center"/>
          </w:tcPr>
          <w:p>
            <w:pPr>
              <w:spacing w:line="240" w:lineRule="exact"/>
              <w:jc w:val="center"/>
              <w:rPr>
                <w:rFonts w:ascii="Times New Roman" w:eastAsia="仿宋_GB2312" w:cs="Times New Roman" w:hAnsi="Times New Roman"/>
                <w:sz w:val="18"/>
                <w:szCs w:val="18"/>
              </w:rPr>
            </w:pPr>
          </w:p>
        </w:tc>
      </w:tr>
    </w:tbl>
    <w:p>
      <w:pPr>
        <w:pStyle w:val="3"/>
        <w:sectPr>
          <w:footerReference w:type="default" r:id="rId2"/>
          <w:pgSz w:w="11906" w:h="16838"/>
          <w:pgMar w:top="1440" w:right="1800" w:bottom="1440" w:left="1800" w:header="851" w:footer="992" w:gutter="0"/>
          <w:docGrid w:type="lines" w:linePitch="312" w:charSpace="0"/>
        </w:sectPr>
      </w:pPr>
    </w:p>
    <w:p>
      <w:pPr>
        <w:jc w:val="left"/>
        <w:rPr>
          <w:rFonts w:ascii="方正黑体_GBK" w:eastAsia="方正黑体_GBK" w:cs="宋体"/>
          <w:bCs/>
          <w:sz w:val="32"/>
          <w:szCs w:val="32"/>
        </w:rPr>
      </w:pPr>
      <w:r>
        <w:rPr>
          <w:rFonts w:ascii="方正黑体_GBK" w:eastAsia="方正黑体_GBK" w:cs="宋体" w:hint="eastAsia"/>
          <w:bCs/>
          <w:sz w:val="32"/>
          <w:szCs w:val="32"/>
        </w:rPr>
        <w:t>附件2</w:t>
      </w:r>
    </w:p>
    <w:p>
      <w:pPr>
        <w:widowControl/>
        <w:shd w:val="clear" w:color="auto" w:fill="FFFFFF"/>
        <w:ind w:firstLineChars="150" w:firstLine="315"/>
        <w:jc w:val="center"/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7303134"/>
            <wp:effectExtent l="0" t="0" r="0" b="0"/>
            <wp:docPr id="4" name="图片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8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30313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Chars="150" w:firstLine="315"/>
        <w:jc w:val="center"/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7720330"/>
            <wp:effectExtent l="0" t="0" r="0" b="0"/>
            <wp:docPr id="7" name="图片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14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72033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Chars="150" w:firstLine="315"/>
        <w:jc w:val="center"/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7423150"/>
            <wp:effectExtent l="0" t="0" r="0" b="0"/>
            <wp:docPr id="10" name="图片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5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4231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Chars="150" w:firstLine="315"/>
        <w:jc w:val="center"/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7329805"/>
            <wp:effectExtent l="0" t="0" r="0" b="0"/>
            <wp:docPr id="13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6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32980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Chars="150" w:firstLine="315"/>
        <w:jc w:val="center"/>
        <w:rPr>
          <w:rFonts w:ascii="Times New Roman" w:eastAsia="方正仿宋_GBK" w:cs="Times New Roman" w:hAnsi="Times New Roman"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274310" cy="7330440"/>
            <wp:effectExtent l="0" t="0" r="0" b="0"/>
            <wp:docPr id="16" name="图片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7 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33044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Chars="150" w:firstLine="315"/>
        <w:jc w:val="center"/>
        <w:rPr>
          <w:rFonts w:ascii="Times New Roman" w:eastAsia="方正仿宋_GBK" w:cs="Times New Roman" w:hAnsi="Times New Roman"/>
          <w:sz w:val="28"/>
          <w:szCs w:val="28"/>
        </w:rPr>
      </w:pPr>
      <w:r>
        <w:drawing>
          <wp:inline distT="0" distB="0" distL="0" distR="0">
            <wp:extent cx="5274310" cy="7383145"/>
            <wp:effectExtent l="0" t="0" r="0" b="0"/>
            <wp:docPr id="19" name="图片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18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310" cy="738314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984" w:right="1446" w:bottom="1644" w:left="1446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方正黑体_GBK">
    <w:panose1 w:val="03000509000000000000"/>
    <w:charset w:val="86"/>
    <w:family w:val="script"/>
    <w:pitch w:val="variable"/>
    <w:sig w:usb0="00000001" w:usb1="080E0000" w:usb2="00000000" w:usb3="00000000" w:csb0="00040000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variable"/>
    <w:sig w:usb0="00000000" w:usb1="00000000" w:usb2="00000010" w:usb3="00000000" w:csb0="00040000" w:csb1="00000000"/>
  </w:font>
  <w:font w:name="方正仿宋_GBK">
    <w:panose1 w:val="03000509000000000000"/>
    <w:charset w:val="86"/>
    <w:family w:val="script"/>
    <w:pitch w:val="variable"/>
    <w:sig w:usb0="00000001" w:usb1="080E0000" w:usb2="00000000" w:usb3="00000000" w:csb0="00040000" w:csb1="00000000"/>
  </w:font>
  <w:font w:name="Calibri">
    <w:altName w:val="Times New Roman"/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Arial">
    <w:altName w:val="DejaVu Sans"/>
    <w:panose1 w:val="020B0604020202020204"/>
    <w:charset w:val="01"/>
    <w:family w:val="swiss"/>
    <w:pitch w:val="variable"/>
    <w:sig w:usb0="E0002EFF" w:usb1="C000785B" w:usb2="00000009" w:usb3="00000000" w:csb0="400001FF" w:csb1="FFFF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7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298" distR="114298" simplePos="0" relativeHeight="26" behindDoc="0" locked="0" layoutInCell="1" hidden="0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558800" cy="230251"/>
              <wp:effectExtent l="0" t="0" r="0" b="0"/>
              <wp:wrapNone/>
              <wp:docPr id="1" name="文本框 7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558800" cy="230251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2">
                      <w:txbxContent>
                        <w:p>
                          <w:pPr>
                            <w:pStyle w:val="17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cs="宋体" w:hint="eastAsia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t>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7 3" o:spid="_x0000_s3" filled="f" stroked="f" strokeweight="0.5pt" style="position:absolute;margin-left:0.0pt;margin-top:0.0pt;width:43.999996pt;height:18.130003pt;z-index:26;mso-position-horizontal:outside;mso-position-horizontal-relative:margin;mso-position-vertical:absolute;mso-wrap-distance-left:8.999863pt;mso-wrap-distance-right:8.999863pt;mso-wrap-style:none;">
              <v:stroke color="#000000"/>
              <v:textbox id="854" inset="0mm,0mm,0mm,0mm" o:insetmode="custom" style="layout-flow:horizontal;v-text-anchor:top;mso-fit-shape-to-text:t;">
                <w:txbxContent>
                  <w:p>
                    <w:pPr>
                      <w:pStyle w:val="17"/>
                      <w:tabs>
                        <w:tab w:val="center" w:pos="4153"/>
                        <w:tab w:val="right" w:pos="8306"/>
                      </w:tabs>
                    </w:pP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cs="宋体" w:hint="eastAsia"/>
                        <w:sz w:val="28"/>
                        <w:szCs w:val="28"/>
                      </w:rPr>
                      <w:t xml:space="preserve"> </w:t>
                    </w:r>
                    <w: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doNotUseIndentAsNumberingTabStop/>
    <w:compatSetting w:name="compatibilityMode" w:uri="http://schemas.microsoft.com/office/word" w:val="14"/>
  </w:compat>
  <w:docVars>
    <w:docVar w:name="commondata" w:val="eyJoZGlkIjoiYjA4YTRlNGZmOWU2OGRjZTVlYzlkZjc0MDgwMmQzYjgifQ=="/>
  </w:docVars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next w:val="3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3">
    <w:name w:val="heading 3"/>
    <w:basedOn w:val="0"/>
    <w:next w:val="4"/>
    <w:pPr>
      <w:keepNext/>
      <w:keepLines/>
      <w:widowControl w:val="0"/>
      <w:spacing w:line="520" w:lineRule="exact"/>
      <w:outlineLvl w:val="2"/>
    </w:pPr>
    <w:rPr>
      <w:b/>
      <w:sz w:val="28"/>
    </w:rPr>
  </w:style>
  <w:style w:type="paragraph" w:styleId="4">
    <w:name w:val="heading 4"/>
    <w:basedOn w:val="0"/>
    <w:next w:val="16"/>
    <w:pPr>
      <w:keepNext/>
      <w:keepLines/>
      <w:widowControl w:val="0"/>
      <w:spacing w:line="520" w:lineRule="exact"/>
      <w:outlineLvl w:val="3"/>
    </w:pPr>
    <w:rPr>
      <w:b/>
    </w:rPr>
  </w:style>
  <w:style w:type="character" w:default="1" w:styleId="10">
    <w:name w:val="Default Paragraph Font"/>
  </w:style>
  <w:style w:type="paragraph" w:styleId="15">
    <w:name w:val="Body Text"/>
    <w:basedOn w:val="0"/>
    <w:pPr>
      <w:spacing w:after="120"/>
    </w:pPr>
    <w:rPr>
      <w:rFonts w:eastAsia="宋体"/>
      <w:szCs w:val="24"/>
    </w:rPr>
  </w:style>
  <w:style w:type="paragraph" w:styleId="16">
    <w:name w:val="Body Text First Indent"/>
    <w:basedOn w:val="15"/>
    <w:pPr>
      <w:ind w:firstLineChars="100" w:firstLine="100"/>
    </w:pPr>
  </w:style>
  <w:style w:type="paragraph" w:styleId="17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cs="Times New Roman" w:hAnsi="Times New Roman"/>
      <w:sz w:val="18"/>
      <w:szCs w:val="18"/>
    </w:rPr>
  </w:style>
  <w:style w:type="paragraph" w:styleId="18">
    <w:name w:val="header"/>
    <w:basedOn w:val="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image" Target="media/5.png"/><Relationship Id="rId4" Type="http://schemas.openxmlformats.org/officeDocument/2006/relationships/image" Target="media/8.png"/><Relationship Id="rId5" Type="http://schemas.openxmlformats.org/officeDocument/2006/relationships/image" Target="media/11.png"/><Relationship Id="rId6" Type="http://schemas.openxmlformats.org/officeDocument/2006/relationships/image" Target="media/14.png"/><Relationship Id="rId7" Type="http://schemas.openxmlformats.org/officeDocument/2006/relationships/image" Target="media/17.png"/><Relationship Id="rId8" Type="http://schemas.openxmlformats.org/officeDocument/2006/relationships/image" Target="media/20.png"/><Relationship Id="rId9" Type="http://schemas.openxmlformats.org/officeDocument/2006/relationships/styles" Target="styles.xml"/><Relationship Id="rId10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7</TotalTime>
  <Application>Yozo_Office</Application>
  <Pages>7</Pages>
  <Words>960</Words>
  <Characters>1312</Characters>
  <Lines>190</Lines>
  <Paragraphs>152</Paragraphs>
  <CharactersWithSpaces>1315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一颗大树</dc:creator>
  <cp:lastModifiedBy>ft</cp:lastModifiedBy>
  <cp:revision>3</cp:revision>
  <cp:lastPrinted>2022-08-12T01:57:00Z</cp:lastPrinted>
  <dcterms:created xsi:type="dcterms:W3CDTF">2022-07-26T10:52:00Z</dcterms:created>
  <dcterms:modified xsi:type="dcterms:W3CDTF">2023-01-19T01:55:42Z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2052-11.1.0.12763</vt:lpwstr>
  </property>
  <property fmtid="{D5CDD505-2E9C-101B-9397-08002B2CF9AE}" pid="3" name="ICV">
    <vt:lpwstr>7AACC9F705174D1B9F2B0780809B2700</vt:lpwstr>
  </property>
</Properties>
</file>