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pacing w:line="596" w:lineRule="exact"/>
        <w:rPr>
          <w:rFonts w:ascii="方正黑体_GBK" w:eastAsia="方正黑体_GBK" w:cs="宋体"/>
          <w:bCs/>
          <w:sz w:val="32"/>
          <w:szCs w:val="32"/>
        </w:rPr>
      </w:pPr>
      <w:r>
        <w:rPr>
          <w:rFonts w:ascii="方正黑体_GBK" w:eastAsia="方正黑体_GBK" w:cs="宋体" w:hint="eastAsia"/>
          <w:bCs/>
          <w:sz w:val="32"/>
          <w:szCs w:val="32"/>
        </w:rPr>
        <w:t>附件1</w:t>
      </w:r>
    </w:p>
    <w:p>
      <w:pPr>
        <w:pStyle w:val="3"/>
      </w:pPr>
    </w:p>
    <w:p>
      <w:pPr>
        <w:spacing w:line="240" w:lineRule="exact"/>
        <w:jc w:val="center"/>
        <w:rPr>
          <w:rFonts w:ascii="宋体"/>
          <w:b/>
          <w:szCs w:val="21"/>
        </w:rPr>
      </w:pPr>
      <w:r>
        <w:rPr>
          <w:rFonts w:ascii="宋体" w:hint="eastAsia"/>
          <w:b/>
          <w:szCs w:val="21"/>
        </w:rPr>
        <w:t>唐桂新城红星果园周边道路工程水土保持方案特性表</w:t>
      </w:r>
    </w:p>
    <w:tbl>
      <w:tblPr>
        <w:jc w:val="left"/>
        <w:tblInd w:w="-272" w:type="dxa"/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088"/>
        <w:gridCol w:w="441"/>
        <w:gridCol w:w="379"/>
        <w:gridCol w:w="172"/>
        <w:gridCol w:w="606"/>
        <w:gridCol w:w="1285"/>
        <w:gridCol w:w="298"/>
        <w:gridCol w:w="930"/>
        <w:gridCol w:w="35"/>
        <w:gridCol w:w="276"/>
        <w:gridCol w:w="231"/>
        <w:gridCol w:w="130"/>
        <w:gridCol w:w="178"/>
        <w:gridCol w:w="1055"/>
        <w:gridCol w:w="1276"/>
        <w:gridCol w:w="1355"/>
      </w:tblGrid>
      <w:tr>
        <w:trPr>
          <w:trHeight w:val="335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39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唐桂新城红星果园周边道路工程</w:t>
            </w:r>
          </w:p>
        </w:tc>
        <w:tc>
          <w:tcPr>
            <w:tcW w:w="2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流域管理机构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长江水利委员会</w:t>
            </w:r>
          </w:p>
        </w:tc>
      </w:tr>
      <w:tr>
        <w:trPr>
          <w:trHeight w:val="335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涉及省（市、区）</w:t>
            </w:r>
          </w:p>
        </w:tc>
        <w:tc>
          <w:tcPr>
            <w:tcW w:w="55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重庆市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涉及县或个数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江北区</w:t>
            </w:r>
          </w:p>
        </w:tc>
      </w:tr>
      <w:tr>
        <w:trPr>
          <w:trHeight w:val="270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项目规模</w:t>
            </w:r>
          </w:p>
        </w:tc>
        <w:tc>
          <w:tcPr>
            <w:tcW w:w="3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本道路工程包含A段和B段，全长441.803m，其中A段全长371.825m，城市支路，标准路幅宽16m，双向两车道，设计车速为20km/h；B段全长69.978m，城市支路，标准路幅宽12m，双向两车道，设计车速为20km/h。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总投资（万元）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3525.04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土建投资</w:t>
            </w:r>
          </w:p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2130.62</w:t>
            </w:r>
          </w:p>
        </w:tc>
      </w:tr>
      <w:tr>
        <w:trPr>
          <w:trHeight w:val="353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动工时间</w:t>
            </w:r>
          </w:p>
        </w:tc>
        <w:tc>
          <w:tcPr>
            <w:tcW w:w="2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2022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年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7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月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完工时间</w:t>
            </w:r>
          </w:p>
        </w:tc>
        <w:tc>
          <w:tcPr>
            <w:tcW w:w="1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2023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年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11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设计水平年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2023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年</w:t>
            </w:r>
          </w:p>
        </w:tc>
      </w:tr>
      <w:tr>
        <w:trPr>
          <w:trHeight w:val="449"/>
        </w:trPr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工程占地（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hm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2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2.23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22297m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永久占地（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hm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0.62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6236m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临时占地（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hm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1.61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16061m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</w:tr>
      <w:tr>
        <w:trPr>
          <w:trHeight w:val="283"/>
        </w:trPr>
        <w:tc>
          <w:tcPr>
            <w:tcW w:w="39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土石方量（万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m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挖方</w:t>
            </w:r>
          </w:p>
        </w:tc>
        <w:tc>
          <w:tcPr>
            <w:tcW w:w="1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填方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借方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余（弃）方</w:t>
            </w:r>
          </w:p>
        </w:tc>
      </w:tr>
      <w:tr>
        <w:trPr>
          <w:trHeight w:val="283"/>
        </w:trPr>
        <w:tc>
          <w:tcPr>
            <w:tcW w:w="39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/>
        </w:tc>
        <w:tc>
          <w:tcPr>
            <w:tcW w:w="1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12.27</w:t>
            </w:r>
          </w:p>
        </w:tc>
        <w:tc>
          <w:tcPr>
            <w:tcW w:w="1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1.65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/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10.62</w:t>
            </w:r>
          </w:p>
        </w:tc>
      </w:tr>
      <w:tr>
        <w:trPr>
          <w:trHeight w:val="340"/>
        </w:trPr>
        <w:tc>
          <w:tcPr>
            <w:tcW w:w="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重点防治区名称</w:t>
            </w:r>
          </w:p>
        </w:tc>
        <w:tc>
          <w:tcPr>
            <w:tcW w:w="576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napToGrid w:val="0"/>
                <w:kern w:val="0"/>
                <w:sz w:val="18"/>
                <w:szCs w:val="18"/>
              </w:rPr>
              <w:t>重庆市水土流失重点预防区</w:t>
            </w:r>
          </w:p>
        </w:tc>
      </w:tr>
      <w:tr>
        <w:trPr>
          <w:trHeight w:val="340"/>
        </w:trPr>
        <w:tc>
          <w:tcPr>
            <w:tcW w:w="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地貌类型</w:t>
            </w:r>
          </w:p>
        </w:tc>
        <w:tc>
          <w:tcPr>
            <w:tcW w:w="1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丘陵地貌</w:t>
            </w:r>
          </w:p>
        </w:tc>
        <w:tc>
          <w:tcPr>
            <w:tcW w:w="2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水土保持区划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西南紫色土区</w:t>
            </w:r>
          </w:p>
        </w:tc>
      </w:tr>
      <w:tr>
        <w:trPr>
          <w:trHeight w:val="340"/>
        </w:trPr>
        <w:tc>
          <w:tcPr>
            <w:tcW w:w="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土壤侵蚀类型</w:t>
            </w:r>
          </w:p>
        </w:tc>
        <w:tc>
          <w:tcPr>
            <w:tcW w:w="1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水力侵蚀</w:t>
            </w:r>
          </w:p>
        </w:tc>
        <w:tc>
          <w:tcPr>
            <w:tcW w:w="2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土壤侵蚀强度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轻度</w:t>
            </w:r>
          </w:p>
        </w:tc>
      </w:tr>
      <w:tr>
        <w:trPr>
          <w:trHeight w:val="340"/>
        </w:trPr>
        <w:tc>
          <w:tcPr>
            <w:tcW w:w="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防治责任范围面积（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hm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2.23</w:t>
            </w:r>
          </w:p>
        </w:tc>
        <w:tc>
          <w:tcPr>
            <w:tcW w:w="2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容许土壤流失量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[t/(km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•a)]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500</w:t>
            </w:r>
          </w:p>
        </w:tc>
      </w:tr>
      <w:tr>
        <w:trPr>
          <w:trHeight w:val="340"/>
        </w:trPr>
        <w:tc>
          <w:tcPr>
            <w:tcW w:w="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土壤流失预测总量（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t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2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新增土壤流失量（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t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98</w:t>
            </w:r>
          </w:p>
        </w:tc>
      </w:tr>
      <w:tr>
        <w:trPr>
          <w:trHeight w:val="340"/>
        </w:trPr>
        <w:tc>
          <w:tcPr>
            <w:tcW w:w="3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水土流失防治标准执行等级</w:t>
            </w:r>
          </w:p>
        </w:tc>
        <w:tc>
          <w:tcPr>
            <w:tcW w:w="576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西南紫色土区建设类水土流失防治一级标准</w:t>
            </w:r>
          </w:p>
        </w:tc>
      </w:tr>
      <w:tr>
        <w:trPr>
          <w:trHeight w:val="340"/>
        </w:trPr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防治目标</w:t>
            </w:r>
          </w:p>
        </w:tc>
        <w:tc>
          <w:tcPr>
            <w:tcW w:w="31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水土流失治理度（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%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土壤流失控制比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1.0</w:t>
            </w:r>
          </w:p>
        </w:tc>
      </w:tr>
      <w:tr>
        <w:trPr>
          <w:trHeight w:val="340"/>
        </w:trPr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/>
        </w:tc>
        <w:tc>
          <w:tcPr>
            <w:tcW w:w="31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渣土防护率（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%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表土保护率（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%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92</w:t>
            </w:r>
          </w:p>
        </w:tc>
      </w:tr>
      <w:tr>
        <w:trPr>
          <w:trHeight w:val="340"/>
        </w:trPr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/>
        </w:tc>
        <w:tc>
          <w:tcPr>
            <w:tcW w:w="31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林草植被恢复率（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%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1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林草覆盖率（</w:t>
            </w: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%</w:t>
            </w: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27</w:t>
            </w:r>
          </w:p>
        </w:tc>
      </w:tr>
      <w:tr>
        <w:trPr>
          <w:trHeight w:val="340"/>
        </w:trPr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防治措施及工程量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分区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工程措施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植物措施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临时措施</w:t>
            </w:r>
          </w:p>
        </w:tc>
      </w:tr>
      <w:tr>
        <w:trPr>
          <w:trHeight w:val="820"/>
        </w:trPr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/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主体工程建设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防治区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主体设计：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雨水管网3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62m、截排水沟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30m、人行道透水砖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530m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；</w:t>
            </w:r>
          </w:p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方案新增：表土剥离0.29万m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、表土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回填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0.20万m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主体设计：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  <w:lang w:val="zh-CN"/>
              </w:rPr>
              <w:t>行道树1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lang w:val="zh-CN"/>
              </w:rPr>
              <w:t>00株、框格植草护坡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  <w:lang w:val="zh-CN"/>
              </w:rPr>
              <w:t>1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lang w:val="zh-CN"/>
              </w:rPr>
              <w:t>.25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方案新增：临时排水沟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20m、临时沉砂池3座、编织土袋拦挡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9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0m、</w:t>
            </w:r>
            <w:r>
              <w:rPr>
                <w:rFonts w:ascii="Times New Roman" w:eastAsia="仿宋_GB2312" w:cs="Times New Roman" w:hAnsi="Times New Roman"/>
                <w:spacing w:val="-2"/>
                <w:sz w:val="18"/>
                <w:szCs w:val="18"/>
              </w:rPr>
              <w:t>彩条布覆盖6500m</w:t>
            </w:r>
            <w:r>
              <w:rPr>
                <w:rFonts w:ascii="Times New Roman" w:eastAsia="仿宋_GB2312" w:cs="Times New Roman" w:hAnsi="Times New Roman"/>
                <w:spacing w:val="-2"/>
                <w:sz w:val="18"/>
                <w:szCs w:val="18"/>
                <w:vertAlign w:val="superscript"/>
              </w:rPr>
              <w:t>2</w:t>
            </w:r>
          </w:p>
        </w:tc>
      </w:tr>
      <w:tr>
        <w:trPr>
          <w:trHeight w:val="820"/>
        </w:trPr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/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临时堆土场防治区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方案新增：表土回填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0.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5万m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土地整治0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.24hm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方案新增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：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  <w:lang w:val="zh-CN"/>
              </w:rPr>
              <w:t>撒播草籽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.24hm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方案新增：临时排水沟135m、临时沉砂池1座、编织土袋拦挡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10m、</w:t>
            </w:r>
            <w:r>
              <w:rPr>
                <w:rFonts w:ascii="Times New Roman" w:eastAsia="仿宋_GB2312" w:cs="Times New Roman" w:hAnsi="Times New Roman"/>
                <w:spacing w:val="-2"/>
                <w:sz w:val="18"/>
                <w:szCs w:val="18"/>
              </w:rPr>
              <w:t>彩条布覆盖</w:t>
            </w:r>
            <w:r>
              <w:rPr>
                <w:rFonts w:ascii="Times New Roman" w:eastAsia="仿宋_GB2312" w:cs="Times New Roman" w:hAnsi="Times New Roman" w:hint="eastAsia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仿宋_GB2312" w:cs="Times New Roman" w:hAnsi="Times New Roman"/>
                <w:spacing w:val="-2"/>
                <w:sz w:val="18"/>
                <w:szCs w:val="18"/>
              </w:rPr>
              <w:t>000m</w:t>
            </w:r>
            <w:r>
              <w:rPr>
                <w:rFonts w:ascii="Times New Roman" w:eastAsia="仿宋_GB2312" w:cs="Times New Roman" w:hAnsi="Times New Roman"/>
                <w:spacing w:val="-2"/>
                <w:sz w:val="18"/>
                <w:szCs w:val="18"/>
                <w:vertAlign w:val="superscript"/>
              </w:rPr>
              <w:t>2</w:t>
            </w:r>
          </w:p>
        </w:tc>
      </w:tr>
      <w:tr>
        <w:trPr>
          <w:trHeight w:val="565"/>
        </w:trPr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/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表土堆放场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防治区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方案新增：土地整治0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.12hm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方案新增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：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  <w:lang w:val="zh-CN"/>
              </w:rPr>
              <w:t>撒播草籽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.12hm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方案新增：临时排水沟100m、临时沉砂池1座、编织土袋拦挡105m、</w:t>
            </w:r>
            <w:r>
              <w:rPr>
                <w:rFonts w:ascii="Times New Roman" w:eastAsia="仿宋_GB2312" w:cs="Times New Roman" w:hAnsi="Times New Roman"/>
                <w:spacing w:val="-2"/>
                <w:sz w:val="18"/>
                <w:szCs w:val="18"/>
              </w:rPr>
              <w:t>彩条布覆盖1500m</w:t>
            </w:r>
            <w:r>
              <w:rPr>
                <w:rFonts w:ascii="Times New Roman" w:eastAsia="仿宋_GB2312" w:cs="Times New Roman" w:hAnsi="Times New Roman"/>
                <w:spacing w:val="-2"/>
                <w:sz w:val="18"/>
                <w:szCs w:val="18"/>
                <w:vertAlign w:val="superscript"/>
              </w:rPr>
              <w:t>2</w:t>
            </w:r>
          </w:p>
        </w:tc>
      </w:tr>
      <w:tr>
        <w:trPr>
          <w:trHeight w:val="90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投资（万元）</w:t>
            </w:r>
          </w:p>
        </w:tc>
        <w:tc>
          <w:tcPr>
            <w:tcW w:w="31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主体设计：65.24</w:t>
            </w:r>
          </w:p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方案新增：15.36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主体设计：145.30</w:t>
            </w:r>
          </w:p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方案新增：0.13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主体设计：-</w:t>
            </w:r>
          </w:p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方案新增：20.57</w:t>
            </w:r>
          </w:p>
        </w:tc>
      </w:tr>
      <w:tr>
        <w:trPr>
          <w:trHeight w:val="270"/>
        </w:trPr>
        <w:tc>
          <w:tcPr>
            <w:tcW w:w="2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水土保持总投资（万元）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267.61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（方案新增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57.07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独立费用（万元）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10.00</w:t>
            </w:r>
          </w:p>
        </w:tc>
      </w:tr>
      <w:tr>
        <w:trPr>
          <w:trHeight w:val="270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监理费（万元）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/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监测费（万元）</w:t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  <w:t>4.84</w:t>
            </w: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补偿费（万元）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3.12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31215.80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元）</w:t>
            </w:r>
          </w:p>
        </w:tc>
      </w:tr>
      <w:tr>
        <w:trPr>
          <w:trHeight w:val="569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方案编制单位</w:t>
            </w:r>
          </w:p>
        </w:tc>
        <w:tc>
          <w:tcPr>
            <w:tcW w:w="2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fldChar w:fldCharType="begin"/>
            </w:r>
            <w:r>
              <w:instrText>HYPERLINK "https://zjcs.cqggzy.com/cq-zjcs-pub/bidResultNotice/view/5001017428906042207250407"</w:instrTex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重庆隆湖工程设计咨询有限公司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建设单位</w:t>
            </w: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重庆市江北区新港城建设开发有限公司</w:t>
            </w:r>
          </w:p>
        </w:tc>
      </w:tr>
      <w:tr>
        <w:trPr>
          <w:trHeight w:val="307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法定代表人</w:t>
            </w:r>
          </w:p>
        </w:tc>
        <w:tc>
          <w:tcPr>
            <w:tcW w:w="2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ascii="Times New Roman" w:eastAsia="仿宋_GB2312" w:hAnsi="Times New Roman" w:hint="eastAsia"/>
                <w:sz w:val="18"/>
                <w:szCs w:val="18"/>
              </w:rPr>
              <w:t>代数</w:t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法定代表人</w:t>
            </w: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hAnsi="Times New Roman" w:hint="eastAsia"/>
                <w:sz w:val="18"/>
                <w:szCs w:val="18"/>
              </w:rPr>
              <w:t>曾国涛</w:t>
            </w:r>
          </w:p>
        </w:tc>
      </w:tr>
      <w:tr>
        <w:trPr>
          <w:trHeight w:val="436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地址</w:t>
            </w:r>
          </w:p>
        </w:tc>
        <w:tc>
          <w:tcPr>
            <w:tcW w:w="2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ascii="Times New Roman" w:eastAsia="仿宋_GB2312" w:hAnsi="Times New Roman" w:hint="eastAsia"/>
                <w:sz w:val="18"/>
                <w:szCs w:val="18"/>
              </w:rPr>
              <w:t>重庆市渝北区新南路203号</w:t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地址</w:t>
            </w: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Times New Roman" w:eastAsia="仿宋_GB2312" w:hAnsi="Times New Roman"/>
                <w:sz w:val="18"/>
                <w:szCs w:val="18"/>
              </w:rPr>
            </w:pPr>
            <w:r>
              <w:rPr>
                <w:rFonts w:ascii="Times New Roman" w:eastAsia="仿宋_GB2312" w:hAnsi="Times New Roman" w:hint="eastAsia"/>
                <w:sz w:val="18"/>
                <w:szCs w:val="18"/>
              </w:rPr>
              <w:t>重庆市江北区海尔路952号水语华庭二期11号楼第三层</w:t>
            </w:r>
          </w:p>
        </w:tc>
      </w:tr>
      <w:tr>
        <w:trPr>
          <w:trHeight w:val="312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邮编</w:t>
            </w:r>
          </w:p>
        </w:tc>
        <w:tc>
          <w:tcPr>
            <w:tcW w:w="2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ascii="Times New Roman" w:eastAsia="仿宋_GB2312" w:hAnsi="Times New Roman"/>
                <w:sz w:val="18"/>
                <w:szCs w:val="18"/>
              </w:rPr>
              <w:t>401120</w:t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邮编</w:t>
            </w: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cs="Times New Roman" w:hAnsi="Times New Roman"/>
                <w:sz w:val="18"/>
                <w:szCs w:val="18"/>
                <w:shd w:val="clear" w:color="auto" w:fill="FFFFFF"/>
              </w:rPr>
              <w:t>400000</w:t>
            </w:r>
          </w:p>
        </w:tc>
      </w:tr>
      <w:tr>
        <w:trPr>
          <w:trHeight w:val="312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联系人及电话</w:t>
            </w:r>
          </w:p>
        </w:tc>
        <w:tc>
          <w:tcPr>
            <w:tcW w:w="2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ascii="Times New Roman" w:eastAsia="仿宋_GB2312" w:hAnsi="Times New Roman" w:hint="eastAsia"/>
                <w:sz w:val="18"/>
                <w:szCs w:val="18"/>
              </w:rPr>
              <w:t>贾桃涛</w:t>
            </w:r>
            <w:r>
              <w:rPr>
                <w:rFonts w:ascii="Times New Roman" w:eastAsia="仿宋_GB2312" w:hAnsi="Times New Roman"/>
                <w:sz w:val="18"/>
                <w:szCs w:val="18"/>
              </w:rPr>
              <w:t>/13527393879</w:t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联系人及电话</w:t>
            </w: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陈磊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/13220339070</w:t>
            </w:r>
          </w:p>
        </w:tc>
      </w:tr>
      <w:tr>
        <w:trPr>
          <w:trHeight w:val="312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电子邮箱</w:t>
            </w:r>
          </w:p>
        </w:tc>
        <w:tc>
          <w:tcPr>
            <w:tcW w:w="2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ascii="Times New Roman" w:eastAsia="仿宋_GB2312" w:hAnsi="Times New Roman"/>
                <w:sz w:val="18"/>
                <w:szCs w:val="18"/>
              </w:rPr>
              <w:t>120900827@qq.com</w:t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kern w:val="0"/>
                <w:sz w:val="18"/>
                <w:szCs w:val="18"/>
              </w:rPr>
              <w:t>电子邮箱</w:t>
            </w: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-</w:t>
            </w:r>
          </w:p>
        </w:tc>
      </w:tr>
      <w:tr>
        <w:trPr>
          <w:trHeight w:val="312"/>
        </w:trPr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统一社会信用代码</w:t>
            </w:r>
          </w:p>
        </w:tc>
        <w:tc>
          <w:tcPr>
            <w:tcW w:w="2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pStyle w:val="19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shd w:val="clear" w:color="auto" w:fill="FFFFFF"/>
              </w:rPr>
              <w:t>91500112305000327G</w:t>
            </w:r>
          </w:p>
        </w:tc>
        <w:tc>
          <w:tcPr>
            <w:tcW w:w="1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统一社会信用代码</w:t>
            </w: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pStyle w:val="19"/>
              <w:rPr>
                <w:rFonts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cs="Times New Roman"/>
                <w:sz w:val="18"/>
                <w:szCs w:val="18"/>
                <w:shd w:val="clear" w:color="auto" w:fill="FFFFFF"/>
              </w:rPr>
              <w:t>91500105MA5YUKHP8D</w:t>
            </w:r>
          </w:p>
        </w:tc>
      </w:tr>
    </w:tbl>
    <w:p>
      <w:pPr>
        <w:pStyle w:val="3"/>
        <w:sectPr>
          <w:footerReference w:type="default" r:id="rId2"/>
          <w:pgSz w:w="11906" w:h="16838"/>
          <w:pgMar w:top="1440" w:right="1800" w:bottom="1440" w:left="1800" w:header="851" w:footer="992" w:gutter="0"/>
          <w:docGrid w:type="lines" w:linePitch="312" w:charSpace="0"/>
        </w:sectPr>
      </w:pPr>
    </w:p>
    <w:p>
      <w:pPr>
        <w:jc w:val="left"/>
        <w:rPr>
          <w:rFonts w:ascii="方正黑体_GBK" w:eastAsia="方正黑体_GBK" w:cs="宋体"/>
          <w:bCs/>
          <w:sz w:val="32"/>
          <w:szCs w:val="32"/>
        </w:rPr>
      </w:pPr>
      <w:r>
        <w:rPr>
          <w:rFonts w:ascii="方正黑体_GBK" w:eastAsia="方正黑体_GBK" w:cs="宋体" w:hint="eastAsia"/>
          <w:bCs/>
          <w:sz w:val="32"/>
          <w:szCs w:val="32"/>
        </w:rPr>
        <w:t>附件2</w:t>
      </w:r>
    </w:p>
    <w:p>
      <w:pPr>
        <w:widowControl/>
        <w:shd w:val="clear" w:color="auto" w:fill="FFFFFF"/>
        <w:ind w:firstLineChars="150" w:firstLine="480"/>
        <w:jc w:val="left"/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  <w:drawing>
          <wp:inline distT="0" distB="0" distL="0" distR="0">
            <wp:extent cx="5274310" cy="7458710"/>
            <wp:effectExtent l="0" t="0" r="0" b="0"/>
            <wp:docPr id="4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2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587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Chars="150" w:firstLine="480"/>
        <w:jc w:val="left"/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</w:pPr>
    </w:p>
    <w:p>
      <w:pPr>
        <w:pStyle w:val="16"/>
        <w:rPr>
          <w:rFonts w:ascii="Times New Roman" w:eastAsia="方正仿宋_GBK" w:cs="Times New Roman" w:hAnsi="Times New Roman"/>
          <w:sz w:val="28"/>
          <w:szCs w:val="28"/>
        </w:rPr>
      </w:pPr>
      <w:r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  <w:drawing>
          <wp:inline distT="0" distB="0" distL="0" distR="0">
            <wp:extent cx="5274310" cy="7458710"/>
            <wp:effectExtent l="0" t="0" r="0" b="0"/>
            <wp:docPr id="7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3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587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  <w:drawing>
          <wp:inline distT="0" distB="0" distL="0" distR="0">
            <wp:extent cx="5274310" cy="7458710"/>
            <wp:effectExtent l="0" t="0" r="0" b="0"/>
            <wp:docPr id="10" name="图片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4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587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  <w:drawing>
          <wp:inline distT="0" distB="0" distL="0" distR="0">
            <wp:extent cx="5274310" cy="7458710"/>
            <wp:effectExtent l="0" t="0" r="0" b="0"/>
            <wp:docPr id="13" name="图片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5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587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  <w:drawing>
          <wp:inline distT="0" distB="0" distL="0" distR="0">
            <wp:extent cx="5274310" cy="7459344"/>
            <wp:effectExtent l="0" t="0" r="0" b="0"/>
            <wp:docPr id="16" name="图片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8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593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方正黑体_GBK">
    <w:panose1 w:val="03000509000000000000"/>
    <w:charset w:val="86"/>
    <w:family w:val="script"/>
    <w:pitch w:val="variable"/>
    <w:sig w:usb0="00000001" w:usb1="080E0000" w:usb2="00000000" w:usb3="00000000" w:csb0="00040000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variable"/>
    <w:sig w:usb0="00000000" w:usb1="00000000" w:usb2="00000010" w:usb3="00000000" w:csb0="00040000" w:csb1="00000000"/>
  </w:font>
  <w:font w:name="方正仿宋_GBK">
    <w:panose1 w:val="03000509000000000000"/>
    <w:charset w:val="86"/>
    <w:family w:val="script"/>
    <w:pitch w:val="variable"/>
    <w:sig w:usb0="00000001" w:usb1="080E0000" w:usb2="00000000" w:usb3="00000000" w:csb0="00040000" w:csb1="00000000"/>
  </w:font>
  <w:font w:name="Calibri">
    <w:altName w:val="Times New Roman"/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Arial">
    <w:altName w:val="DejaVu Sans"/>
    <w:panose1 w:val="020B0604020202020204"/>
    <w:charset w:val="01"/>
    <w:family w:val="swiss"/>
    <w:pitch w:val="variable"/>
    <w:sig w:usb0="E0002EFF" w:usb1="C000785B" w:usb2="00000009" w:usb3="00000000" w:csb0="400001FF" w:csb1="FFFF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7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298" distR="114298" simplePos="0" relativeHeight="24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58800" cy="230251"/>
              <wp:effectExtent l="0" t="0" r="0" b="0"/>
              <wp:wrapNone/>
              <wp:docPr id="1" name="文本框 7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58800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">
                      <w:txbxContent>
                        <w:p>
                          <w:pPr>
                            <w:pStyle w:val="17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cs="宋体"/>
                              <w:sz w:val="28"/>
                              <w:szCs w:val="28"/>
                            </w:rPr>
                            <w:t>12</w: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7 3" o:spid="_x0000_s3" filled="f" stroked="f" strokeweight="0.5pt" style="position:absolute;margin-left:0.0pt;margin-top:0.0pt;width:44.000008pt;height:18.130003pt;z-index:24;mso-position-horizontal:outside;mso-position-horizontal-relative:margin;mso-position-vertical:absolute;mso-wrap-distance-left:8.999863pt;mso-wrap-distance-right:8.999863pt;mso-wrap-style:none;">
              <v:stroke color="#000000"/>
              <v:textbox id="853" inset="0mm,0mm,0mm,0mm" o:insetmode="custom" style="layout-flow:horizontal;v-text-anchor:top;mso-fit-shape-to-text:t;">
                <w:txbxContent>
                  <w:p>
                    <w:pPr>
                      <w:pStyle w:val="17"/>
                      <w:tabs>
                        <w:tab w:val="center" w:pos="4153"/>
                        <w:tab w:val="right" w:pos="8306"/>
                      </w:tabs>
                    </w:pP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cs="宋体"/>
                        <w:sz w:val="28"/>
                        <w:szCs w:val="28"/>
                      </w:rPr>
                      <w:t>12</w: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doNotUseIndentAsNumberingTabStop/>
    <w:compatSetting w:name="compatibilityMode" w:uri="http://schemas.microsoft.com/office/word" w:val="14"/>
  </w:compat>
  <w:docVars>
    <w:docVar w:name="commondata" w:val="eyJoZGlkIjoiYjA4YTRlNGZmOWU2OGRjZTVlYzlkZjc0MDgwMmQzYjg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next w:val="3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3">
    <w:name w:val="heading 3"/>
    <w:basedOn w:val="0"/>
    <w:next w:val="4"/>
    <w:pPr>
      <w:keepNext/>
      <w:keepLines/>
      <w:widowControl w:val="0"/>
      <w:spacing w:line="520" w:lineRule="exact"/>
      <w:outlineLvl w:val="2"/>
    </w:pPr>
    <w:rPr>
      <w:b/>
      <w:sz w:val="28"/>
    </w:rPr>
  </w:style>
  <w:style w:type="paragraph" w:styleId="4">
    <w:name w:val="heading 4"/>
    <w:basedOn w:val="0"/>
    <w:next w:val="16"/>
    <w:pPr>
      <w:keepNext/>
      <w:keepLines/>
      <w:widowControl w:val="0"/>
      <w:spacing w:line="520" w:lineRule="exact"/>
      <w:outlineLvl w:val="3"/>
    </w:pPr>
    <w:rPr>
      <w:b/>
    </w:rPr>
  </w:style>
  <w:style w:type="character" w:default="1" w:styleId="10">
    <w:name w:val="Default Paragraph Font"/>
  </w:style>
  <w:style w:type="paragraph" w:styleId="15">
    <w:name w:val="Body Text"/>
    <w:basedOn w:val="0"/>
    <w:pPr>
      <w:spacing w:after="120"/>
    </w:pPr>
    <w:rPr>
      <w:rFonts w:eastAsia="宋体"/>
      <w:szCs w:val="24"/>
    </w:rPr>
  </w:style>
  <w:style w:type="paragraph" w:styleId="16">
    <w:name w:val="Body Text First Indent"/>
    <w:basedOn w:val="15"/>
    <w:pPr>
      <w:ind w:firstLineChars="100" w:firstLine="100"/>
    </w:pPr>
  </w:style>
  <w:style w:type="paragraph" w:styleId="17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cs="Times New Roman" w:hAnsi="Times New Roman"/>
      <w:sz w:val="18"/>
      <w:szCs w:val="18"/>
    </w:rPr>
  </w:style>
  <w:style w:type="paragraph" w:styleId="18">
    <w:name w:val="header"/>
    <w:basedOn w:val="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9">
    <w:name w:val="表格5号"/>
    <w:basedOn w:val="0"/>
    <w:next w:val="0"/>
    <w:pPr>
      <w:jc w:val="center"/>
    </w:pPr>
    <w:rPr>
      <w:rFonts w:ascii="Times New Roman" w:eastAsia="仿宋_GB2312" w:hAnsi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image" Target="media/14.jpeg"/><Relationship Id="rId7" Type="http://schemas.openxmlformats.org/officeDocument/2006/relationships/image" Target="media/17.jpeg"/><Relationship Id="rId8" Type="http://schemas.openxmlformats.org/officeDocument/2006/relationships/styles" Target="styles.xml"/><Relationship Id="rId9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6</TotalTime>
  <Application>Yozo_Office</Application>
  <Pages>7</Pages>
  <Words>961</Words>
  <Characters>1305</Characters>
  <Lines>167</Lines>
  <Paragraphs>135</Paragraphs>
  <CharactersWithSpaces>1304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一颗大树</dc:creator>
  <cp:lastModifiedBy>ft</cp:lastModifiedBy>
  <cp:revision>6</cp:revision>
  <cp:lastPrinted>2022-12-08T12:24:55Z</cp:lastPrinted>
  <dcterms:created xsi:type="dcterms:W3CDTF">2022-07-26T10:52:00Z</dcterms:created>
  <dcterms:modified xsi:type="dcterms:W3CDTF">2023-01-19T03:43:50Z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2052-11.1.0.12763</vt:lpwstr>
  </property>
  <property fmtid="{D5CDD505-2E9C-101B-9397-08002B2CF9AE}" pid="3" name="ICV">
    <vt:lpwstr>7AACC9F705174D1B9F2B0780809B2700</vt:lpwstr>
  </property>
</Properties>
</file>