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25" w:rsidRPr="003D5725" w:rsidRDefault="003D5725" w:rsidP="003D5725">
      <w:pPr>
        <w:rPr>
          <w:rFonts w:ascii="Times New Roman" w:eastAsia="方正黑体_GBK" w:hAnsi="Times New Roman" w:cs="Times New Roman"/>
          <w:sz w:val="32"/>
          <w:szCs w:val="32"/>
        </w:rPr>
      </w:pPr>
      <w:r w:rsidRPr="003D5725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3D5725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3D5725" w:rsidRDefault="003D5725" w:rsidP="003D5725">
      <w:pPr>
        <w:spacing w:line="560" w:lineRule="exact"/>
        <w:rPr>
          <w:rFonts w:ascii="方正小标宋_GBK" w:eastAsia="方正小标宋_GBK" w:hint="eastAsia"/>
          <w:sz w:val="40"/>
          <w:szCs w:val="44"/>
        </w:rPr>
      </w:pPr>
    </w:p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proofErr w:type="gramStart"/>
      <w:r>
        <w:rPr>
          <w:rFonts w:ascii="方正小标宋_GBK" w:eastAsia="方正小标宋_GBK" w:hint="eastAsia"/>
          <w:sz w:val="40"/>
          <w:szCs w:val="44"/>
        </w:rPr>
        <w:t>江北嘴</w:t>
      </w:r>
      <w:proofErr w:type="gramEnd"/>
      <w:r>
        <w:rPr>
          <w:rFonts w:ascii="方正小标宋_GBK" w:eastAsia="方正小标宋_GBK" w:hint="eastAsia"/>
          <w:sz w:val="40"/>
          <w:szCs w:val="44"/>
        </w:rPr>
        <w:t>中央商务区</w:t>
      </w:r>
    </w:p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金融业主要经济指标统计报表制度</w:t>
      </w:r>
    </w:p>
    <w:p w:rsidR="00675A42" w:rsidRDefault="00675A42"/>
    <w:p w:rsidR="00675A42" w:rsidRDefault="00675A42">
      <w:pPr>
        <w:spacing w:line="440" w:lineRule="exact"/>
        <w:ind w:firstLineChars="200" w:firstLine="420"/>
        <w:rPr>
          <w:rFonts w:ascii="宋体" w:hAnsi="宋体"/>
          <w:szCs w:val="21"/>
        </w:rPr>
      </w:pP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3D5725">
        <w:rPr>
          <w:rFonts w:ascii="Times New Roman" w:eastAsia="方正黑体_GBK" w:hAnsi="Times New Roman" w:cs="Times New Roman"/>
          <w:sz w:val="32"/>
          <w:szCs w:val="32"/>
        </w:rPr>
        <w:t>一、总</w:t>
      </w:r>
      <w:r w:rsidRPr="003D5725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3D5725">
        <w:rPr>
          <w:rFonts w:ascii="Times New Roman" w:eastAsia="方正黑体_GBK" w:hAnsi="Times New Roman" w:cs="Times New Roman"/>
          <w:sz w:val="32"/>
          <w:szCs w:val="32"/>
        </w:rPr>
        <w:t>说</w:t>
      </w:r>
      <w:r w:rsidRPr="003D5725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3D5725">
        <w:rPr>
          <w:rFonts w:ascii="Times New Roman" w:eastAsia="方正黑体_GBK" w:hAnsi="Times New Roman" w:cs="Times New Roman"/>
          <w:sz w:val="32"/>
          <w:szCs w:val="32"/>
        </w:rPr>
        <w:t>明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为清楚了解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中央商务区传统金融业发展情况，为党委政府及有关部门制定行业发展规划和相关政策提供依据，根据《中华人民共和国统计法》，特制定本报表制度。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3D5725">
        <w:rPr>
          <w:rFonts w:ascii="Times New Roman" w:eastAsia="方正楷体_GBK" w:hAnsi="Times New Roman" w:cs="Times New Roman"/>
          <w:sz w:val="32"/>
          <w:szCs w:val="32"/>
        </w:rPr>
        <w:t>（一）调查范围和对象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调查范围：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中央商务区范围内的传统金融业机构，包含银行、证券、保险类企业。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调查对象：区域内从事上述国民经济活动的单位。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3D5725">
        <w:rPr>
          <w:rFonts w:ascii="Times New Roman" w:eastAsia="方正楷体_GBK" w:hAnsi="Times New Roman" w:cs="Times New Roman"/>
          <w:sz w:val="32"/>
          <w:szCs w:val="32"/>
        </w:rPr>
        <w:t>（二）调查方法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本调查采用全面调查的方式，对辖区所有传统金融业机构进行调查。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3D5725">
        <w:rPr>
          <w:rFonts w:ascii="Times New Roman" w:eastAsia="方正楷体_GBK" w:hAnsi="Times New Roman" w:cs="Times New Roman"/>
          <w:sz w:val="32"/>
          <w:szCs w:val="32"/>
        </w:rPr>
        <w:t>（三）组织方式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本制度由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委办具体组织实施，由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委办统计所收集整理数据，数据通过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江北嘴企业大数据应用平台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（有相关保密协定）进行上报，并收集签字盖章的电子扫描件存档备查。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3D5725">
        <w:rPr>
          <w:rFonts w:ascii="Times New Roman" w:eastAsia="方正楷体_GBK" w:hAnsi="Times New Roman" w:cs="Times New Roman"/>
          <w:sz w:val="32"/>
          <w:szCs w:val="32"/>
        </w:rPr>
        <w:t>（四）数据发布</w:t>
      </w:r>
    </w:p>
    <w:p w:rsidR="008E2292" w:rsidRPr="003D5725" w:rsidRDefault="008E2292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调查取得的汇总结果除依法应当保密的外，根据国家有关规定，通过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江北嘴企业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大数据平台发布。</w:t>
      </w:r>
    </w:p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0"/>
          <w:szCs w:val="44"/>
        </w:rPr>
        <w:lastRenderedPageBreak/>
        <w:t>重庆市江北区</w:t>
      </w:r>
    </w:p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文化和旅游消费动态监测统计报表制度</w:t>
      </w:r>
    </w:p>
    <w:p w:rsidR="003D5725" w:rsidRPr="003D5725" w:rsidRDefault="003D5725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5725">
        <w:rPr>
          <w:rFonts w:ascii="Times New Roman" w:eastAsia="黑体" w:hAnsi="Times New Roman" w:cs="Times New Roman"/>
          <w:sz w:val="32"/>
          <w:szCs w:val="32"/>
        </w:rPr>
        <w:t>一、调查目的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根据《文化和旅游部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国家发展改革委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财政部关于开展文化和旅游消费试点示范工作的通知》（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文旅产业发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71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号）文件要求，我委积极推进统筹建立江北区文化和旅游消费监测体系工作，并于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日报区政府第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131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次常务会议审定通过。现为动态把握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文旅产业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数据，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改善文旅环境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，打造江北区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文旅产业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特色，全面提升我区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文旅消费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质量和水平，加强我区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文旅产业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统计专业能力，推动我区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文旅产业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的高质量发展，提升我区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文旅产业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综合竞争力，依照《中华人民共和国统计法》的规定，特制定本制度。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5725">
        <w:rPr>
          <w:rFonts w:ascii="Times New Roman" w:eastAsia="黑体" w:hAnsi="Times New Roman" w:cs="Times New Roman"/>
          <w:sz w:val="32"/>
          <w:szCs w:val="32"/>
        </w:rPr>
        <w:t>二、调查内容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江北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区文旅企业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、园区、基地、景区等的经营情况，包括企业基本情况、经营情况等。调查内容详见附件《江北区文旅企业、市级以上文化产业示范基地统计报表》《江北区市级以上文化产业示范园区和文旅消费集聚区统计报表》《江北区旅行社、旅游景区、星级饭店相关旅游统计报表》。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5725">
        <w:rPr>
          <w:rFonts w:ascii="Times New Roman" w:eastAsia="黑体" w:hAnsi="Times New Roman" w:cs="Times New Roman"/>
          <w:sz w:val="32"/>
          <w:szCs w:val="32"/>
        </w:rPr>
        <w:t>三、调查对象及范围</w:t>
      </w:r>
      <w:r w:rsidRPr="003D5725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本项目调查对象为江北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区文旅企业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、园区、基地、景区等，调查范围为全区。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5725">
        <w:rPr>
          <w:rFonts w:ascii="Times New Roman" w:eastAsia="黑体" w:hAnsi="Times New Roman" w:cs="Times New Roman"/>
          <w:sz w:val="32"/>
          <w:szCs w:val="32"/>
        </w:rPr>
        <w:t>四、调查方法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lastRenderedPageBreak/>
        <w:t>采用统计报表的形式对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全区文旅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企业、园区、基地、景区等发放统计报表，由第三方调查机构到企业采集数据并整理汇总，报交至区文化和旅游发展委员会。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5725">
        <w:rPr>
          <w:rFonts w:ascii="Times New Roman" w:eastAsia="黑体" w:hAnsi="Times New Roman" w:cs="Times New Roman"/>
          <w:sz w:val="32"/>
          <w:szCs w:val="32"/>
        </w:rPr>
        <w:t>五、组织方式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本制度由江北区文化和旅游发展委员会负责组织实施，由第三方调查机构负责收集整理数据，数据采用企业填报后将纸质版定期报送至区文化和旅游发展委员会。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5725">
        <w:rPr>
          <w:rFonts w:ascii="Times New Roman" w:eastAsia="黑体" w:hAnsi="Times New Roman" w:cs="Times New Roman"/>
          <w:sz w:val="32"/>
          <w:szCs w:val="32"/>
        </w:rPr>
        <w:t>六、数据发布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本次调查的基础数据以纸质数据的形式提供。企业所报信息仅供区政府内部参考使用，不</w:t>
      </w:r>
      <w:proofErr w:type="gramStart"/>
      <w:r w:rsidRPr="003D5725">
        <w:rPr>
          <w:rFonts w:ascii="Times New Roman" w:eastAsia="方正仿宋_GBK" w:hAnsi="Times New Roman" w:cs="Times New Roman"/>
          <w:sz w:val="32"/>
          <w:szCs w:val="32"/>
        </w:rPr>
        <w:t>作对外</w:t>
      </w:r>
      <w:proofErr w:type="gramEnd"/>
      <w:r w:rsidRPr="003D5725">
        <w:rPr>
          <w:rFonts w:ascii="Times New Roman" w:eastAsia="方正仿宋_GBK" w:hAnsi="Times New Roman" w:cs="Times New Roman"/>
          <w:sz w:val="32"/>
          <w:szCs w:val="32"/>
        </w:rPr>
        <w:t>宣传使用。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5725">
        <w:rPr>
          <w:rFonts w:ascii="Times New Roman" w:eastAsia="黑体" w:hAnsi="Times New Roman" w:cs="Times New Roman"/>
          <w:sz w:val="32"/>
          <w:szCs w:val="32"/>
        </w:rPr>
        <w:t>七、报告期和报送时间</w:t>
      </w:r>
    </w:p>
    <w:p w:rsidR="00675A42" w:rsidRPr="003D5725" w:rsidRDefault="00BF7B13" w:rsidP="003D572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5725">
        <w:rPr>
          <w:rFonts w:ascii="Times New Roman" w:eastAsia="方正仿宋_GBK" w:hAnsi="Times New Roman" w:cs="Times New Roman"/>
          <w:sz w:val="32"/>
          <w:szCs w:val="32"/>
        </w:rPr>
        <w:t>本制度报表为季报。由第三方调查机构负责采集填报，前三季度为季后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3D5725">
        <w:rPr>
          <w:rFonts w:ascii="Times New Roman" w:eastAsia="方正仿宋_GBK" w:hAnsi="Times New Roman" w:cs="Times New Roman"/>
          <w:sz w:val="32"/>
          <w:szCs w:val="32"/>
        </w:rPr>
        <w:t>日前完成报送，第四季度为次年第一季度内完成报送。</w:t>
      </w:r>
    </w:p>
    <w:p w:rsidR="00675A42" w:rsidRDefault="00675A42" w:rsidP="00D970F9">
      <w:pPr>
        <w:spacing w:line="514" w:lineRule="exact"/>
        <w:rPr>
          <w:rFonts w:eastAsia="方正仿宋_GBK"/>
          <w:sz w:val="28"/>
          <w:szCs w:val="32"/>
        </w:rPr>
      </w:pPr>
    </w:p>
    <w:sectPr w:rsidR="00675A42" w:rsidSect="003D5725">
      <w:pgSz w:w="11906" w:h="16838"/>
      <w:pgMar w:top="1440" w:right="1446" w:bottom="1440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48" w:rsidRDefault="00921548" w:rsidP="00D970F9">
      <w:r>
        <w:separator/>
      </w:r>
    </w:p>
  </w:endnote>
  <w:endnote w:type="continuationSeparator" w:id="0">
    <w:p w:rsidR="00921548" w:rsidRDefault="00921548" w:rsidP="00D9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48" w:rsidRDefault="00921548" w:rsidP="00D970F9">
      <w:r>
        <w:separator/>
      </w:r>
    </w:p>
  </w:footnote>
  <w:footnote w:type="continuationSeparator" w:id="0">
    <w:p w:rsidR="00921548" w:rsidRDefault="00921548" w:rsidP="00D9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72946F"/>
    <w:multiLevelType w:val="singleLevel"/>
    <w:tmpl w:val="B472946F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2"/>
    <w:rsid w:val="003D5725"/>
    <w:rsid w:val="00675A42"/>
    <w:rsid w:val="00733802"/>
    <w:rsid w:val="008E2292"/>
    <w:rsid w:val="00921548"/>
    <w:rsid w:val="00AC354F"/>
    <w:rsid w:val="00BF7B13"/>
    <w:rsid w:val="00D970F9"/>
    <w:rsid w:val="00F07A45"/>
    <w:rsid w:val="0C446FB5"/>
    <w:rsid w:val="15F61841"/>
    <w:rsid w:val="2F2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8FD9C-9410-463D-B1C2-CE06922D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9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70F9"/>
    <w:rPr>
      <w:kern w:val="2"/>
      <w:sz w:val="18"/>
      <w:szCs w:val="18"/>
    </w:rPr>
  </w:style>
  <w:style w:type="paragraph" w:styleId="a5">
    <w:name w:val="Balloon Text"/>
    <w:basedOn w:val="a"/>
    <w:link w:val="Char0"/>
    <w:rsid w:val="00D970F9"/>
    <w:rPr>
      <w:sz w:val="18"/>
      <w:szCs w:val="18"/>
    </w:rPr>
  </w:style>
  <w:style w:type="character" w:customStyle="1" w:styleId="Char0">
    <w:name w:val="批注框文本 Char"/>
    <w:basedOn w:val="a0"/>
    <w:link w:val="a5"/>
    <w:rsid w:val="00D970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cp:lastPrinted>2023-04-03T03:30:00Z</cp:lastPrinted>
  <dcterms:created xsi:type="dcterms:W3CDTF">2014-10-29T12:08:00Z</dcterms:created>
  <dcterms:modified xsi:type="dcterms:W3CDTF">2023-10-26T08:09:00Z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